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25" w:rsidRPr="00393F93" w:rsidRDefault="00393F93" w:rsidP="00393F93">
      <w:pPr>
        <w:tabs>
          <w:tab w:val="left" w:pos="851"/>
        </w:tabs>
        <w:ind w:left="851" w:hanging="567"/>
        <w:jc w:val="center"/>
        <w:outlineLvl w:val="0"/>
        <w:rPr>
          <w:b/>
          <w:szCs w:val="22"/>
          <w:u w:val="single"/>
        </w:rPr>
      </w:pPr>
      <w:r>
        <w:rPr>
          <w:b/>
          <w:bCs/>
          <w:szCs w:val="22"/>
          <w:u w:val="single"/>
        </w:rPr>
        <w:t>Términos e Indicadores del Sistema Financiero</w:t>
      </w:r>
    </w:p>
    <w:p w:rsidR="00FC4725" w:rsidRDefault="00FC4725" w:rsidP="00393F93">
      <w:pPr>
        <w:tabs>
          <w:tab w:val="left" w:pos="851"/>
        </w:tabs>
        <w:ind w:left="851" w:hanging="567"/>
        <w:rPr>
          <w:b/>
          <w:szCs w:val="22"/>
          <w:u w:val="single"/>
        </w:rPr>
      </w:pPr>
    </w:p>
    <w:p w:rsidR="00393F93" w:rsidRPr="00393F93" w:rsidRDefault="00393F93" w:rsidP="00393F93">
      <w:pPr>
        <w:tabs>
          <w:tab w:val="left" w:pos="851"/>
        </w:tabs>
        <w:ind w:left="851" w:hanging="567"/>
        <w:rPr>
          <w:b/>
          <w:szCs w:val="22"/>
          <w:u w:val="single"/>
        </w:rPr>
      </w:pPr>
    </w:p>
    <w:p w:rsidR="00FC4725" w:rsidRPr="00393F93" w:rsidRDefault="00FC4725" w:rsidP="00393F93">
      <w:pPr>
        <w:numPr>
          <w:ilvl w:val="0"/>
          <w:numId w:val="29"/>
        </w:numPr>
        <w:tabs>
          <w:tab w:val="left" w:pos="426"/>
        </w:tabs>
        <w:ind w:left="426" w:hanging="284"/>
        <w:rPr>
          <w:b/>
          <w:szCs w:val="22"/>
          <w:u w:val="single"/>
        </w:rPr>
      </w:pPr>
      <w:r w:rsidRPr="00393F93">
        <w:rPr>
          <w:b/>
          <w:szCs w:val="22"/>
          <w:u w:val="single"/>
        </w:rPr>
        <w:t>Términos Financieros</w:t>
      </w:r>
    </w:p>
    <w:p w:rsidR="00FC4725" w:rsidRDefault="00FC4725" w:rsidP="00393F93">
      <w:pPr>
        <w:tabs>
          <w:tab w:val="left" w:pos="851"/>
        </w:tabs>
        <w:ind w:left="851" w:hanging="567"/>
        <w:rPr>
          <w:b/>
          <w:szCs w:val="22"/>
        </w:rPr>
      </w:pPr>
    </w:p>
    <w:p w:rsidR="00393F93" w:rsidRPr="00393F93" w:rsidRDefault="00393F93" w:rsidP="00393F93">
      <w:pPr>
        <w:tabs>
          <w:tab w:val="left" w:pos="851"/>
        </w:tabs>
        <w:ind w:left="851" w:hanging="567"/>
        <w:rPr>
          <w:b/>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 xml:space="preserve">Activo Rentable: </w:t>
      </w:r>
      <w:r w:rsidRPr="00393F93">
        <w:rPr>
          <w:szCs w:val="22"/>
        </w:rPr>
        <w:t>Comprende el monto de activos que generan ingresos financieros en forma directa. En este rubro se considera el activo disponible que devenga intereses, los fondos interbancarios, las inversiones negociables y a vencimiento (excluyendo las acciones de tesorería) y la cartera de créditos vigentes, netos de ingresos devengados y de ingresos diferidos.</w:t>
      </w:r>
    </w:p>
    <w:p w:rsidR="00FC4725" w:rsidRPr="00393F93" w:rsidRDefault="00FC4725" w:rsidP="00393F93">
      <w:pPr>
        <w:ind w:left="709"/>
        <w:rPr>
          <w:szCs w:val="22"/>
        </w:rPr>
      </w:pPr>
    </w:p>
    <w:p w:rsidR="00FC4725" w:rsidRPr="00393F93" w:rsidRDefault="00FC4725" w:rsidP="00393F93">
      <w:pPr>
        <w:numPr>
          <w:ilvl w:val="0"/>
          <w:numId w:val="26"/>
        </w:numPr>
        <w:tabs>
          <w:tab w:val="clear" w:pos="1070"/>
        </w:tabs>
        <w:ind w:left="709" w:hanging="425"/>
        <w:rPr>
          <w:b/>
          <w:szCs w:val="22"/>
        </w:rPr>
      </w:pPr>
      <w:r w:rsidRPr="00393F93">
        <w:rPr>
          <w:b/>
          <w:szCs w:val="22"/>
        </w:rPr>
        <w:t>Activos Líquidos:</w:t>
      </w:r>
      <w:r w:rsidRPr="00393F93">
        <w:rPr>
          <w:szCs w:val="22"/>
        </w:rPr>
        <w:t xml:space="preserve"> Incluye caja, fondos disponibles en el Banco Central, en empresas del sistema financiero nacional y en bancos del exterior de primera categoría, fondos interbancarios netos deudores, títulos representativos de deuda negociable emitidos por el Gobierno Central y el Banco Central de Reserva, y certificados de depósito y bancarios emitidos por empresas del sistema financiero nacional.</w:t>
      </w:r>
    </w:p>
    <w:p w:rsidR="00FC4725" w:rsidRPr="00393F93" w:rsidRDefault="00FC4725" w:rsidP="00393F93">
      <w:pPr>
        <w:ind w:left="709" w:hanging="425"/>
        <w:rPr>
          <w:b/>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 xml:space="preserve">Activos y Contingentes Ponderados por Riesgo Totales: </w:t>
      </w:r>
      <w:r w:rsidRPr="00393F93">
        <w:rPr>
          <w:szCs w:val="22"/>
        </w:rPr>
        <w:t>Activos y contingentes ponderados por riesgo de crédito más el requerimiento patrimonial por riesgo de mercado multiplicado por 10 más el requerimiento patrimonial por riesgo operacional multiplicado por 10.</w:t>
      </w:r>
    </w:p>
    <w:p w:rsidR="00FC4725" w:rsidRPr="00393F93" w:rsidRDefault="00FC4725" w:rsidP="00393F93">
      <w:pPr>
        <w:ind w:left="709" w:hanging="425"/>
        <w:rPr>
          <w:b/>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Activo Total:</w:t>
      </w:r>
      <w:r w:rsidRPr="00393F93">
        <w:rPr>
          <w:szCs w:val="22"/>
        </w:rPr>
        <w:t xml:space="preserve"> Agrupa las cuentas representativas de fondos disponibles, los créditos concedidos a clientes y a empresas y derechos que se espera sean o puedan ser convertidos en efectivo, las inversiones en valores y títulos, los bienes y derechos destinados a permanecer en la empresa y los gastos pagados por adelantado, menos los ingresos diferidos, el </w:t>
      </w:r>
      <w:proofErr w:type="spellStart"/>
      <w:r w:rsidRPr="00393F93">
        <w:rPr>
          <w:szCs w:val="22"/>
        </w:rPr>
        <w:t>contrario</w:t>
      </w:r>
      <w:proofErr w:type="spellEnd"/>
      <w:r w:rsidRPr="00393F93">
        <w:rPr>
          <w:szCs w:val="22"/>
        </w:rPr>
        <w:t xml:space="preserve"> de bienes cedidos en arrendamiento financiero, las acciones de tesorería, los rendimientos devengados de las acciones de tesorería y las provisiones por las acciones de tesorería. Adicionalmente, incluye los saldos deudores de los depósitos en cuenta corriente, del impuesto a la renta y participaciones diferidas. </w:t>
      </w:r>
    </w:p>
    <w:p w:rsidR="00FC4725" w:rsidRPr="00393F93" w:rsidRDefault="00FC4725" w:rsidP="00393F93">
      <w:pPr>
        <w:ind w:left="709"/>
        <w:rPr>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 xml:space="preserve">Adeudos y Obligaciones financieras con el exterior: </w:t>
      </w:r>
      <w:r w:rsidRPr="00393F93">
        <w:rPr>
          <w:szCs w:val="22"/>
        </w:rPr>
        <w:t>Comprende las obligaciones de la empresa por obtención de recursos y financiamiento bajo distintas modalidades contractuales, de corto y largo plazo, contratados con las instituciones financieras del exterior que realizan intermediación financiera, similares a las empresas del sistema financiero del país, así como con organismos internacionales.</w:t>
      </w:r>
    </w:p>
    <w:p w:rsidR="00FC4725" w:rsidRPr="00393F93" w:rsidRDefault="00FC4725" w:rsidP="00393F93">
      <w:pPr>
        <w:rPr>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 xml:space="preserve">Cajeros Automáticos: </w:t>
      </w:r>
      <w:r w:rsidRPr="00393F93">
        <w:rPr>
          <w:szCs w:val="22"/>
        </w:rPr>
        <w:t>Son los dispositivos electrónicos que están interconectados con la empresa y que le permiten brindar diversas operaciones y servicios a los usuarios mediante la utilización de tarjetas de crédito y de débito.</w:t>
      </w:r>
    </w:p>
    <w:p w:rsidR="00393F93" w:rsidRPr="00393F93" w:rsidRDefault="00393F93" w:rsidP="00393F93">
      <w:pPr>
        <w:ind w:left="709" w:hanging="425"/>
        <w:rPr>
          <w:b/>
          <w:szCs w:val="22"/>
        </w:rPr>
      </w:pPr>
    </w:p>
    <w:p w:rsidR="00FC4725" w:rsidRPr="00393F93" w:rsidRDefault="00FC4725" w:rsidP="00393F93">
      <w:pPr>
        <w:numPr>
          <w:ilvl w:val="0"/>
          <w:numId w:val="26"/>
        </w:numPr>
        <w:tabs>
          <w:tab w:val="clear" w:pos="1070"/>
        </w:tabs>
        <w:ind w:left="709" w:hanging="425"/>
        <w:rPr>
          <w:b/>
          <w:szCs w:val="22"/>
        </w:rPr>
      </w:pPr>
      <w:r w:rsidRPr="00393F93">
        <w:rPr>
          <w:b/>
          <w:szCs w:val="22"/>
        </w:rPr>
        <w:t xml:space="preserve">Cajeros Corresponsales: </w:t>
      </w:r>
      <w:r w:rsidRPr="00393F93">
        <w:rPr>
          <w:szCs w:val="22"/>
        </w:rPr>
        <w:t>Son operadores de servicios constituidos por personas naturales o jurídicas que funcionan en establecimientos propios o de terceros, distintos de los del sistema financiero, que conforme a un acuerdo contractual y bajo responsabilidad de la empresa del sistema financiero, pueden prestar determinadas operaciones y servicios.</w:t>
      </w:r>
    </w:p>
    <w:p w:rsidR="00FC4725" w:rsidRPr="00393F93" w:rsidRDefault="00FC4725" w:rsidP="00393F93">
      <w:pPr>
        <w:ind w:left="709" w:hanging="425"/>
        <w:rPr>
          <w:b/>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lastRenderedPageBreak/>
        <w:t xml:space="preserve">Capital Social: </w:t>
      </w:r>
      <w:r w:rsidRPr="00393F93">
        <w:rPr>
          <w:szCs w:val="22"/>
        </w:rPr>
        <w:t>Comprende el capital pagado, el capital suscrito y las suscripciones pendientes de pago menos las acciones de tesorería, los rendimientos devengados de las acciones de tesorería y las provisiones por las acciones de tesorería. El capital pagado constituye la acumulación de los aportes de los accionistas, incluyendo las reinversiones de utilidades, capitalización de reservas y otras, representado por acciones nominativas debidamente suscritas.</w:t>
      </w:r>
    </w:p>
    <w:p w:rsidR="00FC4725" w:rsidRPr="00393F93" w:rsidRDefault="00FC4725" w:rsidP="00393F93">
      <w:pPr>
        <w:ind w:left="709" w:hanging="425"/>
        <w:rPr>
          <w:b/>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 xml:space="preserve">Cartera Atrasada: </w:t>
      </w:r>
      <w:r w:rsidRPr="00393F93">
        <w:rPr>
          <w:szCs w:val="22"/>
        </w:rPr>
        <w:t>Es la suma de los créditos vencidos y en cobranza judicial.</w:t>
      </w:r>
    </w:p>
    <w:p w:rsidR="00FC4725" w:rsidRPr="00393F93" w:rsidRDefault="00FC4725" w:rsidP="00393F93">
      <w:pPr>
        <w:ind w:left="709" w:hanging="425"/>
        <w:rPr>
          <w:b/>
          <w:szCs w:val="22"/>
        </w:rPr>
      </w:pPr>
    </w:p>
    <w:p w:rsidR="00FC4725" w:rsidRPr="00393F93" w:rsidRDefault="00FC4725" w:rsidP="00393F93">
      <w:pPr>
        <w:numPr>
          <w:ilvl w:val="0"/>
          <w:numId w:val="26"/>
        </w:numPr>
        <w:tabs>
          <w:tab w:val="clear" w:pos="1070"/>
        </w:tabs>
        <w:ind w:left="709" w:hanging="425"/>
        <w:rPr>
          <w:szCs w:val="22"/>
        </w:rPr>
      </w:pPr>
      <w:r w:rsidRPr="00393F93">
        <w:rPr>
          <w:b/>
          <w:szCs w:val="22"/>
        </w:rPr>
        <w:t xml:space="preserve">Cartera de Alto Riesgo: </w:t>
      </w:r>
      <w:r w:rsidRPr="00393F93">
        <w:rPr>
          <w:szCs w:val="22"/>
        </w:rPr>
        <w:t>Es la suma de los créditos reestructurados, refinanciados, vencidos y  en cobranza judicial.</w:t>
      </w:r>
    </w:p>
    <w:p w:rsidR="00FC4725" w:rsidRPr="00393F93" w:rsidRDefault="00FC4725" w:rsidP="00393F93">
      <w:pPr>
        <w:ind w:left="284"/>
        <w:rPr>
          <w:b/>
          <w:szCs w:val="22"/>
        </w:rPr>
      </w:pPr>
    </w:p>
    <w:p w:rsidR="00FC4725" w:rsidRPr="00393F93" w:rsidRDefault="00FC4725" w:rsidP="00393F93">
      <w:pPr>
        <w:numPr>
          <w:ilvl w:val="0"/>
          <w:numId w:val="26"/>
        </w:numPr>
        <w:tabs>
          <w:tab w:val="clear" w:pos="1070"/>
        </w:tabs>
        <w:ind w:left="709" w:hanging="425"/>
        <w:rPr>
          <w:b/>
          <w:szCs w:val="22"/>
        </w:rPr>
      </w:pPr>
      <w:r w:rsidRPr="00393F93">
        <w:rPr>
          <w:b/>
          <w:szCs w:val="22"/>
        </w:rPr>
        <w:t xml:space="preserve">Cartera Pesada: </w:t>
      </w:r>
      <w:r w:rsidRPr="00393F93">
        <w:rPr>
          <w:szCs w:val="22"/>
        </w:rPr>
        <w:t>Es la suma de los créditos directos e indirectos con calificaciones crediticias del deudor de deficiente, dudoso y pérdida.</w:t>
      </w:r>
    </w:p>
    <w:p w:rsidR="00FC4725" w:rsidRPr="00393F93" w:rsidRDefault="00FC4725" w:rsidP="00393F93">
      <w:pPr>
        <w:rPr>
          <w:b/>
          <w:szCs w:val="22"/>
          <w:highlight w:val="magenta"/>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Créditos Directos: </w:t>
      </w:r>
      <w:r w:rsidRPr="00393F93">
        <w:rPr>
          <w:szCs w:val="22"/>
        </w:rPr>
        <w:t>Es la suma de los créditos vigentes, reestructurados, refinanciados, vencidos y en cobranza judicial. Los créditos en moneda nacional incluyen también los de valor de actualización constante. Para convertir los créditos en moneda extranjera se utiliza el tipo de cambio contable de fin de periodo.</w:t>
      </w:r>
    </w:p>
    <w:p w:rsidR="00FC4725" w:rsidRPr="00393F93" w:rsidRDefault="00FC4725" w:rsidP="00393F93">
      <w:pPr>
        <w:pStyle w:val="Prrafodelista"/>
        <w:jc w:val="both"/>
        <w:rPr>
          <w:rFonts w:ascii="Arial Narrow" w:hAnsi="Arial Narrow"/>
          <w:szCs w:val="22"/>
        </w:rPr>
      </w:pPr>
    </w:p>
    <w:p w:rsidR="00FC4725" w:rsidRPr="00E142AE" w:rsidRDefault="00FC4725" w:rsidP="00393F93">
      <w:pPr>
        <w:numPr>
          <w:ilvl w:val="0"/>
          <w:numId w:val="26"/>
        </w:numPr>
        <w:tabs>
          <w:tab w:val="clear" w:pos="1070"/>
          <w:tab w:val="num" w:pos="709"/>
          <w:tab w:val="left" w:pos="851"/>
        </w:tabs>
        <w:ind w:left="709" w:hanging="425"/>
        <w:rPr>
          <w:szCs w:val="22"/>
        </w:rPr>
      </w:pPr>
      <w:r w:rsidRPr="00E142AE">
        <w:rPr>
          <w:b/>
          <w:szCs w:val="22"/>
        </w:rPr>
        <w:t>Créditos Castigados:</w:t>
      </w:r>
      <w:r w:rsidRPr="00E142AE">
        <w:rPr>
          <w:szCs w:val="22"/>
        </w:rPr>
        <w:t xml:space="preserve"> Créditos clasificados como pérdida, íntegramente provisionados, </w:t>
      </w:r>
      <w:r w:rsidR="002B7EE5" w:rsidRPr="00E142AE">
        <w:rPr>
          <w:szCs w:val="22"/>
        </w:rPr>
        <w:t xml:space="preserve">que han sido retirados de los balances de las empresas. Para castigar un crédito, debe existir </w:t>
      </w:r>
      <w:r w:rsidRPr="00E142AE">
        <w:rPr>
          <w:szCs w:val="22"/>
        </w:rPr>
        <w:t xml:space="preserve">evidencia real de su irrecuperabilidad o </w:t>
      </w:r>
      <w:r w:rsidR="00E142AE" w:rsidRPr="00E142AE">
        <w:rPr>
          <w:szCs w:val="22"/>
        </w:rPr>
        <w:t xml:space="preserve">debe ser por un </w:t>
      </w:r>
      <w:r w:rsidR="00824EE9" w:rsidRPr="00E142AE">
        <w:rPr>
          <w:szCs w:val="22"/>
        </w:rPr>
        <w:t xml:space="preserve">monto </w:t>
      </w:r>
      <w:r w:rsidR="00E142AE" w:rsidRPr="00E142AE">
        <w:rPr>
          <w:szCs w:val="22"/>
        </w:rPr>
        <w:t>que</w:t>
      </w:r>
      <w:r w:rsidR="00824EE9" w:rsidRPr="00E142AE">
        <w:rPr>
          <w:szCs w:val="22"/>
        </w:rPr>
        <w:t xml:space="preserve"> no </w:t>
      </w:r>
      <w:r w:rsidRPr="00E142AE">
        <w:rPr>
          <w:szCs w:val="22"/>
        </w:rPr>
        <w:t>justifique iniciar acción judicial o arbitral.</w:t>
      </w:r>
    </w:p>
    <w:p w:rsidR="00FC4725" w:rsidRPr="00393F93" w:rsidRDefault="00FC4725" w:rsidP="00393F93">
      <w:pPr>
        <w:pStyle w:val="Prrafodelista"/>
        <w:jc w:val="both"/>
        <w:rPr>
          <w:rFonts w:ascii="Arial Narrow" w:hAnsi="Arial Narrow"/>
          <w:szCs w:val="22"/>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t>Créditos por Categoría de Riesgo del Deudor:</w:t>
      </w:r>
      <w:r w:rsidR="00393F93">
        <w:rPr>
          <w:b/>
          <w:szCs w:val="22"/>
        </w:rPr>
        <w:t xml:space="preserve"> </w:t>
      </w:r>
    </w:p>
    <w:p w:rsidR="00FC4725" w:rsidRPr="00393F93" w:rsidRDefault="00FC4725" w:rsidP="00393F93">
      <w:pPr>
        <w:tabs>
          <w:tab w:val="left" w:pos="851"/>
        </w:tabs>
        <w:ind w:left="1070"/>
        <w:rPr>
          <w:szCs w:val="22"/>
        </w:rPr>
      </w:pPr>
    </w:p>
    <w:p w:rsidR="00393F93" w:rsidRDefault="00393F93" w:rsidP="00393F93">
      <w:pPr>
        <w:tabs>
          <w:tab w:val="left" w:pos="851"/>
        </w:tabs>
        <w:ind w:left="709"/>
        <w:rPr>
          <w:szCs w:val="22"/>
        </w:rPr>
      </w:pPr>
      <w:r w:rsidRPr="00393F93">
        <w:rPr>
          <w:b/>
          <w:szCs w:val="22"/>
        </w:rPr>
        <w:t>Créditos en Categoría Normal:</w:t>
      </w:r>
      <w:r w:rsidRPr="00393F93">
        <w:rPr>
          <w:szCs w:val="22"/>
        </w:rPr>
        <w:t xml:space="preserve"> En el caso de los créditos corporativos, a grandes empresas y a medianas empresas, corresponde a los créditos de los deudores que presentan una situación financiera líquida, con bajo nivel de endeudamiento patrimonial y adecuada estructura del mismo con relación a su capacidad de generar utilidades; y cumplen puntualmente con el pago de sus obligaciones. En el caso de los créditos a pequeñas empresas, a microempresas y  de consumo, corresponde a los créditos de los deudores que vienen cumpliendo con el pago de sus cuotas de acuerdo a lo convenido o con un atraso de hasta 8 días calendario. Para los créditos hipotecarios para vivienda, comprende los créditos de los deudores que vienen cumpliendo con el pago de sus créditos de acuerdo a lo convenido o con un atraso de hasta 30 días calendario.</w:t>
      </w:r>
    </w:p>
    <w:p w:rsidR="00393F93" w:rsidRPr="00393F93" w:rsidRDefault="00393F93" w:rsidP="00393F93">
      <w:pPr>
        <w:tabs>
          <w:tab w:val="left" w:pos="851"/>
        </w:tabs>
        <w:ind w:left="709"/>
        <w:rPr>
          <w:szCs w:val="22"/>
        </w:rPr>
      </w:pPr>
    </w:p>
    <w:p w:rsidR="00393F93" w:rsidRDefault="00393F93" w:rsidP="00393F93">
      <w:pPr>
        <w:tabs>
          <w:tab w:val="left" w:pos="851"/>
        </w:tabs>
        <w:ind w:left="709"/>
        <w:rPr>
          <w:szCs w:val="22"/>
        </w:rPr>
      </w:pPr>
      <w:r w:rsidRPr="00393F93">
        <w:rPr>
          <w:b/>
          <w:szCs w:val="22"/>
        </w:rPr>
        <w:t>Créditos en Categoría CPP (Con Problemas Potenciales):</w:t>
      </w:r>
      <w:r w:rsidRPr="00393F93">
        <w:rPr>
          <w:szCs w:val="22"/>
        </w:rPr>
        <w:t xml:space="preserve"> En el caso de los créditos corporativos, a grandes empresas y a medianas empresas corresponde a los créditos de los deudores que presentan una buena situación financiera y rentabilidad, con moderado endeudamiento patrimonial y adecuado flujo de caja para el pago de las deudas por capital e intereses, aunque su flujo de caja podría debilitarse para afrontar los pagos; o registran incumplimientos ocasionales y reducidos en el pago de sus créditos que no exceden los 60 días calendario. En el caso de los créditos a pequeñas empresas, a microempresas y de consumo, comprende los créditos de los deudores que registran atraso en el pago entre 9 y 30 días calendario. En los créditos hipotecarios para vivienda, corresponde a los créditos de los deudores que muestran atraso entre 31 y 60 días calendario.</w:t>
      </w:r>
    </w:p>
    <w:p w:rsidR="00393F93" w:rsidRDefault="00393F93" w:rsidP="00393F93">
      <w:pPr>
        <w:tabs>
          <w:tab w:val="left" w:pos="851"/>
        </w:tabs>
        <w:ind w:left="709"/>
        <w:rPr>
          <w:szCs w:val="22"/>
        </w:rPr>
      </w:pPr>
      <w:r w:rsidRPr="00393F93">
        <w:rPr>
          <w:b/>
          <w:szCs w:val="22"/>
        </w:rPr>
        <w:lastRenderedPageBreak/>
        <w:t xml:space="preserve">Créditos en Categoría Deficiente: </w:t>
      </w:r>
      <w:r w:rsidRPr="00393F93">
        <w:rPr>
          <w:szCs w:val="22"/>
        </w:rPr>
        <w:t>En el caso de los créditos corporativos, a grandes empresas y a medianas empresas comprende los créditos de los deudores que presentan una situación financiera débil y un flujo de caja que no le permite atender el pago de la totalidad del capital e intereses de las deudas, cuya proyección del flujo de caja no muestra mejoría en el tiempo y presenta alta sensibilidad a cambios en variables significativas, y que muestran una escasa capacidad de generar utilidades; o registran atraso en el pago de sus créditos entre 61 y 120 días calendario. En el caso de los créditos a las pequeñas empresas, a microempresas y de consumo se consideran los créditos a los deudores que registran atraso en el pago entre 31 y 60 días calendario. En los créditos hipotecarios para vivienda, comprende los créditos de los deudores que muestran atraso en el pago de sus créditos entre 61 y 120 días calendario.</w:t>
      </w:r>
    </w:p>
    <w:p w:rsidR="00393F93" w:rsidRPr="00393F93" w:rsidRDefault="00393F93" w:rsidP="00393F93">
      <w:pPr>
        <w:tabs>
          <w:tab w:val="left" w:pos="851"/>
        </w:tabs>
        <w:ind w:left="709"/>
        <w:rPr>
          <w:szCs w:val="22"/>
        </w:rPr>
      </w:pPr>
    </w:p>
    <w:p w:rsidR="00FC4725" w:rsidRPr="00393F93" w:rsidRDefault="00FC4725" w:rsidP="00393F93">
      <w:pPr>
        <w:tabs>
          <w:tab w:val="left" w:pos="851"/>
        </w:tabs>
        <w:ind w:left="709"/>
        <w:rPr>
          <w:szCs w:val="22"/>
        </w:rPr>
      </w:pPr>
      <w:r w:rsidRPr="00393F93">
        <w:rPr>
          <w:b/>
          <w:szCs w:val="22"/>
        </w:rPr>
        <w:t xml:space="preserve">Créditos en Categoría Dudoso: </w:t>
      </w:r>
      <w:r w:rsidRPr="00393F93">
        <w:rPr>
          <w:szCs w:val="22"/>
        </w:rPr>
        <w:t>En el caso de los créditos corporativos, a grandes empresas y a medianas empresas comprende los créditos de los deudores que presentan un flujo de caja insuficiente, no alcanzando a cubrir el pago de capital ni de intereses, y que muestran una situación financiera crítica con un alto nivel de endeudamiento patrimonial; o que registran atrasos mayores entre 121 y 365 días. En el caso de los créditos a pequeñas empresas, a microempresas y de consumo se consideran los créditos de los deudores que registran atraso en el pago de 61 a 120 días calendario, mientras que en los créditos hipotecarios para vivienda corresponde a los créditos de los deudores que muestran atraso entre 121 y 365 días calendario.</w:t>
      </w:r>
    </w:p>
    <w:p w:rsidR="00FC4725" w:rsidRPr="00393F93" w:rsidRDefault="00FC4725" w:rsidP="00393F93">
      <w:pPr>
        <w:tabs>
          <w:tab w:val="left" w:pos="851"/>
        </w:tabs>
        <w:ind w:left="709"/>
        <w:rPr>
          <w:b/>
          <w:szCs w:val="22"/>
        </w:rPr>
      </w:pPr>
    </w:p>
    <w:p w:rsidR="00393F93" w:rsidRPr="00393F93" w:rsidRDefault="00393F93" w:rsidP="00393F93">
      <w:pPr>
        <w:tabs>
          <w:tab w:val="left" w:pos="851"/>
        </w:tabs>
        <w:ind w:left="709"/>
        <w:rPr>
          <w:szCs w:val="22"/>
        </w:rPr>
      </w:pPr>
      <w:r w:rsidRPr="00393F93">
        <w:rPr>
          <w:b/>
          <w:szCs w:val="22"/>
        </w:rPr>
        <w:t xml:space="preserve">Créditos en Categoría Pérdida: </w:t>
      </w:r>
      <w:r w:rsidRPr="00393F93">
        <w:rPr>
          <w:szCs w:val="22"/>
        </w:rPr>
        <w:t>En el caso de los créditos corporativos, a grandes empresas y a medianas empresas comprende los créditos de los deudores que presentan un flujo de caja que no alcanza a cubrir sus costos, se encuentran en suspensión de pagos, en estado de insolvencia decretada; o registran atrasos mayores a 365 días. En el caso de los créditos a pequeñas empresas, a microempresas y de consumo considera los créditos de los deudores que  muestran atraso mayor a 120 días calendario, mientras que en los créditos hipotecarios para vivienda comprende los créditos de los deudores que muestran atraso en el pago de más de 365 días calendario.</w:t>
      </w:r>
    </w:p>
    <w:p w:rsidR="00FC4725" w:rsidRPr="00393F93" w:rsidRDefault="00FC4725" w:rsidP="00393F93">
      <w:pPr>
        <w:tabs>
          <w:tab w:val="left" w:pos="851"/>
        </w:tabs>
        <w:ind w:left="709"/>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Créditos por Tipo: </w:t>
      </w:r>
      <w:r w:rsidRPr="00393F93">
        <w:rPr>
          <w:szCs w:val="22"/>
        </w:rPr>
        <w:t xml:space="preserve">Los créditos se clasifican en ocho tipos de crédito tomando en consideración los siguientes criterios: nivel de ventas anuales del deudor, nivel de endeudamiento en el sistema financiero (SF) y destino </w:t>
      </w:r>
      <w:r w:rsidR="00E142AE">
        <w:rPr>
          <w:szCs w:val="22"/>
        </w:rPr>
        <w:t>del crédito</w:t>
      </w:r>
      <w:r w:rsidRPr="00393F93">
        <w:rPr>
          <w:szCs w:val="22"/>
        </w:rPr>
        <w:t>.</w:t>
      </w:r>
    </w:p>
    <w:p w:rsidR="00FC4725" w:rsidRPr="00393F93" w:rsidRDefault="00FC4725" w:rsidP="00393F93">
      <w:pPr>
        <w:tabs>
          <w:tab w:val="num" w:pos="709"/>
        </w:tabs>
        <w:ind w:left="709"/>
        <w:rPr>
          <w:szCs w:val="22"/>
        </w:rPr>
      </w:pPr>
    </w:p>
    <w:p w:rsidR="00FC4725" w:rsidRPr="00393F93" w:rsidRDefault="00FC4725" w:rsidP="00393F93">
      <w:pPr>
        <w:tabs>
          <w:tab w:val="num" w:pos="709"/>
          <w:tab w:val="left" w:pos="851"/>
        </w:tabs>
        <w:ind w:left="709"/>
        <w:rPr>
          <w:szCs w:val="22"/>
        </w:rPr>
      </w:pPr>
      <w:r w:rsidRPr="00393F93">
        <w:rPr>
          <w:b/>
          <w:szCs w:val="22"/>
        </w:rPr>
        <w:t xml:space="preserve">Créditos Corporativos: </w:t>
      </w:r>
      <w:r w:rsidRPr="00393F93">
        <w:rPr>
          <w:szCs w:val="22"/>
        </w:rPr>
        <w:t>Créditos otorgados a personas jurídicas con ventas anuales mayores a S/. 200 millones en los dos últimos años, de acuerdo a los estados financieros anuales auditados más recientes. Adicionalmente, se consideran como corporativos a los créditos soberanos, a los créditos concedidos a bancos multilaterales de desarrollo, a entidades del sector público (incluyendo gobiernos locales y regionales), a intermediarios de valores, a empresas del sistema financiero, a los patrimonios autónomos de seguro de crédito y a fondos de garantía constituidos conforme a Ley.</w:t>
      </w:r>
    </w:p>
    <w:p w:rsidR="00FC4725" w:rsidRPr="00393F93" w:rsidRDefault="00FC4725" w:rsidP="00393F93">
      <w:pPr>
        <w:tabs>
          <w:tab w:val="num" w:pos="709"/>
          <w:tab w:val="left" w:pos="851"/>
        </w:tabs>
        <w:ind w:left="709"/>
        <w:rPr>
          <w:b/>
          <w:szCs w:val="22"/>
        </w:rPr>
      </w:pPr>
    </w:p>
    <w:p w:rsidR="00FC4725" w:rsidRPr="00393F93" w:rsidRDefault="00FC4725" w:rsidP="00393F93">
      <w:pPr>
        <w:tabs>
          <w:tab w:val="num" w:pos="709"/>
          <w:tab w:val="left" w:pos="851"/>
        </w:tabs>
        <w:ind w:left="709"/>
        <w:rPr>
          <w:szCs w:val="22"/>
        </w:rPr>
      </w:pPr>
      <w:r w:rsidRPr="00393F93">
        <w:rPr>
          <w:b/>
          <w:szCs w:val="22"/>
        </w:rPr>
        <w:t xml:space="preserve">Créditos a Grandes Empresas: </w:t>
      </w:r>
      <w:r w:rsidRPr="00393F93">
        <w:rPr>
          <w:szCs w:val="22"/>
        </w:rPr>
        <w:t>Créditos otorgados a personas jurídicas con ventas anuales mayores a S/. 20 millones pero no mayores a S/. 200 millones en los dos últimos años, o a deudores que hayan mantenido en el último año emisiones de instrumentos representativos de deuda en el mercado de capitales.</w:t>
      </w:r>
    </w:p>
    <w:p w:rsidR="00FC4725" w:rsidRPr="00393F93" w:rsidRDefault="00FC4725" w:rsidP="00393F93">
      <w:pPr>
        <w:pStyle w:val="Prrafodelista"/>
        <w:tabs>
          <w:tab w:val="num" w:pos="709"/>
        </w:tabs>
        <w:ind w:left="709" w:hanging="425"/>
        <w:jc w:val="both"/>
        <w:rPr>
          <w:rFonts w:ascii="Arial Narrow" w:hAnsi="Arial Narrow"/>
          <w:szCs w:val="22"/>
        </w:rPr>
      </w:pPr>
    </w:p>
    <w:p w:rsidR="00FC4725" w:rsidRPr="00393F93" w:rsidRDefault="00FC4725" w:rsidP="00393F93">
      <w:pPr>
        <w:tabs>
          <w:tab w:val="num" w:pos="709"/>
          <w:tab w:val="left" w:pos="851"/>
        </w:tabs>
        <w:ind w:left="709"/>
        <w:rPr>
          <w:szCs w:val="22"/>
        </w:rPr>
      </w:pPr>
      <w:r w:rsidRPr="00393F93">
        <w:rPr>
          <w:b/>
          <w:szCs w:val="22"/>
        </w:rPr>
        <w:lastRenderedPageBreak/>
        <w:t xml:space="preserve">Créditos a Medianas Empresas: </w:t>
      </w:r>
      <w:r w:rsidRPr="00393F93">
        <w:rPr>
          <w:szCs w:val="22"/>
        </w:rPr>
        <w:t>Créditos otorgados a personas jurídicas que tienen un endeudamiento total en el sistema financiero (SF) superior a S/. 300 mil en los últimos seis meses y no cumplen con las características para ser considerados como corporativos o grandes empresas. Incluye también los créditos otorgados a personas naturales que tengan un endeudamiento total en el SF (sin incluir créditos hipotecarios para vivienda) superior a S/. 300 mil en los últimos seis meses, siempre que parte de dicho endeudamiento corresponda a pequeñas empresas o a microempresas.</w:t>
      </w:r>
    </w:p>
    <w:p w:rsidR="00FC4725" w:rsidRPr="00393F93" w:rsidRDefault="00FC4725" w:rsidP="00393F93">
      <w:pPr>
        <w:pStyle w:val="Prrafodelista"/>
        <w:tabs>
          <w:tab w:val="num" w:pos="709"/>
        </w:tabs>
        <w:ind w:left="709" w:hanging="425"/>
        <w:jc w:val="both"/>
        <w:rPr>
          <w:rFonts w:ascii="Arial Narrow" w:hAnsi="Arial Narrow"/>
          <w:szCs w:val="22"/>
        </w:rPr>
      </w:pPr>
    </w:p>
    <w:p w:rsidR="00FC4725" w:rsidRPr="00393F93" w:rsidRDefault="00FC4725" w:rsidP="00393F93">
      <w:pPr>
        <w:tabs>
          <w:tab w:val="num" w:pos="709"/>
          <w:tab w:val="left" w:pos="851"/>
        </w:tabs>
        <w:ind w:left="709"/>
        <w:rPr>
          <w:szCs w:val="22"/>
        </w:rPr>
      </w:pPr>
      <w:r w:rsidRPr="00393F93">
        <w:rPr>
          <w:b/>
          <w:szCs w:val="22"/>
        </w:rPr>
        <w:t xml:space="preserve">Créditos a Pequeñas Empresas: </w:t>
      </w:r>
      <w:r w:rsidRPr="00393F93">
        <w:rPr>
          <w:szCs w:val="22"/>
        </w:rPr>
        <w:t>Créditos destinados a financiar actividades de producción, comercialización o prestación de servicios, otorgados a personas naturales o jurídicas, cuyo endeudamiento total en el SF (sin incluir créditos hipotecarios para vivienda) es superior a S/. 20 mil pero no mayor a S/. 300 mil en los últimos seis meses.</w:t>
      </w:r>
    </w:p>
    <w:p w:rsidR="00FC4725" w:rsidRPr="00393F93" w:rsidRDefault="00FC4725" w:rsidP="00393F93">
      <w:pPr>
        <w:pStyle w:val="Prrafodelista"/>
        <w:tabs>
          <w:tab w:val="num" w:pos="709"/>
        </w:tabs>
        <w:ind w:left="709" w:hanging="425"/>
        <w:jc w:val="both"/>
        <w:rPr>
          <w:rFonts w:ascii="Arial Narrow" w:hAnsi="Arial Narrow"/>
          <w:szCs w:val="22"/>
        </w:rPr>
      </w:pPr>
    </w:p>
    <w:p w:rsidR="00FC4725" w:rsidRPr="00393F93" w:rsidRDefault="00FC4725" w:rsidP="00393F93">
      <w:pPr>
        <w:tabs>
          <w:tab w:val="num" w:pos="709"/>
          <w:tab w:val="left" w:pos="851"/>
        </w:tabs>
        <w:ind w:left="709"/>
        <w:rPr>
          <w:szCs w:val="22"/>
        </w:rPr>
      </w:pPr>
      <w:r w:rsidRPr="00393F93">
        <w:rPr>
          <w:b/>
          <w:szCs w:val="22"/>
        </w:rPr>
        <w:t xml:space="preserve">Créditos a Microempresas: </w:t>
      </w:r>
      <w:r w:rsidRPr="00393F93">
        <w:rPr>
          <w:szCs w:val="22"/>
        </w:rPr>
        <w:t xml:space="preserve">Créditos destinados a financiar actividades de producción, comercialización o prestación de servicios, otorgados a personas naturales o jurídicas, cuyo endeudamiento en el SF (sin incluir créditos hipotecarios para vivienda) es no mayor a S/. 20 mil en los últimos seis meses. </w:t>
      </w:r>
    </w:p>
    <w:p w:rsidR="00FC4725" w:rsidRPr="00393F93" w:rsidRDefault="00FC4725" w:rsidP="00393F93">
      <w:pPr>
        <w:pStyle w:val="Prrafodelista"/>
        <w:tabs>
          <w:tab w:val="num" w:pos="709"/>
        </w:tabs>
        <w:ind w:left="709" w:hanging="425"/>
        <w:jc w:val="both"/>
        <w:rPr>
          <w:rFonts w:ascii="Arial Narrow" w:hAnsi="Arial Narrow"/>
          <w:szCs w:val="22"/>
        </w:rPr>
      </w:pPr>
    </w:p>
    <w:p w:rsidR="00FC4725" w:rsidRPr="00393F93" w:rsidRDefault="00FC4725" w:rsidP="00393F93">
      <w:pPr>
        <w:tabs>
          <w:tab w:val="num" w:pos="709"/>
          <w:tab w:val="left" w:pos="851"/>
        </w:tabs>
        <w:ind w:left="709"/>
        <w:rPr>
          <w:szCs w:val="22"/>
        </w:rPr>
      </w:pPr>
      <w:r w:rsidRPr="00393F93">
        <w:rPr>
          <w:b/>
          <w:szCs w:val="22"/>
        </w:rPr>
        <w:t>Créditos de Consumo:</w:t>
      </w:r>
      <w:r w:rsidRPr="00393F93">
        <w:rPr>
          <w:szCs w:val="22"/>
        </w:rPr>
        <w:t xml:space="preserve"> Créditos otorgados a personas naturales con la finalidad de atender el pago de bienes, servicios o gastos no relacionados con la actividad empresarial.</w:t>
      </w:r>
    </w:p>
    <w:p w:rsidR="00FC4725" w:rsidRPr="00393F93" w:rsidRDefault="00FC4725" w:rsidP="00393F93">
      <w:pPr>
        <w:pStyle w:val="Prrafodelista"/>
        <w:tabs>
          <w:tab w:val="num" w:pos="709"/>
        </w:tabs>
        <w:ind w:left="709" w:hanging="425"/>
        <w:jc w:val="both"/>
        <w:rPr>
          <w:rFonts w:ascii="Arial Narrow" w:hAnsi="Arial Narrow"/>
          <w:szCs w:val="22"/>
        </w:rPr>
      </w:pPr>
    </w:p>
    <w:p w:rsidR="00FC4725" w:rsidRPr="00393F93" w:rsidRDefault="00FC4725" w:rsidP="00393F93">
      <w:pPr>
        <w:tabs>
          <w:tab w:val="num" w:pos="709"/>
          <w:tab w:val="left" w:pos="851"/>
        </w:tabs>
        <w:ind w:left="709"/>
        <w:rPr>
          <w:szCs w:val="22"/>
        </w:rPr>
      </w:pPr>
      <w:r w:rsidRPr="00393F93">
        <w:rPr>
          <w:b/>
          <w:szCs w:val="22"/>
        </w:rPr>
        <w:t xml:space="preserve">Créditos Hipotecarios para Vivienda: </w:t>
      </w:r>
      <w:r w:rsidRPr="00393F93">
        <w:rPr>
          <w:szCs w:val="22"/>
        </w:rPr>
        <w:t xml:space="preserve">Créditos otorgados a personas naturales para la adquisición, construcción, refacción, remodelación, ampliación, mejoramiento y subdivisión de vivienda propia, siempre que tales créditos se otorguen amparados con hipotecas debidamente inscritas. También incluyen los créditos para la adquisición o construcción de vivienda propia que, por tratarse de bienes futuros, bienes en proceso de </w:t>
      </w:r>
      <w:proofErr w:type="spellStart"/>
      <w:r w:rsidRPr="00393F93">
        <w:rPr>
          <w:szCs w:val="22"/>
        </w:rPr>
        <w:t>independización</w:t>
      </w:r>
      <w:proofErr w:type="spellEnd"/>
      <w:r w:rsidRPr="00393F93">
        <w:rPr>
          <w:szCs w:val="22"/>
        </w:rPr>
        <w:t xml:space="preserve"> o inscripción, no es posible constituir sobre ellos la hipoteca individualizada.</w:t>
      </w:r>
    </w:p>
    <w:p w:rsidR="00FC4725" w:rsidRPr="00393F93" w:rsidRDefault="00FC4725" w:rsidP="00393F93">
      <w:pPr>
        <w:tabs>
          <w:tab w:val="num" w:pos="709"/>
          <w:tab w:val="left" w:pos="851"/>
        </w:tabs>
        <w:ind w:left="709"/>
        <w:rPr>
          <w:szCs w:val="22"/>
        </w:rPr>
      </w:pPr>
    </w:p>
    <w:p w:rsidR="00FC4725" w:rsidRPr="00393F93" w:rsidRDefault="00FC4725" w:rsidP="00393F93">
      <w:pPr>
        <w:numPr>
          <w:ilvl w:val="0"/>
          <w:numId w:val="26"/>
        </w:numPr>
        <w:tabs>
          <w:tab w:val="clear" w:pos="1070"/>
          <w:tab w:val="num" w:pos="709"/>
          <w:tab w:val="left" w:pos="851"/>
        </w:tabs>
        <w:ind w:left="709" w:hanging="425"/>
        <w:rPr>
          <w:rFonts w:cs="Arial"/>
          <w:szCs w:val="22"/>
        </w:rPr>
      </w:pPr>
      <w:r w:rsidRPr="00393F93">
        <w:rPr>
          <w:rFonts w:cs="Arial"/>
          <w:b/>
          <w:szCs w:val="22"/>
        </w:rPr>
        <w:t>Créditos por Modalidad:</w:t>
      </w:r>
    </w:p>
    <w:p w:rsidR="00FC4725" w:rsidRPr="00393F93" w:rsidRDefault="00FC4725" w:rsidP="00393F93">
      <w:pPr>
        <w:pStyle w:val="Prrafodelista"/>
        <w:tabs>
          <w:tab w:val="num" w:pos="709"/>
        </w:tabs>
        <w:ind w:left="709" w:hanging="425"/>
        <w:jc w:val="both"/>
        <w:rPr>
          <w:rFonts w:ascii="Arial Narrow" w:hAnsi="Arial Narrow" w:cs="Arial"/>
          <w:szCs w:val="22"/>
        </w:rPr>
      </w:pPr>
    </w:p>
    <w:p w:rsidR="00FC4725" w:rsidRPr="00393F93" w:rsidRDefault="00FC4725" w:rsidP="00393F93">
      <w:pPr>
        <w:tabs>
          <w:tab w:val="num" w:pos="709"/>
          <w:tab w:val="left" w:pos="851"/>
        </w:tabs>
        <w:ind w:left="709"/>
        <w:rPr>
          <w:rFonts w:cs="Arial"/>
          <w:szCs w:val="22"/>
        </w:rPr>
      </w:pPr>
      <w:r w:rsidRPr="00393F93">
        <w:rPr>
          <w:rFonts w:cs="Arial"/>
          <w:b/>
          <w:szCs w:val="22"/>
        </w:rPr>
        <w:t xml:space="preserve">Arrendamiento Financiero: </w:t>
      </w:r>
      <w:r w:rsidRPr="00393F93">
        <w:rPr>
          <w:rFonts w:cs="Arial"/>
          <w:szCs w:val="22"/>
        </w:rPr>
        <w:t>Modalidad de crédito mediante un contrato en el cual la institución financiera propietaria de un bien entrega en uso un activo al usuario a cambio del pago de una renta durante un plazo pactado e irrevocable, al término del cual el arrendatario tendrá la opción de comprarlo.</w:t>
      </w:r>
    </w:p>
    <w:p w:rsidR="00FC4725" w:rsidRPr="00393F93" w:rsidRDefault="00FC4725" w:rsidP="00393F93">
      <w:pPr>
        <w:tabs>
          <w:tab w:val="num" w:pos="709"/>
          <w:tab w:val="left" w:pos="851"/>
        </w:tabs>
        <w:ind w:left="709" w:hanging="425"/>
        <w:rPr>
          <w:rFonts w:cs="Arial"/>
          <w:szCs w:val="22"/>
        </w:rPr>
      </w:pPr>
    </w:p>
    <w:p w:rsidR="00FC4725" w:rsidRPr="00393F93" w:rsidRDefault="00FC4725" w:rsidP="00393F93">
      <w:pPr>
        <w:tabs>
          <w:tab w:val="num" w:pos="709"/>
          <w:tab w:val="left" w:pos="851"/>
        </w:tabs>
        <w:ind w:left="709"/>
        <w:rPr>
          <w:rFonts w:cs="Arial"/>
          <w:szCs w:val="22"/>
        </w:rPr>
      </w:pPr>
      <w:r w:rsidRPr="00393F93">
        <w:rPr>
          <w:rFonts w:cs="Arial"/>
          <w:b/>
          <w:szCs w:val="22"/>
        </w:rPr>
        <w:t xml:space="preserve">Comercio Exterior: </w:t>
      </w:r>
      <w:r w:rsidRPr="00393F93">
        <w:rPr>
          <w:rFonts w:cs="Arial"/>
          <w:szCs w:val="22"/>
        </w:rPr>
        <w:t>Modalidad que comprende los créditos destinados a financiar operaciones de comercio exterior.</w:t>
      </w:r>
    </w:p>
    <w:p w:rsidR="00FC4725" w:rsidRPr="00393F93" w:rsidRDefault="00FC4725" w:rsidP="00393F93">
      <w:pPr>
        <w:tabs>
          <w:tab w:val="num" w:pos="709"/>
          <w:tab w:val="left" w:pos="851"/>
        </w:tabs>
        <w:ind w:left="709"/>
        <w:rPr>
          <w:rFonts w:cs="Arial"/>
          <w:b/>
          <w:szCs w:val="22"/>
        </w:rPr>
      </w:pPr>
    </w:p>
    <w:p w:rsidR="00FC4725" w:rsidRPr="00393F93" w:rsidRDefault="00FC4725" w:rsidP="00393F93">
      <w:pPr>
        <w:tabs>
          <w:tab w:val="num" w:pos="709"/>
          <w:tab w:val="left" w:pos="851"/>
        </w:tabs>
        <w:ind w:left="709"/>
        <w:rPr>
          <w:rFonts w:cs="Arial"/>
          <w:szCs w:val="22"/>
        </w:rPr>
      </w:pPr>
      <w:r w:rsidRPr="00393F93">
        <w:rPr>
          <w:rFonts w:cs="Arial"/>
          <w:b/>
          <w:szCs w:val="22"/>
        </w:rPr>
        <w:t xml:space="preserve">Descuentos: </w:t>
      </w:r>
      <w:r w:rsidRPr="00393F93">
        <w:rPr>
          <w:rFonts w:cs="Arial"/>
          <w:szCs w:val="22"/>
        </w:rPr>
        <w:t>Modalidad mediante la cual la institución financiera adquiere el derecho de cobranza del valor de las facturas, pagarés, letras de cambio y otros títulos valores representativos de deuda no vencidos, mediante el endoso de tales instrumentos de crédito.</w:t>
      </w:r>
    </w:p>
    <w:p w:rsidR="00FC4725" w:rsidRPr="00393F93" w:rsidRDefault="00FC4725" w:rsidP="00393F93">
      <w:pPr>
        <w:tabs>
          <w:tab w:val="num" w:pos="709"/>
          <w:tab w:val="left" w:pos="851"/>
        </w:tabs>
        <w:ind w:left="709" w:hanging="425"/>
        <w:rPr>
          <w:rFonts w:cs="Arial"/>
          <w:szCs w:val="22"/>
        </w:rPr>
      </w:pPr>
    </w:p>
    <w:p w:rsidR="00FC4725" w:rsidRPr="00393F93" w:rsidRDefault="00FC4725" w:rsidP="00393F93">
      <w:pPr>
        <w:tabs>
          <w:tab w:val="num" w:pos="709"/>
          <w:tab w:val="left" w:pos="851"/>
        </w:tabs>
        <w:ind w:left="709"/>
        <w:rPr>
          <w:rFonts w:cs="Arial"/>
          <w:szCs w:val="22"/>
        </w:rPr>
      </w:pPr>
      <w:r w:rsidRPr="0059568B">
        <w:rPr>
          <w:rFonts w:cs="Arial"/>
          <w:b/>
          <w:i/>
          <w:szCs w:val="22"/>
        </w:rPr>
        <w:t>Factoring</w:t>
      </w:r>
      <w:r w:rsidRPr="00393F93">
        <w:rPr>
          <w:rFonts w:cs="Arial"/>
          <w:b/>
          <w:szCs w:val="22"/>
        </w:rPr>
        <w:t xml:space="preserve">: </w:t>
      </w:r>
      <w:r w:rsidRPr="00393F93">
        <w:rPr>
          <w:rFonts w:cs="Arial"/>
          <w:szCs w:val="22"/>
        </w:rPr>
        <w:t>Modalidad mediante la cual la institución financiera adquiere facturas, facturas conformadas y títulos valores representativos de deuda siempre y cuando exista transferencia del riesgo crediticio.</w:t>
      </w:r>
    </w:p>
    <w:p w:rsidR="00FC4725" w:rsidRPr="00393F93" w:rsidRDefault="00FC4725" w:rsidP="00393F93">
      <w:pPr>
        <w:tabs>
          <w:tab w:val="num" w:pos="709"/>
          <w:tab w:val="left" w:pos="851"/>
        </w:tabs>
        <w:ind w:left="709" w:hanging="425"/>
        <w:rPr>
          <w:rFonts w:cs="Arial"/>
          <w:szCs w:val="22"/>
        </w:rPr>
      </w:pPr>
    </w:p>
    <w:p w:rsidR="00FC4725" w:rsidRPr="00393F93" w:rsidRDefault="00FC4725" w:rsidP="00393F93">
      <w:pPr>
        <w:tabs>
          <w:tab w:val="num" w:pos="709"/>
          <w:tab w:val="left" w:pos="851"/>
        </w:tabs>
        <w:ind w:left="709"/>
        <w:rPr>
          <w:rFonts w:cs="Arial"/>
          <w:szCs w:val="22"/>
        </w:rPr>
      </w:pPr>
      <w:proofErr w:type="spellStart"/>
      <w:r w:rsidRPr="00393F93">
        <w:rPr>
          <w:rFonts w:cs="Arial"/>
          <w:b/>
          <w:i/>
          <w:szCs w:val="22"/>
        </w:rPr>
        <w:lastRenderedPageBreak/>
        <w:t>Lease</w:t>
      </w:r>
      <w:proofErr w:type="spellEnd"/>
      <w:r w:rsidRPr="00393F93">
        <w:rPr>
          <w:rFonts w:cs="Arial"/>
          <w:b/>
          <w:i/>
          <w:szCs w:val="22"/>
        </w:rPr>
        <w:t>-back</w:t>
      </w:r>
      <w:r w:rsidRPr="00393F93">
        <w:rPr>
          <w:rFonts w:cs="Arial"/>
          <w:b/>
          <w:szCs w:val="22"/>
        </w:rPr>
        <w:t xml:space="preserve">: </w:t>
      </w:r>
      <w:r w:rsidRPr="00393F93">
        <w:rPr>
          <w:rFonts w:cs="Arial"/>
          <w:szCs w:val="22"/>
        </w:rPr>
        <w:t>Modalidad mediante la cual el cliente vende un bien a la institución financiera, la cual a su vez lo cede en arrendamiento por un tiempo determinado, concediéndole además el derecho de opción de compra al término del contrato.</w:t>
      </w:r>
    </w:p>
    <w:p w:rsidR="00FC4725" w:rsidRPr="00393F93" w:rsidRDefault="00FC4725" w:rsidP="00393F93">
      <w:pPr>
        <w:tabs>
          <w:tab w:val="num" w:pos="709"/>
          <w:tab w:val="left" w:pos="851"/>
        </w:tabs>
        <w:ind w:left="709" w:hanging="425"/>
        <w:rPr>
          <w:rFonts w:cs="Arial"/>
          <w:b/>
          <w:szCs w:val="22"/>
        </w:rPr>
      </w:pPr>
    </w:p>
    <w:p w:rsidR="00FC4725" w:rsidRPr="00393F93" w:rsidRDefault="00FC4725" w:rsidP="00393F93">
      <w:pPr>
        <w:tabs>
          <w:tab w:val="num" w:pos="709"/>
          <w:tab w:val="left" w:pos="851"/>
        </w:tabs>
        <w:ind w:left="709"/>
        <w:rPr>
          <w:rFonts w:cs="Arial"/>
          <w:szCs w:val="22"/>
        </w:rPr>
      </w:pPr>
      <w:r w:rsidRPr="00393F93">
        <w:rPr>
          <w:rFonts w:cs="Arial"/>
          <w:b/>
          <w:szCs w:val="22"/>
        </w:rPr>
        <w:t xml:space="preserve">Pignoraticios: </w:t>
      </w:r>
      <w:r w:rsidRPr="00393F93">
        <w:rPr>
          <w:rFonts w:cs="Arial"/>
          <w:szCs w:val="22"/>
        </w:rPr>
        <w:t>Modalidad que comprende los préstamos otorgados a personas naturales contra entrega física de joyas u otros objetos de oro en garantía.</w:t>
      </w:r>
    </w:p>
    <w:p w:rsidR="00FC4725" w:rsidRPr="00393F93" w:rsidRDefault="00FC4725" w:rsidP="00393F93">
      <w:pPr>
        <w:tabs>
          <w:tab w:val="num" w:pos="709"/>
          <w:tab w:val="left" w:pos="851"/>
        </w:tabs>
        <w:ind w:left="709" w:hanging="425"/>
        <w:rPr>
          <w:rFonts w:cs="Arial"/>
          <w:b/>
          <w:szCs w:val="22"/>
        </w:rPr>
      </w:pPr>
    </w:p>
    <w:p w:rsidR="00FC4725" w:rsidRPr="00393F93" w:rsidRDefault="00FC4725" w:rsidP="00393F93">
      <w:pPr>
        <w:tabs>
          <w:tab w:val="num" w:pos="709"/>
          <w:tab w:val="left" w:pos="851"/>
        </w:tabs>
        <w:ind w:left="709"/>
        <w:rPr>
          <w:rFonts w:cs="Arial"/>
          <w:szCs w:val="22"/>
        </w:rPr>
      </w:pPr>
      <w:r w:rsidRPr="00393F93">
        <w:rPr>
          <w:rFonts w:cs="Arial"/>
          <w:b/>
          <w:szCs w:val="22"/>
        </w:rPr>
        <w:t xml:space="preserve">Préstamos: </w:t>
      </w:r>
      <w:r w:rsidRPr="00393F93">
        <w:rPr>
          <w:rFonts w:cs="Arial"/>
          <w:szCs w:val="22"/>
        </w:rPr>
        <w:t>Modalidad en la que los créditos son concedidos mediante la suscripción de un contrato, que se amortizan en cuotas periódicas o con vencimiento único.</w:t>
      </w:r>
    </w:p>
    <w:p w:rsidR="00FC4725" w:rsidRPr="00393F93" w:rsidRDefault="00FC4725" w:rsidP="00393F93">
      <w:pPr>
        <w:tabs>
          <w:tab w:val="num" w:pos="709"/>
          <w:tab w:val="left" w:pos="851"/>
        </w:tabs>
        <w:ind w:left="709"/>
        <w:rPr>
          <w:rFonts w:cs="Arial"/>
          <w:szCs w:val="22"/>
        </w:rPr>
      </w:pPr>
    </w:p>
    <w:p w:rsidR="00FC4725" w:rsidRPr="00393F93" w:rsidRDefault="00FC4725" w:rsidP="00393F93">
      <w:pPr>
        <w:tabs>
          <w:tab w:val="num" w:pos="709"/>
          <w:tab w:val="left" w:pos="851"/>
        </w:tabs>
        <w:ind w:left="709"/>
        <w:rPr>
          <w:rFonts w:cs="Arial"/>
          <w:b/>
          <w:szCs w:val="22"/>
        </w:rPr>
      </w:pPr>
      <w:r w:rsidRPr="00393F93">
        <w:rPr>
          <w:rFonts w:cs="Arial"/>
          <w:b/>
          <w:szCs w:val="22"/>
        </w:rPr>
        <w:t xml:space="preserve">Préstamos no revolventes para automóviles: </w:t>
      </w:r>
      <w:r w:rsidRPr="00393F93">
        <w:rPr>
          <w:rFonts w:cs="Arial"/>
          <w:szCs w:val="22"/>
        </w:rPr>
        <w:t>Son créditos de consumo destinados a la adquisición de automóviles concedidos mediante la suscripción de un contrato, que se amortizan en cuotas periódicas o con vencimiento único.</w:t>
      </w:r>
    </w:p>
    <w:p w:rsidR="00FC4725" w:rsidRPr="00393F93" w:rsidRDefault="00FC4725" w:rsidP="00393F93">
      <w:pPr>
        <w:tabs>
          <w:tab w:val="num" w:pos="709"/>
          <w:tab w:val="left" w:pos="851"/>
        </w:tabs>
        <w:ind w:left="709"/>
        <w:rPr>
          <w:rFonts w:cs="Arial"/>
          <w:szCs w:val="22"/>
        </w:rPr>
      </w:pPr>
    </w:p>
    <w:p w:rsidR="00FC4725" w:rsidRPr="00393F93" w:rsidRDefault="00FC4725" w:rsidP="00393F93">
      <w:pPr>
        <w:tabs>
          <w:tab w:val="num" w:pos="709"/>
          <w:tab w:val="left" w:pos="851"/>
        </w:tabs>
        <w:ind w:left="709"/>
        <w:rPr>
          <w:rFonts w:cs="Arial"/>
          <w:szCs w:val="22"/>
        </w:rPr>
      </w:pPr>
      <w:r w:rsidRPr="00393F93">
        <w:rPr>
          <w:rFonts w:cs="Arial"/>
          <w:b/>
          <w:szCs w:val="22"/>
        </w:rPr>
        <w:t xml:space="preserve">Tarjetas de Crédito: </w:t>
      </w:r>
      <w:r w:rsidRPr="00393F93">
        <w:rPr>
          <w:rFonts w:cs="Arial"/>
          <w:szCs w:val="22"/>
        </w:rPr>
        <w:t xml:space="preserve">Modalidad que comprende los créditos concedidos a los usuarios de las tarjetas de crédito, para adquirir bienes o servicios en establecimientos afiliados o hacer uso de disposición en efectivo, bajo condiciones establecidas contractualmente.  </w:t>
      </w:r>
    </w:p>
    <w:p w:rsidR="00FC4725" w:rsidRPr="00393F93" w:rsidRDefault="00FC4725" w:rsidP="00393F93">
      <w:pPr>
        <w:tabs>
          <w:tab w:val="num" w:pos="709"/>
          <w:tab w:val="left" w:pos="851"/>
        </w:tabs>
        <w:ind w:left="709"/>
        <w:rPr>
          <w:rFonts w:cs="Arial"/>
          <w:szCs w:val="22"/>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t>Créditos según Situación:</w:t>
      </w:r>
    </w:p>
    <w:p w:rsidR="00FC4725" w:rsidRPr="00393F93" w:rsidRDefault="00FC4725" w:rsidP="00393F93">
      <w:pPr>
        <w:tabs>
          <w:tab w:val="left" w:pos="851"/>
        </w:tabs>
        <w:ind w:left="709"/>
        <w:rPr>
          <w:b/>
          <w:szCs w:val="22"/>
        </w:rPr>
      </w:pPr>
    </w:p>
    <w:p w:rsidR="00FC4725" w:rsidRPr="00393F93" w:rsidRDefault="00FC4725" w:rsidP="00393F93">
      <w:pPr>
        <w:tabs>
          <w:tab w:val="left" w:pos="851"/>
        </w:tabs>
        <w:ind w:left="709"/>
        <w:rPr>
          <w:szCs w:val="22"/>
        </w:rPr>
      </w:pPr>
      <w:r w:rsidRPr="00393F93">
        <w:rPr>
          <w:b/>
          <w:szCs w:val="22"/>
        </w:rPr>
        <w:t xml:space="preserve">Créditos Vigentes: </w:t>
      </w:r>
      <w:r w:rsidRPr="00393F93">
        <w:rPr>
          <w:szCs w:val="22"/>
        </w:rPr>
        <w:t>Créditos otorgados en sus distintas modalidades, cuyos pagos se encuentran al día, de acuerdo con lo pactado. La transferencia de los créditos no pagados se realiza de acuerdo a lo señalado en la definición de créditos vencidos.</w:t>
      </w:r>
    </w:p>
    <w:p w:rsidR="00FC4725" w:rsidRPr="00393F93" w:rsidRDefault="00FC4725" w:rsidP="00393F93">
      <w:pPr>
        <w:tabs>
          <w:tab w:val="left" w:pos="851"/>
        </w:tabs>
        <w:ind w:left="709"/>
        <w:rPr>
          <w:b/>
          <w:szCs w:val="22"/>
        </w:rPr>
      </w:pPr>
    </w:p>
    <w:p w:rsidR="00FC4725" w:rsidRPr="00393F93" w:rsidRDefault="00FC4725" w:rsidP="00393F93">
      <w:pPr>
        <w:tabs>
          <w:tab w:val="left" w:pos="851"/>
        </w:tabs>
        <w:ind w:left="709"/>
        <w:rPr>
          <w:szCs w:val="22"/>
        </w:rPr>
      </w:pPr>
      <w:r w:rsidRPr="00393F93">
        <w:rPr>
          <w:b/>
          <w:szCs w:val="22"/>
        </w:rPr>
        <w:t xml:space="preserve">Créditos Refinanciados: </w:t>
      </w:r>
      <w:r w:rsidRPr="00393F93">
        <w:rPr>
          <w:szCs w:val="22"/>
        </w:rPr>
        <w:t>Son los créditos que han sufrido variaciones de plazo y/o monto respecto al contrato original, las cuales obedecen a dificultades en la capacidad de pago del deudor.</w:t>
      </w:r>
    </w:p>
    <w:p w:rsidR="00FC4725" w:rsidRPr="00393F93" w:rsidRDefault="00FC4725" w:rsidP="00393F93">
      <w:pPr>
        <w:tabs>
          <w:tab w:val="left" w:pos="851"/>
        </w:tabs>
        <w:ind w:left="709"/>
        <w:rPr>
          <w:b/>
          <w:szCs w:val="22"/>
        </w:rPr>
      </w:pPr>
    </w:p>
    <w:p w:rsidR="00FC4725" w:rsidRPr="00393F93" w:rsidRDefault="00FC4725" w:rsidP="00393F93">
      <w:pPr>
        <w:tabs>
          <w:tab w:val="left" w:pos="851"/>
        </w:tabs>
        <w:ind w:left="709"/>
        <w:rPr>
          <w:szCs w:val="22"/>
        </w:rPr>
      </w:pPr>
      <w:r w:rsidRPr="00393F93">
        <w:rPr>
          <w:b/>
          <w:szCs w:val="22"/>
        </w:rPr>
        <w:t xml:space="preserve">Créditos Reestructurados: </w:t>
      </w:r>
      <w:r w:rsidRPr="00393F93">
        <w:rPr>
          <w:szCs w:val="22"/>
        </w:rPr>
        <w:t>Son los créditos, cualquiera sea su modalidad, sujeto a la reprogramación de pagos aprobada en el proceso de reestructuración, de concurso ordinario o preventivo.</w:t>
      </w:r>
    </w:p>
    <w:p w:rsidR="00FC4725" w:rsidRPr="00393F93" w:rsidRDefault="00FC4725" w:rsidP="00393F93">
      <w:pPr>
        <w:tabs>
          <w:tab w:val="left" w:pos="851"/>
        </w:tabs>
        <w:ind w:left="709"/>
        <w:rPr>
          <w:szCs w:val="22"/>
        </w:rPr>
      </w:pPr>
    </w:p>
    <w:p w:rsidR="00FC4725" w:rsidRPr="00393F93" w:rsidRDefault="00FC4725" w:rsidP="00393F93">
      <w:pPr>
        <w:tabs>
          <w:tab w:val="left" w:pos="851"/>
        </w:tabs>
        <w:ind w:left="709"/>
        <w:rPr>
          <w:szCs w:val="22"/>
        </w:rPr>
      </w:pPr>
      <w:r w:rsidRPr="00393F93">
        <w:rPr>
          <w:b/>
          <w:szCs w:val="22"/>
        </w:rPr>
        <w:t>Créditos Vencidos</w:t>
      </w:r>
      <w:r w:rsidRPr="00393F93">
        <w:rPr>
          <w:szCs w:val="22"/>
        </w:rPr>
        <w:t>: Son los créditos que no han sido cancelados o amortizados por los obligados en la fecha de vencimiento y que contablemente son registrados como vencidos. En el caso de los créditos corporativos, a grandes empresas y a medianas empresas, corresponde al saldo total de los créditos con atraso mayor a 15 días. En los créditos a pequeñas empresas y microempresas, corresponde al saldo total de los créditos con atraso mayor a 30 días. En los créditos de consumo, hipotecario para vivienda, arrendamiento financiero y capitalización inmobiliaria, corresponde a las cuotas impagas si el atraso es mayor a 30 días y menor a 90 días y al saldo total del crédito si el atraso supera los 90 días. En el caso de sobregiros en cuenta corriente, se considerará como crédito vencido a partir del día 31 de otorgado el sobregiro.</w:t>
      </w:r>
    </w:p>
    <w:p w:rsidR="00FC4725" w:rsidRPr="00393F93" w:rsidRDefault="00FC4725" w:rsidP="00393F93">
      <w:pPr>
        <w:tabs>
          <w:tab w:val="left" w:pos="851"/>
        </w:tabs>
        <w:ind w:left="709"/>
        <w:rPr>
          <w:szCs w:val="22"/>
        </w:rPr>
      </w:pPr>
    </w:p>
    <w:p w:rsidR="00FC4725" w:rsidRPr="00393F93" w:rsidRDefault="00FC4725" w:rsidP="00393F93">
      <w:pPr>
        <w:tabs>
          <w:tab w:val="left" w:pos="851"/>
        </w:tabs>
        <w:ind w:left="709"/>
        <w:rPr>
          <w:b/>
          <w:szCs w:val="22"/>
        </w:rPr>
      </w:pPr>
      <w:r w:rsidRPr="00393F93">
        <w:rPr>
          <w:b/>
          <w:szCs w:val="22"/>
        </w:rPr>
        <w:t xml:space="preserve">Créditos en Cobranza Judicial: </w:t>
      </w:r>
      <w:r w:rsidRPr="00393F93">
        <w:rPr>
          <w:szCs w:val="22"/>
        </w:rPr>
        <w:t>Corresponde a los créditos cuya recuperación se encuentra en proceso judicial.</w:t>
      </w:r>
    </w:p>
    <w:p w:rsidR="00FC4725" w:rsidRDefault="00FC4725" w:rsidP="00393F93">
      <w:pPr>
        <w:pStyle w:val="Prrafodelista"/>
        <w:tabs>
          <w:tab w:val="num" w:pos="709"/>
        </w:tabs>
        <w:ind w:left="709" w:hanging="425"/>
        <w:jc w:val="both"/>
        <w:rPr>
          <w:rFonts w:ascii="Arial Narrow" w:hAnsi="Arial Narrow"/>
          <w:b/>
          <w:szCs w:val="22"/>
        </w:rPr>
      </w:pPr>
    </w:p>
    <w:p w:rsidR="0059568B" w:rsidRPr="00393F93" w:rsidRDefault="0059568B" w:rsidP="00393F93">
      <w:pPr>
        <w:pStyle w:val="Prrafodelista"/>
        <w:tabs>
          <w:tab w:val="num" w:pos="709"/>
        </w:tabs>
        <w:ind w:left="709" w:hanging="425"/>
        <w:jc w:val="both"/>
        <w:rPr>
          <w:rFonts w:ascii="Arial Narrow" w:hAnsi="Arial Narrow"/>
          <w:b/>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lastRenderedPageBreak/>
        <w:t xml:space="preserve">Créditos Indirectos o Créditos Contingentes: </w:t>
      </w:r>
      <w:r w:rsidRPr="00393F93">
        <w:rPr>
          <w:szCs w:val="22"/>
        </w:rPr>
        <w:t>Son las operaciones de crédito fuera de balance por las cuales la empresa asume el riesgo crediticio ante el eventual incumplimiento de un deudor frente a terceras personas. Considera los avales otorgados, cartas fianza otorgadas, cartas de crédito y aceptaciones bancarias.</w:t>
      </w:r>
    </w:p>
    <w:p w:rsidR="00FC4725" w:rsidRPr="00393F93" w:rsidRDefault="00FC4725" w:rsidP="00393F93">
      <w:pPr>
        <w:tabs>
          <w:tab w:val="num" w:pos="709"/>
          <w:tab w:val="left" w:pos="851"/>
        </w:tabs>
        <w:ind w:left="709" w:hanging="425"/>
        <w:rPr>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Depósitos del Público: </w:t>
      </w:r>
      <w:r w:rsidRPr="00393F93">
        <w:rPr>
          <w:szCs w:val="22"/>
        </w:rPr>
        <w:t xml:space="preserve">Corresponde a las obligaciones con el público derivadas de la captación de recursos mediante las diferentes modalidades y los depósitos recibidos </w:t>
      </w:r>
      <w:r w:rsidR="00C74B24">
        <w:rPr>
          <w:szCs w:val="22"/>
        </w:rPr>
        <w:t>por</w:t>
      </w:r>
      <w:r w:rsidRPr="00393F93">
        <w:rPr>
          <w:szCs w:val="22"/>
        </w:rPr>
        <w:t xml:space="preserve"> la prestación de servicios bancarios diversos, los fondos captados </w:t>
      </w:r>
      <w:r w:rsidR="00C74B24">
        <w:rPr>
          <w:szCs w:val="22"/>
        </w:rPr>
        <w:t>de</w:t>
      </w:r>
      <w:r w:rsidRPr="00393F93">
        <w:rPr>
          <w:szCs w:val="22"/>
        </w:rPr>
        <w:t xml:space="preserve"> las entidades del sector público, así como las cuentas que registran los gastos devengados por estas obligaciones que se encuentran pendientes de pago. </w:t>
      </w:r>
    </w:p>
    <w:p w:rsidR="00FC4725" w:rsidRPr="00393F93" w:rsidRDefault="00FC4725" w:rsidP="00393F93">
      <w:pPr>
        <w:pStyle w:val="Prrafodelista"/>
        <w:tabs>
          <w:tab w:val="num" w:pos="709"/>
        </w:tabs>
        <w:ind w:left="709" w:hanging="425"/>
        <w:jc w:val="both"/>
        <w:rPr>
          <w:rFonts w:ascii="Arial Narrow" w:hAnsi="Arial Narrow"/>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Depósitos de empresas del Sistema Financiero y Organismos Financieros Internacionales: </w:t>
      </w:r>
      <w:r w:rsidRPr="00393F93">
        <w:rPr>
          <w:szCs w:val="22"/>
        </w:rPr>
        <w:t>Comprende las obligaciones de la empresa por los depósitos a la vista, de ahorro y a plazo de empresas del sistema financiero del país y del exterior, de organismos financieros internacionales</w:t>
      </w:r>
      <w:r w:rsidR="00C74B24">
        <w:rPr>
          <w:szCs w:val="22"/>
        </w:rPr>
        <w:t xml:space="preserve"> y</w:t>
      </w:r>
      <w:r w:rsidRPr="00393F93">
        <w:rPr>
          <w:szCs w:val="22"/>
        </w:rPr>
        <w:t xml:space="preserve"> de la matriz</w:t>
      </w:r>
      <w:r w:rsidR="00C74B24">
        <w:rPr>
          <w:szCs w:val="22"/>
        </w:rPr>
        <w:t>, sucursales</w:t>
      </w:r>
      <w:r w:rsidRPr="00393F93">
        <w:rPr>
          <w:szCs w:val="22"/>
        </w:rPr>
        <w:t xml:space="preserve"> y subsidiarias</w:t>
      </w:r>
      <w:r w:rsidR="00C74B24">
        <w:rPr>
          <w:szCs w:val="22"/>
        </w:rPr>
        <w:t>, siempre</w:t>
      </w:r>
      <w:r w:rsidRPr="00393F93">
        <w:rPr>
          <w:szCs w:val="22"/>
        </w:rPr>
        <w:t xml:space="preserve"> que sean empresas del sistema financiero</w:t>
      </w:r>
      <w:r w:rsidR="00C74B24">
        <w:rPr>
          <w:szCs w:val="22"/>
        </w:rPr>
        <w:t>; así como</w:t>
      </w:r>
      <w:r w:rsidRPr="00393F93">
        <w:rPr>
          <w:szCs w:val="22"/>
        </w:rPr>
        <w:t xml:space="preserve"> las cuentas que registran los gastos devengados por estas obligaciones que se encuentran pendientes de pago.</w:t>
      </w:r>
    </w:p>
    <w:p w:rsidR="00FC4725" w:rsidRPr="00393F93" w:rsidRDefault="00FC4725" w:rsidP="00393F93">
      <w:pPr>
        <w:tabs>
          <w:tab w:val="left" w:pos="851"/>
        </w:tabs>
        <w:rPr>
          <w:szCs w:val="22"/>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t xml:space="preserve">Depósitos Totales: </w:t>
      </w:r>
      <w:r w:rsidR="0053168B">
        <w:rPr>
          <w:szCs w:val="22"/>
        </w:rPr>
        <w:t xml:space="preserve">Es la suma de los depósitos a la vista, de ahorro, a plazo y CTS. </w:t>
      </w:r>
    </w:p>
    <w:p w:rsidR="00FC4725" w:rsidRPr="00393F93" w:rsidRDefault="00FC4725" w:rsidP="00393F93">
      <w:pPr>
        <w:pStyle w:val="Prrafodelista"/>
        <w:jc w:val="both"/>
        <w:rPr>
          <w:rFonts w:ascii="Arial Narrow" w:hAnsi="Arial Narrow"/>
          <w:b/>
          <w:szCs w:val="22"/>
        </w:rPr>
      </w:pPr>
    </w:p>
    <w:p w:rsidR="00FC4725" w:rsidRPr="00393F93" w:rsidRDefault="00FC4725" w:rsidP="00393F93">
      <w:pPr>
        <w:tabs>
          <w:tab w:val="left" w:pos="851"/>
        </w:tabs>
        <w:ind w:left="709"/>
        <w:rPr>
          <w:rFonts w:cs="Arial"/>
          <w:szCs w:val="22"/>
        </w:rPr>
      </w:pPr>
      <w:r w:rsidRPr="00393F93">
        <w:rPr>
          <w:rFonts w:cs="Arial"/>
          <w:b/>
          <w:szCs w:val="22"/>
        </w:rPr>
        <w:t xml:space="preserve">Depósitos a la vista: </w:t>
      </w:r>
      <w:r w:rsidRPr="00393F93">
        <w:rPr>
          <w:rFonts w:cs="Arial"/>
          <w:szCs w:val="22"/>
        </w:rPr>
        <w:t xml:space="preserve">Considera las obligaciones con el público a la vista en la modalidad de depósitos en cuenta corriente, cuentas corrientes sin movimiento y cheques certificados; así como </w:t>
      </w:r>
      <w:r w:rsidR="0053168B">
        <w:rPr>
          <w:rFonts w:cs="Arial"/>
          <w:szCs w:val="22"/>
        </w:rPr>
        <w:t xml:space="preserve">por </w:t>
      </w:r>
      <w:r w:rsidR="00561C2B">
        <w:rPr>
          <w:rFonts w:cs="Arial"/>
          <w:szCs w:val="22"/>
        </w:rPr>
        <w:t>los depósitos</w:t>
      </w:r>
      <w:r w:rsidRPr="00393F93">
        <w:rPr>
          <w:rFonts w:cs="Arial"/>
          <w:szCs w:val="22"/>
        </w:rPr>
        <w:t xml:space="preserve"> a la vista de empresas del Sistema Financiero del país y del exterior, de la oficina matriz, sucursales y subsidiarias, y Organismos Financieros Internacionales.</w:t>
      </w:r>
    </w:p>
    <w:p w:rsidR="00FC4725" w:rsidRPr="00393F93" w:rsidRDefault="00FC4725" w:rsidP="00393F93">
      <w:pPr>
        <w:tabs>
          <w:tab w:val="left" w:pos="851"/>
        </w:tabs>
        <w:ind w:left="709"/>
        <w:rPr>
          <w:b/>
          <w:szCs w:val="22"/>
        </w:rPr>
      </w:pPr>
    </w:p>
    <w:p w:rsidR="00FC4725" w:rsidRPr="00393F93" w:rsidRDefault="00FC4725" w:rsidP="00393F93">
      <w:pPr>
        <w:tabs>
          <w:tab w:val="left" w:pos="851"/>
        </w:tabs>
        <w:ind w:left="709"/>
        <w:rPr>
          <w:szCs w:val="22"/>
        </w:rPr>
      </w:pPr>
      <w:r w:rsidRPr="00393F93">
        <w:rPr>
          <w:b/>
          <w:szCs w:val="22"/>
        </w:rPr>
        <w:t xml:space="preserve">Depósitos de Ahorro: </w:t>
      </w:r>
      <w:r w:rsidRPr="00393F93">
        <w:rPr>
          <w:szCs w:val="22"/>
        </w:rPr>
        <w:t>Considera las obligaciones con el público en la modalidad de ahorro y l</w:t>
      </w:r>
      <w:r w:rsidR="0053168B">
        <w:rPr>
          <w:szCs w:val="22"/>
        </w:rPr>
        <w:t>os d</w:t>
      </w:r>
      <w:r w:rsidRPr="00393F93">
        <w:rPr>
          <w:szCs w:val="22"/>
        </w:rPr>
        <w:t>epósitos de ahorro de empresas del Sistema Financiero del país y del exterior, de la oficina matriz, sucursales y subsidiarias, y Organismos Financieros Internacionales.</w:t>
      </w:r>
    </w:p>
    <w:p w:rsidR="00FC4725" w:rsidRPr="00393F93" w:rsidRDefault="00FC4725" w:rsidP="00393F93">
      <w:pPr>
        <w:pStyle w:val="Prrafodelista"/>
        <w:tabs>
          <w:tab w:val="num" w:pos="709"/>
        </w:tabs>
        <w:ind w:left="709" w:hanging="425"/>
        <w:jc w:val="both"/>
        <w:rPr>
          <w:rFonts w:ascii="Arial Narrow" w:hAnsi="Arial Narrow" w:cs="Arial"/>
          <w:szCs w:val="22"/>
        </w:rPr>
      </w:pPr>
    </w:p>
    <w:p w:rsidR="00FC4725" w:rsidRPr="00393F93" w:rsidRDefault="00FC4725" w:rsidP="00393F93">
      <w:pPr>
        <w:tabs>
          <w:tab w:val="left" w:pos="851"/>
        </w:tabs>
        <w:ind w:left="709"/>
        <w:rPr>
          <w:rFonts w:cs="Arial"/>
          <w:szCs w:val="22"/>
        </w:rPr>
      </w:pPr>
      <w:r w:rsidRPr="00393F93">
        <w:rPr>
          <w:b/>
          <w:szCs w:val="22"/>
        </w:rPr>
        <w:t>Depósitos a Plazo:</w:t>
      </w:r>
      <w:r w:rsidRPr="00393F93">
        <w:rPr>
          <w:szCs w:val="22"/>
        </w:rPr>
        <w:t xml:space="preserve"> Considera las obligaciones con el público en la modalidad de plazo fijo, los depósitos por cuentas a plazo vencidos, las obligaciones con el público de carácter restringido y </w:t>
      </w:r>
      <w:r w:rsidR="0053168B">
        <w:rPr>
          <w:szCs w:val="22"/>
        </w:rPr>
        <w:t>los</w:t>
      </w:r>
      <w:r w:rsidRPr="00393F93">
        <w:rPr>
          <w:szCs w:val="22"/>
        </w:rPr>
        <w:t xml:space="preserve"> depósitos </w:t>
      </w:r>
      <w:r w:rsidRPr="00393F93">
        <w:rPr>
          <w:rFonts w:cs="Arial"/>
          <w:szCs w:val="22"/>
        </w:rPr>
        <w:t xml:space="preserve">a plazo </w:t>
      </w:r>
      <w:r w:rsidRPr="00393F93">
        <w:rPr>
          <w:szCs w:val="22"/>
        </w:rPr>
        <w:t>de empresas del Sistema Financiero del país y del exterior, de la oficina matriz, sucursales y subsidiarias, y Organismos Financieros Internacionales.</w:t>
      </w:r>
    </w:p>
    <w:p w:rsidR="00FC4725" w:rsidRPr="00393F93" w:rsidRDefault="00FC4725" w:rsidP="00393F93">
      <w:pPr>
        <w:pStyle w:val="Prrafodelista"/>
        <w:jc w:val="both"/>
        <w:rPr>
          <w:rFonts w:ascii="Arial Narrow" w:hAnsi="Arial Narrow" w:cs="Arial"/>
          <w:szCs w:val="22"/>
        </w:rPr>
      </w:pPr>
    </w:p>
    <w:p w:rsidR="00FC4725" w:rsidRPr="00393F93" w:rsidRDefault="00FC4725" w:rsidP="00393F93">
      <w:pPr>
        <w:tabs>
          <w:tab w:val="left" w:pos="851"/>
        </w:tabs>
        <w:ind w:left="709"/>
        <w:rPr>
          <w:rFonts w:cs="Arial"/>
          <w:szCs w:val="22"/>
        </w:rPr>
      </w:pPr>
      <w:r w:rsidRPr="00393F93">
        <w:rPr>
          <w:rFonts w:cs="Arial"/>
          <w:b/>
          <w:szCs w:val="22"/>
        </w:rPr>
        <w:t xml:space="preserve">Depósitos por Compensación de Tiempo de Servicio (CTS): </w:t>
      </w:r>
      <w:r w:rsidRPr="00393F93">
        <w:rPr>
          <w:rFonts w:cs="Arial"/>
          <w:szCs w:val="22"/>
        </w:rPr>
        <w:t>Registra la captación de recursos en moneda nacional y extranjera por las empresas del sistema financiero, provenientes de los importes que les corresponde a los trabajadores por concepto de beneficios sociales, de acuerdo con las normas laborales vigentes.</w:t>
      </w:r>
    </w:p>
    <w:p w:rsidR="00FC4725" w:rsidRPr="00393F93" w:rsidRDefault="00FC4725" w:rsidP="00393F93">
      <w:pPr>
        <w:pStyle w:val="Prrafodelista"/>
        <w:tabs>
          <w:tab w:val="num" w:pos="709"/>
        </w:tabs>
        <w:ind w:left="709" w:hanging="425"/>
        <w:jc w:val="both"/>
        <w:rPr>
          <w:rFonts w:ascii="Arial Narrow" w:hAnsi="Arial Narrow"/>
          <w:b/>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Fideicomiso: </w:t>
      </w:r>
      <w:r w:rsidRPr="00393F93">
        <w:rPr>
          <w:szCs w:val="22"/>
        </w:rPr>
        <w:t xml:space="preserve">Relación jurídica por la cual el fideicomitente transfiere bienes en fideicomiso a otra persona, denominada fiduciario, para la constitución de un patrimonio </w:t>
      </w:r>
      <w:proofErr w:type="spellStart"/>
      <w:r w:rsidRPr="00393F93">
        <w:rPr>
          <w:szCs w:val="22"/>
        </w:rPr>
        <w:t>fideicometido</w:t>
      </w:r>
      <w:proofErr w:type="spellEnd"/>
      <w:r w:rsidRPr="00393F93">
        <w:rPr>
          <w:szCs w:val="22"/>
        </w:rPr>
        <w:t>, sujeto al dominio del fiduciario y con un fin específico a favor del fideicomitente o de un tercero, denominado fideicomisario.</w:t>
      </w:r>
    </w:p>
    <w:p w:rsidR="00FC4725" w:rsidRPr="00393F93" w:rsidRDefault="00FC4725" w:rsidP="00393F93">
      <w:pPr>
        <w:tabs>
          <w:tab w:val="num" w:pos="709"/>
          <w:tab w:val="left" w:pos="851"/>
        </w:tabs>
        <w:ind w:left="284"/>
        <w:rPr>
          <w:szCs w:val="22"/>
          <w:highlight w:val="magenta"/>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rFonts w:cs="Arial"/>
          <w:b/>
          <w:szCs w:val="22"/>
        </w:rPr>
        <w:t>Fondos Interbancarios:</w:t>
      </w:r>
      <w:r w:rsidRPr="00393F93">
        <w:rPr>
          <w:rFonts w:cs="Arial"/>
          <w:szCs w:val="22"/>
        </w:rPr>
        <w:t xml:space="preserve"> Comprende los fondos obtenidos de otras empresas del sistema financiero nacional con la finalidad de atender necesidades transitorias de liquidez (plazos breves no mayores a noventa (90) días).</w:t>
      </w: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lastRenderedPageBreak/>
        <w:t xml:space="preserve">Gastos de Administración: </w:t>
      </w:r>
      <w:r w:rsidRPr="00393F93">
        <w:rPr>
          <w:szCs w:val="22"/>
        </w:rPr>
        <w:t>Comprenden los gastos de personal, de directorio, por servicios recibidos de terceros, impuestos y contribuciones y gastos diversos de gestión incurridos, que se registran sobre una base acumulativa.</w:t>
      </w:r>
      <w:r w:rsidRPr="00393F93">
        <w:rPr>
          <w:b/>
          <w:szCs w:val="22"/>
        </w:rPr>
        <w:t xml:space="preserve"> </w:t>
      </w:r>
    </w:p>
    <w:p w:rsidR="00FC4725" w:rsidRPr="00393F93" w:rsidRDefault="00FC4725" w:rsidP="00393F93">
      <w:pPr>
        <w:tabs>
          <w:tab w:val="num" w:pos="709"/>
          <w:tab w:val="left" w:pos="851"/>
        </w:tabs>
        <w:ind w:left="709" w:hanging="425"/>
        <w:rPr>
          <w:b/>
          <w:szCs w:val="22"/>
          <w:highlight w:val="yellow"/>
        </w:rPr>
      </w:pPr>
    </w:p>
    <w:p w:rsidR="00FC4725" w:rsidRPr="005815C7" w:rsidRDefault="00FC4725" w:rsidP="00393F93">
      <w:pPr>
        <w:numPr>
          <w:ilvl w:val="0"/>
          <w:numId w:val="26"/>
        </w:numPr>
        <w:tabs>
          <w:tab w:val="clear" w:pos="1070"/>
          <w:tab w:val="num" w:pos="709"/>
          <w:tab w:val="left" w:pos="851"/>
        </w:tabs>
        <w:ind w:left="709" w:hanging="425"/>
        <w:rPr>
          <w:b/>
          <w:szCs w:val="22"/>
        </w:rPr>
      </w:pPr>
      <w:r w:rsidRPr="005815C7">
        <w:rPr>
          <w:b/>
          <w:szCs w:val="22"/>
        </w:rPr>
        <w:t xml:space="preserve">Gastos de Operación: </w:t>
      </w:r>
      <w:r w:rsidRPr="005815C7">
        <w:rPr>
          <w:szCs w:val="22"/>
        </w:rPr>
        <w:t>Comprenden los gastos de administración más los gastos de depreciación y amortización.</w:t>
      </w:r>
    </w:p>
    <w:p w:rsidR="00FC4725" w:rsidRPr="00393F93" w:rsidRDefault="00FC4725" w:rsidP="00393F93">
      <w:pPr>
        <w:pStyle w:val="Prrafodelista"/>
        <w:tabs>
          <w:tab w:val="num" w:pos="709"/>
        </w:tabs>
        <w:ind w:left="709" w:hanging="425"/>
        <w:jc w:val="both"/>
        <w:rPr>
          <w:rFonts w:ascii="Arial Narrow" w:hAnsi="Arial Narrow"/>
          <w:b/>
          <w:szCs w:val="22"/>
          <w:highlight w:val="yellow"/>
        </w:rPr>
      </w:pPr>
    </w:p>
    <w:p w:rsidR="00FC4725" w:rsidRPr="005815C7" w:rsidRDefault="00FC4725" w:rsidP="00393F93">
      <w:pPr>
        <w:numPr>
          <w:ilvl w:val="0"/>
          <w:numId w:val="26"/>
        </w:numPr>
        <w:tabs>
          <w:tab w:val="clear" w:pos="1070"/>
          <w:tab w:val="num" w:pos="709"/>
          <w:tab w:val="left" w:pos="851"/>
        </w:tabs>
        <w:ind w:left="709" w:hanging="425"/>
        <w:rPr>
          <w:b/>
          <w:szCs w:val="22"/>
        </w:rPr>
      </w:pPr>
      <w:r w:rsidRPr="005815C7">
        <w:rPr>
          <w:b/>
          <w:szCs w:val="22"/>
        </w:rPr>
        <w:t xml:space="preserve">Gastos Financieros: </w:t>
      </w:r>
      <w:r w:rsidRPr="005815C7">
        <w:rPr>
          <w:szCs w:val="22"/>
        </w:rPr>
        <w:t>Incluye las sig</w:t>
      </w:r>
      <w:r w:rsidR="0053168B">
        <w:rPr>
          <w:szCs w:val="22"/>
        </w:rPr>
        <w:t>uientes cuentas: Intereses por Depósitos</w:t>
      </w:r>
      <w:r w:rsidRPr="005815C7">
        <w:rPr>
          <w:szCs w:val="22"/>
        </w:rPr>
        <w:t xml:space="preserve"> con el Público, Intereses por Fondos Interbancarios, Intereses por Depósitos de Empresas del Sistema Financiero y Organismos Financieros Internacionales, Intereses por Adeudos y Obligaciones Financieras, Intereses por Valores, Títulos y Obligaciones en Circulación, Comisiones y otros cargos por obligaciones financieras, el saldo negativo de la diferencia entre ingresos y gastos por diferencia en cambio y las cargas financieras diversas.</w:t>
      </w:r>
      <w:r w:rsidRPr="005815C7">
        <w:rPr>
          <w:b/>
          <w:szCs w:val="22"/>
        </w:rPr>
        <w:t xml:space="preserve"> </w:t>
      </w:r>
    </w:p>
    <w:p w:rsidR="00FC4725" w:rsidRPr="00393F93" w:rsidRDefault="00FC4725" w:rsidP="00393F93">
      <w:pPr>
        <w:pStyle w:val="Prrafodelista"/>
        <w:tabs>
          <w:tab w:val="num" w:pos="709"/>
        </w:tabs>
        <w:ind w:left="709" w:hanging="425"/>
        <w:jc w:val="both"/>
        <w:rPr>
          <w:rFonts w:ascii="Arial Narrow" w:hAnsi="Arial Narrow"/>
          <w:b/>
          <w:szCs w:val="22"/>
          <w:highlight w:val="yellow"/>
        </w:rPr>
      </w:pPr>
    </w:p>
    <w:p w:rsidR="00FC4725" w:rsidRPr="005815C7" w:rsidRDefault="00FC4725" w:rsidP="00393F93">
      <w:pPr>
        <w:numPr>
          <w:ilvl w:val="0"/>
          <w:numId w:val="26"/>
        </w:numPr>
        <w:tabs>
          <w:tab w:val="clear" w:pos="1070"/>
          <w:tab w:val="num" w:pos="709"/>
          <w:tab w:val="left" w:pos="851"/>
        </w:tabs>
        <w:ind w:left="709" w:hanging="425"/>
        <w:rPr>
          <w:b/>
          <w:szCs w:val="22"/>
        </w:rPr>
      </w:pPr>
      <w:r w:rsidRPr="005815C7">
        <w:rPr>
          <w:b/>
          <w:szCs w:val="22"/>
        </w:rPr>
        <w:t xml:space="preserve">Gastos por Servicios Financieros: </w:t>
      </w:r>
      <w:r w:rsidRPr="005815C7">
        <w:rPr>
          <w:szCs w:val="22"/>
        </w:rPr>
        <w:t xml:space="preserve">Incluye las siguientes cuentas: </w:t>
      </w:r>
      <w:r w:rsidR="005815C7" w:rsidRPr="005815C7">
        <w:rPr>
          <w:szCs w:val="22"/>
        </w:rPr>
        <w:t xml:space="preserve">Gastos por cuentas por pagar, </w:t>
      </w:r>
      <w:r w:rsidRPr="005815C7">
        <w:rPr>
          <w:szCs w:val="22"/>
        </w:rPr>
        <w:t>Gastos por operación contingentes</w:t>
      </w:r>
      <w:r w:rsidR="005815C7">
        <w:rPr>
          <w:szCs w:val="22"/>
        </w:rPr>
        <w:t>,</w:t>
      </w:r>
      <w:r w:rsidRPr="005815C7">
        <w:rPr>
          <w:szCs w:val="22"/>
        </w:rPr>
        <w:t xml:space="preserve"> Gastos por servicios financieros diversos</w:t>
      </w:r>
      <w:r w:rsidR="005815C7">
        <w:rPr>
          <w:szCs w:val="22"/>
        </w:rPr>
        <w:t xml:space="preserve"> y Gastos por costo de ventas de bienes y servicios</w:t>
      </w:r>
      <w:r w:rsidRPr="005815C7">
        <w:rPr>
          <w:szCs w:val="22"/>
        </w:rPr>
        <w:t>.</w:t>
      </w:r>
    </w:p>
    <w:p w:rsidR="00FC4725" w:rsidRPr="00393F93" w:rsidRDefault="00FC4725" w:rsidP="00393F93">
      <w:pPr>
        <w:tabs>
          <w:tab w:val="num" w:pos="709"/>
          <w:tab w:val="left" w:pos="851"/>
        </w:tabs>
        <w:ind w:left="709" w:hanging="425"/>
        <w:rPr>
          <w:b/>
          <w:szCs w:val="22"/>
          <w:highlight w:val="yellow"/>
        </w:rPr>
      </w:pPr>
    </w:p>
    <w:p w:rsidR="00FC4725" w:rsidRPr="005815C7" w:rsidRDefault="00FC4725" w:rsidP="00393F93">
      <w:pPr>
        <w:numPr>
          <w:ilvl w:val="0"/>
          <w:numId w:val="26"/>
        </w:numPr>
        <w:tabs>
          <w:tab w:val="clear" w:pos="1070"/>
          <w:tab w:val="num" w:pos="709"/>
          <w:tab w:val="left" w:pos="851"/>
        </w:tabs>
        <w:ind w:left="709" w:hanging="425"/>
        <w:rPr>
          <w:b/>
          <w:szCs w:val="22"/>
        </w:rPr>
      </w:pPr>
      <w:r w:rsidRPr="005815C7">
        <w:rPr>
          <w:b/>
          <w:szCs w:val="22"/>
        </w:rPr>
        <w:t xml:space="preserve">Ingresos Financieros: </w:t>
      </w:r>
      <w:r w:rsidRPr="005815C7">
        <w:rPr>
          <w:szCs w:val="22"/>
        </w:rPr>
        <w:t>Incluye las siguientes cuentas: Intereses por Disponible, Intereses y Comisiones por Fondos Interbancarios, Intereses por Inversiones, Intereses y Comisiones por Créditos, el saldo positivo de la diferencia entre ingresos y gastos por diferencia en cambio, y otros ingresos financieros.</w:t>
      </w:r>
    </w:p>
    <w:p w:rsidR="00FC4725" w:rsidRPr="00393F93" w:rsidRDefault="00FC4725" w:rsidP="00393F93">
      <w:pPr>
        <w:pStyle w:val="Prrafodelista"/>
        <w:tabs>
          <w:tab w:val="num" w:pos="709"/>
        </w:tabs>
        <w:ind w:left="709" w:hanging="425"/>
        <w:jc w:val="both"/>
        <w:rPr>
          <w:rFonts w:ascii="Arial Narrow" w:hAnsi="Arial Narrow"/>
          <w:b/>
          <w:szCs w:val="22"/>
          <w:highlight w:val="yellow"/>
        </w:rPr>
      </w:pPr>
    </w:p>
    <w:p w:rsidR="00FC4725" w:rsidRPr="005815C7" w:rsidRDefault="00FC4725" w:rsidP="00393F93">
      <w:pPr>
        <w:numPr>
          <w:ilvl w:val="0"/>
          <w:numId w:val="26"/>
        </w:numPr>
        <w:tabs>
          <w:tab w:val="clear" w:pos="1070"/>
          <w:tab w:val="num" w:pos="709"/>
          <w:tab w:val="left" w:pos="851"/>
        </w:tabs>
        <w:ind w:left="709" w:hanging="425"/>
        <w:rPr>
          <w:b/>
          <w:szCs w:val="22"/>
        </w:rPr>
      </w:pPr>
      <w:r w:rsidRPr="005815C7">
        <w:rPr>
          <w:b/>
          <w:szCs w:val="22"/>
        </w:rPr>
        <w:t xml:space="preserve">Ingresos por Servicios Financieros: </w:t>
      </w:r>
      <w:r w:rsidRPr="005815C7">
        <w:rPr>
          <w:szCs w:val="22"/>
        </w:rPr>
        <w:t xml:space="preserve">Incluye los ingresos </w:t>
      </w:r>
      <w:r w:rsidR="005815C7" w:rsidRPr="005815C7">
        <w:rPr>
          <w:szCs w:val="22"/>
        </w:rPr>
        <w:t xml:space="preserve">de cuentas por cobrar, ingresos </w:t>
      </w:r>
      <w:r w:rsidRPr="005815C7">
        <w:rPr>
          <w:szCs w:val="22"/>
        </w:rPr>
        <w:t>por operaciones contingentes, ingresos por servicios diversos</w:t>
      </w:r>
      <w:r w:rsidR="005815C7">
        <w:rPr>
          <w:szCs w:val="22"/>
        </w:rPr>
        <w:t>,</w:t>
      </w:r>
      <w:r w:rsidRPr="005815C7">
        <w:rPr>
          <w:szCs w:val="22"/>
        </w:rPr>
        <w:t xml:space="preserve"> ingresos por arrendamientos</w:t>
      </w:r>
      <w:r w:rsidR="005815C7">
        <w:rPr>
          <w:szCs w:val="22"/>
        </w:rPr>
        <w:t xml:space="preserve"> e ingresos por ventas de bienes y servicios.</w:t>
      </w:r>
      <w:r w:rsidRPr="005815C7">
        <w:rPr>
          <w:szCs w:val="22"/>
        </w:rPr>
        <w:t xml:space="preserve"> </w:t>
      </w:r>
    </w:p>
    <w:p w:rsidR="00FC4725" w:rsidRPr="00393F93" w:rsidRDefault="00FC4725" w:rsidP="00393F93">
      <w:pPr>
        <w:tabs>
          <w:tab w:val="num" w:pos="709"/>
          <w:tab w:val="left" w:pos="851"/>
        </w:tabs>
        <w:ind w:left="709" w:hanging="425"/>
        <w:rPr>
          <w:b/>
          <w:szCs w:val="22"/>
          <w:highlight w:val="yellow"/>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Inversiones netas de provisiones e ingresos no devengados: </w:t>
      </w:r>
      <w:r w:rsidRPr="00393F93">
        <w:rPr>
          <w:szCs w:val="22"/>
        </w:rPr>
        <w:t>Comprende las inversiones a valor razonable con cambios en resultados, las inversiones disponibles para la venta, las inversiones a vencimiento y las inversiones en subsidiarias y asociadas, neto de las provisiones para inversiones negociables y a vencimiento</w:t>
      </w:r>
    </w:p>
    <w:p w:rsidR="00FC4725" w:rsidRPr="00393F93" w:rsidRDefault="00FC4725" w:rsidP="00393F93">
      <w:pPr>
        <w:tabs>
          <w:tab w:val="left" w:pos="851"/>
        </w:tabs>
        <w:ind w:left="1070"/>
        <w:rPr>
          <w:b/>
          <w:bCs/>
          <w:color w:val="365F91"/>
          <w:szCs w:val="22"/>
        </w:rPr>
      </w:pPr>
    </w:p>
    <w:p w:rsidR="00FC4725" w:rsidRPr="00393F93" w:rsidRDefault="00FC4725" w:rsidP="00223F16">
      <w:pPr>
        <w:tabs>
          <w:tab w:val="left" w:pos="851"/>
        </w:tabs>
        <w:ind w:left="708"/>
        <w:rPr>
          <w:szCs w:val="22"/>
        </w:rPr>
      </w:pPr>
      <w:r w:rsidRPr="00223F16">
        <w:rPr>
          <w:b/>
          <w:szCs w:val="22"/>
        </w:rPr>
        <w:t>Inversiones a valor razonable con cambios en resultados</w:t>
      </w:r>
      <w:r w:rsidR="00223F16">
        <w:rPr>
          <w:b/>
          <w:szCs w:val="22"/>
        </w:rPr>
        <w:t>:</w:t>
      </w:r>
      <w:r w:rsidR="00223F16">
        <w:rPr>
          <w:szCs w:val="22"/>
        </w:rPr>
        <w:t xml:space="preserve"> C</w:t>
      </w:r>
      <w:r w:rsidRPr="00393F93">
        <w:rPr>
          <w:szCs w:val="22"/>
        </w:rPr>
        <w:t>omprenden  los instrumentos representativos de capital y de deuda, que se adquieren principalmente con el objetivo de venderlo en un futuro cercano</w:t>
      </w:r>
      <w:r w:rsidR="00223F16">
        <w:rPr>
          <w:szCs w:val="22"/>
        </w:rPr>
        <w:t xml:space="preserve">. </w:t>
      </w:r>
    </w:p>
    <w:p w:rsidR="00FC4725" w:rsidRPr="00223F16" w:rsidRDefault="00FC4725" w:rsidP="00393F93">
      <w:pPr>
        <w:tabs>
          <w:tab w:val="left" w:pos="851"/>
        </w:tabs>
        <w:ind w:left="1070"/>
        <w:rPr>
          <w:b/>
          <w:szCs w:val="22"/>
        </w:rPr>
      </w:pPr>
    </w:p>
    <w:p w:rsidR="00FC4725" w:rsidRPr="00223F16" w:rsidRDefault="00FC4725" w:rsidP="00393F93">
      <w:pPr>
        <w:tabs>
          <w:tab w:val="left" w:pos="851"/>
        </w:tabs>
        <w:ind w:left="710"/>
        <w:rPr>
          <w:szCs w:val="22"/>
        </w:rPr>
      </w:pPr>
      <w:r w:rsidRPr="00223F16">
        <w:rPr>
          <w:b/>
          <w:szCs w:val="22"/>
        </w:rPr>
        <w:t>Inversiones disponibles para la venta</w:t>
      </w:r>
      <w:r w:rsidR="00223F16" w:rsidRPr="00223F16">
        <w:rPr>
          <w:b/>
          <w:szCs w:val="22"/>
        </w:rPr>
        <w:t>:</w:t>
      </w:r>
      <w:r w:rsidR="00223F16" w:rsidRPr="00223F16">
        <w:rPr>
          <w:szCs w:val="22"/>
        </w:rPr>
        <w:t xml:space="preserve"> I</w:t>
      </w:r>
      <w:r w:rsidRPr="00223F16">
        <w:rPr>
          <w:szCs w:val="22"/>
        </w:rPr>
        <w:t xml:space="preserve">ncluye todos los instrumentos representativos de capital y de deuda que no se encuentren clasificados en inversiones a valor razonable con cambios en resultados, inversiones a vencimiento o inversiones en subsidiarias y asociadas. </w:t>
      </w:r>
    </w:p>
    <w:p w:rsidR="00FC4725" w:rsidRPr="00223F16" w:rsidRDefault="00FC4725" w:rsidP="00393F93">
      <w:pPr>
        <w:tabs>
          <w:tab w:val="left" w:pos="851"/>
        </w:tabs>
        <w:ind w:left="710"/>
        <w:rPr>
          <w:szCs w:val="22"/>
        </w:rPr>
      </w:pPr>
    </w:p>
    <w:p w:rsidR="00FC4725" w:rsidRPr="00223F16" w:rsidRDefault="00FC4725" w:rsidP="00393F93">
      <w:pPr>
        <w:tabs>
          <w:tab w:val="left" w:pos="851"/>
        </w:tabs>
        <w:ind w:left="710"/>
        <w:rPr>
          <w:szCs w:val="22"/>
        </w:rPr>
      </w:pPr>
      <w:r w:rsidRPr="00223F16">
        <w:rPr>
          <w:b/>
          <w:szCs w:val="22"/>
        </w:rPr>
        <w:t>Inversiones a vencimiento</w:t>
      </w:r>
      <w:r w:rsidR="00223F16" w:rsidRPr="00223F16">
        <w:rPr>
          <w:b/>
          <w:szCs w:val="22"/>
        </w:rPr>
        <w:t>:</w:t>
      </w:r>
      <w:r w:rsidR="00223F16" w:rsidRPr="00223F16">
        <w:rPr>
          <w:szCs w:val="22"/>
        </w:rPr>
        <w:t xml:space="preserve"> </w:t>
      </w:r>
      <w:r w:rsidRPr="00223F16">
        <w:rPr>
          <w:szCs w:val="22"/>
        </w:rPr>
        <w:t>Comprende los instrumentos representativos de deuda adquiridos por la empresa con la intención de mantenerlos hasta su vencimiento. Se considera que existe dicha intención, sólo si la política de inversión de la empresa prevé la tenencia de estos instrumentos bajo condiciones que impiden su venta, cesión o reclasificación.</w:t>
      </w:r>
    </w:p>
    <w:p w:rsidR="00FC4725" w:rsidRPr="00393F93" w:rsidRDefault="00FC4725" w:rsidP="00393F93">
      <w:pPr>
        <w:tabs>
          <w:tab w:val="left" w:pos="851"/>
        </w:tabs>
        <w:ind w:left="710"/>
        <w:rPr>
          <w:szCs w:val="22"/>
        </w:rPr>
      </w:pPr>
    </w:p>
    <w:p w:rsidR="00FC4725" w:rsidRPr="00393F93" w:rsidRDefault="00FC4725" w:rsidP="00393F93">
      <w:pPr>
        <w:tabs>
          <w:tab w:val="left" w:pos="851"/>
        </w:tabs>
        <w:ind w:left="710"/>
        <w:rPr>
          <w:szCs w:val="22"/>
        </w:rPr>
      </w:pPr>
      <w:r w:rsidRPr="00223F16">
        <w:rPr>
          <w:b/>
          <w:szCs w:val="22"/>
        </w:rPr>
        <w:t>Inversiones en subsidiarias y asociadas</w:t>
      </w:r>
      <w:r w:rsidR="00223F16" w:rsidRPr="00223F16">
        <w:rPr>
          <w:szCs w:val="22"/>
        </w:rPr>
        <w:t>:</w:t>
      </w:r>
      <w:r w:rsidR="00223F16">
        <w:rPr>
          <w:szCs w:val="22"/>
        </w:rPr>
        <w:t xml:space="preserve"> </w:t>
      </w:r>
      <w:r w:rsidRPr="00393F93">
        <w:rPr>
          <w:szCs w:val="22"/>
        </w:rPr>
        <w:t xml:space="preserve">Comprende los instrumentos representativos de capital adquiridos por la empresa con el fin de participar patrimonialmente; y, de tener control </w:t>
      </w:r>
      <w:r w:rsidRPr="00393F93">
        <w:rPr>
          <w:szCs w:val="22"/>
        </w:rPr>
        <w:lastRenderedPageBreak/>
        <w:t xml:space="preserve">conforme lo establecido en las Normas Especiales sobre Vinculación y Grupo Económico y/o </w:t>
      </w:r>
      <w:r w:rsidR="00223F16">
        <w:rPr>
          <w:szCs w:val="22"/>
        </w:rPr>
        <w:t>poseer influencia significativa.</w:t>
      </w:r>
    </w:p>
    <w:p w:rsidR="00FC4725" w:rsidRPr="00393F93" w:rsidRDefault="00FC4725" w:rsidP="00393F93">
      <w:pPr>
        <w:pStyle w:val="Prrafodelista"/>
        <w:jc w:val="both"/>
        <w:rPr>
          <w:rFonts w:ascii="Arial Narrow" w:hAnsi="Arial Narrow"/>
          <w:b/>
          <w:szCs w:val="22"/>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t xml:space="preserve">Margen Financiero Bruto: </w:t>
      </w:r>
      <w:r w:rsidRPr="00393F93">
        <w:rPr>
          <w:szCs w:val="22"/>
        </w:rPr>
        <w:t>Es la diferencia entre los ingresos financieros y los gastos financieros.</w:t>
      </w:r>
    </w:p>
    <w:p w:rsidR="00FC4725" w:rsidRPr="00393F93" w:rsidRDefault="00FC4725" w:rsidP="00393F93">
      <w:pPr>
        <w:tabs>
          <w:tab w:val="num" w:pos="709"/>
          <w:tab w:val="left" w:pos="851"/>
        </w:tabs>
        <w:ind w:left="709" w:hanging="425"/>
        <w:rPr>
          <w:b/>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Número de Depositantes: </w:t>
      </w:r>
      <w:r w:rsidRPr="00393F93">
        <w:rPr>
          <w:szCs w:val="22"/>
        </w:rPr>
        <w:t xml:space="preserve">Se refiere a la información de depositantes remitida por cada empresa. Por lo tanto, el total podría estar sobreestimado, debido a que una persona puede tener depósitos en varias empresas. </w:t>
      </w:r>
    </w:p>
    <w:p w:rsidR="00FC4725" w:rsidRPr="00393F93" w:rsidRDefault="00FC4725" w:rsidP="00393F93">
      <w:pPr>
        <w:pStyle w:val="Prrafodelista"/>
        <w:jc w:val="both"/>
        <w:rPr>
          <w:rFonts w:ascii="Arial Narrow" w:hAnsi="Arial Narrow"/>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Número de Deudores:</w:t>
      </w:r>
      <w:r w:rsidRPr="00393F93">
        <w:rPr>
          <w:szCs w:val="22"/>
        </w:rPr>
        <w:t xml:space="preserve"> Corresponde a las personas naturales o jurídicas que mantienen créditos en una empresa del sistema financiero. Para efectos de su cálculo se considera dos dimensiones: a nivel entidad, donde el número total de deudores puede no ser  igual a  la suma de personas por tipo de crédito, en tanto que una persona puede tener más de un tipo de crédito y a nivel de sub sistema, donde se consolida la información de cada tipo de entidad, es decir, considera al deudor como único aún si éste tiene créditos de diferentes tipos y en diferentes empresas del sistema financiero.</w:t>
      </w:r>
    </w:p>
    <w:p w:rsidR="00FC4725" w:rsidRPr="00393F93" w:rsidRDefault="00FC4725" w:rsidP="00393F93">
      <w:pPr>
        <w:tabs>
          <w:tab w:val="num" w:pos="709"/>
          <w:tab w:val="left" w:pos="851"/>
        </w:tabs>
        <w:ind w:left="709" w:hanging="425"/>
        <w:rPr>
          <w:rFonts w:cs="Arial"/>
          <w:szCs w:val="22"/>
        </w:rPr>
      </w:pPr>
    </w:p>
    <w:p w:rsidR="00FC4725" w:rsidRPr="00393F93" w:rsidRDefault="00FC4725" w:rsidP="00393F93">
      <w:pPr>
        <w:numPr>
          <w:ilvl w:val="0"/>
          <w:numId w:val="26"/>
        </w:numPr>
        <w:tabs>
          <w:tab w:val="clear" w:pos="1070"/>
          <w:tab w:val="num" w:pos="709"/>
          <w:tab w:val="left" w:pos="851"/>
        </w:tabs>
        <w:ind w:left="709" w:hanging="425"/>
        <w:rPr>
          <w:rFonts w:cs="Arial"/>
          <w:b/>
          <w:szCs w:val="22"/>
        </w:rPr>
      </w:pPr>
      <w:r w:rsidRPr="00393F93">
        <w:rPr>
          <w:rFonts w:cs="Arial"/>
          <w:b/>
          <w:szCs w:val="22"/>
        </w:rPr>
        <w:t xml:space="preserve">Número de Oficinas: </w:t>
      </w:r>
      <w:r w:rsidRPr="00393F93">
        <w:rPr>
          <w:rFonts w:cs="Arial"/>
          <w:szCs w:val="22"/>
        </w:rPr>
        <w:t xml:space="preserve">Corresponde al número de oficinas </w:t>
      </w:r>
      <w:r w:rsidR="00223F16">
        <w:rPr>
          <w:rFonts w:cs="Arial"/>
          <w:szCs w:val="22"/>
        </w:rPr>
        <w:t xml:space="preserve">de la entidad </w:t>
      </w:r>
      <w:r w:rsidRPr="00393F93">
        <w:rPr>
          <w:rFonts w:cs="Arial"/>
          <w:szCs w:val="22"/>
        </w:rPr>
        <w:t>que captan depósitos y/o colocan créditos</w:t>
      </w:r>
      <w:r w:rsidR="00223F16">
        <w:rPr>
          <w:rFonts w:cs="Arial"/>
          <w:szCs w:val="22"/>
        </w:rPr>
        <w:t>, en el país o en el extranjero</w:t>
      </w:r>
      <w:r w:rsidRPr="00393F93">
        <w:rPr>
          <w:rFonts w:cs="Arial"/>
          <w:szCs w:val="22"/>
        </w:rPr>
        <w:t>.</w:t>
      </w:r>
    </w:p>
    <w:p w:rsidR="00FC4725" w:rsidRPr="00393F93" w:rsidRDefault="00FC4725" w:rsidP="00393F93">
      <w:pPr>
        <w:tabs>
          <w:tab w:val="num" w:pos="709"/>
          <w:tab w:val="left" w:pos="851"/>
        </w:tabs>
        <w:ind w:left="709" w:hanging="425"/>
        <w:rPr>
          <w:b/>
          <w:szCs w:val="22"/>
        </w:rPr>
      </w:pPr>
    </w:p>
    <w:p w:rsidR="00FC4725" w:rsidRPr="00393F93" w:rsidRDefault="00FC4725" w:rsidP="00393F93">
      <w:pPr>
        <w:numPr>
          <w:ilvl w:val="0"/>
          <w:numId w:val="26"/>
        </w:numPr>
        <w:tabs>
          <w:tab w:val="clear" w:pos="1070"/>
          <w:tab w:val="num" w:pos="709"/>
          <w:tab w:val="left" w:pos="851"/>
        </w:tabs>
        <w:ind w:left="709" w:hanging="425"/>
        <w:rPr>
          <w:rFonts w:cs="Arial"/>
          <w:szCs w:val="22"/>
        </w:rPr>
      </w:pPr>
      <w:r w:rsidRPr="00393F93">
        <w:rPr>
          <w:rFonts w:cs="Arial"/>
          <w:b/>
          <w:szCs w:val="22"/>
        </w:rPr>
        <w:t xml:space="preserve">Operaciones </w:t>
      </w:r>
      <w:r w:rsidRPr="00393F93">
        <w:rPr>
          <w:rFonts w:cs="Arial"/>
          <w:b/>
          <w:i/>
          <w:szCs w:val="22"/>
        </w:rPr>
        <w:t>Forward</w:t>
      </w:r>
      <w:r w:rsidRPr="00393F93">
        <w:rPr>
          <w:rFonts w:cs="Arial"/>
          <w:szCs w:val="22"/>
        </w:rPr>
        <w:t>: Son aquellas operaciones que involucran el acuerdo entre dos partes para comprar (</w:t>
      </w:r>
      <w:r w:rsidRPr="00223F16">
        <w:rPr>
          <w:rFonts w:cs="Arial"/>
          <w:i/>
          <w:szCs w:val="22"/>
        </w:rPr>
        <w:t>Forward</w:t>
      </w:r>
      <w:r w:rsidRPr="00393F93">
        <w:rPr>
          <w:rFonts w:cs="Arial"/>
          <w:szCs w:val="22"/>
        </w:rPr>
        <w:t xml:space="preserve"> compra) o vender (</w:t>
      </w:r>
      <w:r w:rsidRPr="00223F16">
        <w:rPr>
          <w:rFonts w:cs="Arial"/>
          <w:i/>
          <w:szCs w:val="22"/>
        </w:rPr>
        <w:t xml:space="preserve">Forward </w:t>
      </w:r>
      <w:r w:rsidRPr="00393F93">
        <w:rPr>
          <w:rFonts w:cs="Arial"/>
          <w:szCs w:val="22"/>
        </w:rPr>
        <w:t>venta) un activo en un momento futuro del tiempo a un precio pactado.</w:t>
      </w:r>
    </w:p>
    <w:p w:rsidR="00FC4725" w:rsidRPr="00393F93" w:rsidRDefault="00FC4725" w:rsidP="00393F93">
      <w:pPr>
        <w:pStyle w:val="Prrafodelista"/>
        <w:jc w:val="both"/>
        <w:rPr>
          <w:rFonts w:ascii="Arial Narrow" w:hAnsi="Arial Narrow" w:cs="Arial"/>
          <w:szCs w:val="22"/>
        </w:rPr>
      </w:pPr>
    </w:p>
    <w:p w:rsidR="00FC4725" w:rsidRPr="00393F93" w:rsidRDefault="00FC4725" w:rsidP="00393F93">
      <w:pPr>
        <w:numPr>
          <w:ilvl w:val="0"/>
          <w:numId w:val="26"/>
        </w:numPr>
        <w:tabs>
          <w:tab w:val="clear" w:pos="1070"/>
          <w:tab w:val="num" w:pos="709"/>
          <w:tab w:val="left" w:pos="851"/>
        </w:tabs>
        <w:ind w:left="709" w:hanging="425"/>
        <w:rPr>
          <w:rFonts w:cs="Arial"/>
          <w:szCs w:val="22"/>
        </w:rPr>
      </w:pPr>
      <w:r w:rsidRPr="00393F93">
        <w:rPr>
          <w:b/>
          <w:i/>
          <w:szCs w:val="22"/>
        </w:rPr>
        <w:t xml:space="preserve">Forward </w:t>
      </w:r>
      <w:r w:rsidRPr="00393F93">
        <w:rPr>
          <w:b/>
          <w:szCs w:val="22"/>
        </w:rPr>
        <w:t xml:space="preserve">compra en ME: </w:t>
      </w:r>
      <w:r w:rsidRPr="00393F93">
        <w:rPr>
          <w:szCs w:val="22"/>
        </w:rPr>
        <w:t>Es un contrato por el que se pacta hoy la compra de ME, en una fecha futura y a un tipo de cambio futuro establecido hoy. A la fecha de vencimiento del contrato, el agente económico tiene la obligación de comprar la ME de acuerdo con los términos establecidos inicialmente en el contrato.</w:t>
      </w:r>
    </w:p>
    <w:p w:rsidR="00FC4725" w:rsidRPr="00393F93" w:rsidRDefault="00FC4725" w:rsidP="00393F93">
      <w:pPr>
        <w:pStyle w:val="Prrafodelista"/>
        <w:jc w:val="both"/>
        <w:rPr>
          <w:rFonts w:ascii="Arial Narrow" w:hAnsi="Arial Narrow" w:cs="Arial"/>
          <w:i/>
          <w:szCs w:val="22"/>
        </w:rPr>
      </w:pPr>
    </w:p>
    <w:p w:rsidR="00FC4725" w:rsidRPr="00393F93" w:rsidRDefault="00FC4725" w:rsidP="00393F93">
      <w:pPr>
        <w:numPr>
          <w:ilvl w:val="0"/>
          <w:numId w:val="26"/>
        </w:numPr>
        <w:tabs>
          <w:tab w:val="clear" w:pos="1070"/>
          <w:tab w:val="num" w:pos="709"/>
          <w:tab w:val="left" w:pos="851"/>
        </w:tabs>
        <w:ind w:left="709" w:hanging="425"/>
        <w:rPr>
          <w:rFonts w:cs="Arial"/>
          <w:szCs w:val="22"/>
        </w:rPr>
      </w:pPr>
      <w:r w:rsidRPr="00393F93">
        <w:rPr>
          <w:b/>
          <w:i/>
          <w:szCs w:val="22"/>
        </w:rPr>
        <w:t>Forward</w:t>
      </w:r>
      <w:r w:rsidRPr="00393F93">
        <w:rPr>
          <w:b/>
          <w:szCs w:val="22"/>
        </w:rPr>
        <w:t xml:space="preserve"> venta en ME:</w:t>
      </w:r>
      <w:r w:rsidRPr="00393F93">
        <w:rPr>
          <w:szCs w:val="22"/>
        </w:rPr>
        <w:t xml:space="preserve"> Es un contrato por el que se pacta hoy la venta de ME, en una fecha futura y a un tipo de cambio futuro establecido hoy. A la fecha de vencimiento del contrato, el agente económico tiene la obligación de vender la ME de acuerdo con los términos establecidos inicialmente en el contrato.</w:t>
      </w:r>
    </w:p>
    <w:p w:rsidR="00FC4725" w:rsidRPr="00393F93" w:rsidRDefault="00FC4725" w:rsidP="00393F93">
      <w:pPr>
        <w:tabs>
          <w:tab w:val="num" w:pos="709"/>
          <w:tab w:val="left" w:pos="851"/>
        </w:tabs>
        <w:ind w:left="709" w:hanging="425"/>
        <w:rPr>
          <w:b/>
          <w:szCs w:val="22"/>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t xml:space="preserve">Pasivo Total: </w:t>
      </w:r>
      <w:r w:rsidRPr="00393F93">
        <w:rPr>
          <w:szCs w:val="22"/>
        </w:rPr>
        <w:t>Agrupa las cuentas que representan obligaciones contraídas por la empresa por operaciones normales del negocio derivadas de la captación de recursos del público en sus diversas modalidades, adeudados por créditos obtenidos, cuentas por pagar por diversos conceptos y por gastos incurridos, así como obligaciones con el Estado, con el personal y provisiones diversas, menos los ingresos diferidos por intereses y comisiones de créditos, por intereses y comisiones cobrados por anticipado por arrendamiento financiero no devengados y por compraventa de valores no devengados, y los pasivos por el contrario de bienes cedidos en arrendamiento financiero. Adicionalmente, incluyen los saldos negativos del disponible en el Banco Central, en bancos y otras empresas e instituciones del país, y en bancos y otras instituciones financieras del exterior; sin incluir los saldos deudores de las cuentas corrientes en movimiento ni el impuesto a la renta y participaciones diferidas.</w:t>
      </w:r>
    </w:p>
    <w:p w:rsidR="00FC4725" w:rsidRPr="00393F93" w:rsidRDefault="00FC4725" w:rsidP="00393F93">
      <w:pPr>
        <w:tabs>
          <w:tab w:val="num" w:pos="709"/>
          <w:tab w:val="left" w:pos="851"/>
        </w:tabs>
        <w:ind w:left="709" w:hanging="425"/>
        <w:rPr>
          <w:b/>
          <w:szCs w:val="22"/>
        </w:rPr>
      </w:pPr>
    </w:p>
    <w:p w:rsidR="00FC4725" w:rsidRPr="00393F93" w:rsidRDefault="00FC4725" w:rsidP="00393F93">
      <w:pPr>
        <w:numPr>
          <w:ilvl w:val="0"/>
          <w:numId w:val="26"/>
        </w:numPr>
        <w:tabs>
          <w:tab w:val="clear" w:pos="1070"/>
          <w:tab w:val="num" w:pos="709"/>
          <w:tab w:val="left" w:pos="851"/>
        </w:tabs>
        <w:ind w:left="709" w:hanging="425"/>
        <w:rPr>
          <w:b/>
          <w:szCs w:val="22"/>
        </w:rPr>
      </w:pPr>
      <w:r w:rsidRPr="00393F93">
        <w:rPr>
          <w:b/>
          <w:szCs w:val="22"/>
        </w:rPr>
        <w:lastRenderedPageBreak/>
        <w:t xml:space="preserve">Pasivos de Corto Plazo (ME o MN): </w:t>
      </w:r>
      <w:r w:rsidRPr="00393F93">
        <w:rPr>
          <w:szCs w:val="22"/>
        </w:rPr>
        <w:t>Incluye fondos interbancarios netos acreedores, depósitos a la vista, depósitos de ahorros, depósitos a plazo con vencimiento menor a un año y adeudados con vencimiento menor a un año, entre otros.</w:t>
      </w:r>
    </w:p>
    <w:p w:rsidR="00FC4725" w:rsidRPr="00393F93" w:rsidRDefault="00FC4725" w:rsidP="00393F93">
      <w:pPr>
        <w:tabs>
          <w:tab w:val="num" w:pos="709"/>
          <w:tab w:val="left" w:pos="851"/>
        </w:tabs>
        <w:ind w:left="709" w:hanging="425"/>
        <w:rPr>
          <w:b/>
          <w:szCs w:val="22"/>
        </w:rPr>
      </w:pPr>
    </w:p>
    <w:p w:rsidR="00FC4725" w:rsidRPr="00393F93" w:rsidRDefault="00FC4725" w:rsidP="00393F93">
      <w:pPr>
        <w:numPr>
          <w:ilvl w:val="0"/>
          <w:numId w:val="26"/>
        </w:numPr>
        <w:tabs>
          <w:tab w:val="clear" w:pos="1070"/>
          <w:tab w:val="num" w:pos="709"/>
          <w:tab w:val="left" w:pos="851"/>
        </w:tabs>
        <w:ind w:left="709" w:hanging="425"/>
        <w:rPr>
          <w:szCs w:val="22"/>
        </w:rPr>
      </w:pPr>
      <w:r w:rsidRPr="00393F93">
        <w:rPr>
          <w:b/>
          <w:szCs w:val="22"/>
        </w:rPr>
        <w:t xml:space="preserve">Patrimonio Contable: </w:t>
      </w:r>
      <w:r w:rsidRPr="00393F93">
        <w:rPr>
          <w:szCs w:val="22"/>
        </w:rPr>
        <w:t>Recursos propios de las empresas, constituido por la diferencia entre el activo y el pasivo. Comprende la inversión de los accionistas o asociados, el capital adicional (proveniente de donaciones y primas de emisión) así como las reservas, el capital en trámite, los resultados acumulados y el resultado neto del ejercicio, netos de las pérdidas, si las hubieren. No incluye el capital suscrito mientras no haya sido integrado al capital.</w:t>
      </w:r>
    </w:p>
    <w:p w:rsidR="00FC4725" w:rsidRPr="00393F93" w:rsidRDefault="00FC4725" w:rsidP="00393F93">
      <w:pPr>
        <w:pStyle w:val="Prrafodelista"/>
        <w:jc w:val="both"/>
        <w:rPr>
          <w:rFonts w:ascii="Arial Narrow" w:hAnsi="Arial Narrow"/>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 xml:space="preserve">Patrimonio Efectivo: </w:t>
      </w:r>
      <w:r w:rsidRPr="00393F93">
        <w:rPr>
          <w:szCs w:val="22"/>
        </w:rPr>
        <w:t>Importe extra-contable que sirve de respaldo a las operaciones de la empresa. Es igual a la suma del patrimonio básico (de nivel 1) y del patrimonio suplementario (de nivel 2 y 3).</w:t>
      </w:r>
    </w:p>
    <w:p w:rsidR="00FC4725" w:rsidRPr="00393F93" w:rsidRDefault="00FC4725" w:rsidP="00393F93">
      <w:pPr>
        <w:pStyle w:val="Prrafodelista"/>
        <w:tabs>
          <w:tab w:val="num" w:pos="709"/>
          <w:tab w:val="num" w:pos="851"/>
        </w:tabs>
        <w:ind w:left="709" w:hanging="425"/>
        <w:jc w:val="both"/>
        <w:rPr>
          <w:rFonts w:ascii="Arial Narrow" w:hAnsi="Arial Narrow"/>
          <w:b/>
          <w:szCs w:val="22"/>
        </w:rPr>
      </w:pPr>
    </w:p>
    <w:p w:rsidR="00FC4725" w:rsidRPr="00393F93" w:rsidRDefault="00FC4725" w:rsidP="00393F93">
      <w:pPr>
        <w:pStyle w:val="normal-avalon-cursiva"/>
        <w:numPr>
          <w:ilvl w:val="0"/>
          <w:numId w:val="26"/>
        </w:numPr>
        <w:tabs>
          <w:tab w:val="clear" w:pos="1070"/>
          <w:tab w:val="num" w:pos="709"/>
        </w:tabs>
        <w:ind w:left="709" w:hanging="425"/>
        <w:rPr>
          <w:rFonts w:ascii="Arial Narrow" w:hAnsi="Arial Narrow"/>
          <w:i w:val="0"/>
          <w:color w:val="000000"/>
          <w:szCs w:val="22"/>
        </w:rPr>
      </w:pPr>
      <w:r w:rsidRPr="00393F93">
        <w:rPr>
          <w:rFonts w:ascii="Arial Narrow" w:hAnsi="Arial Narrow" w:cs="Arial"/>
          <w:b/>
          <w:i w:val="0"/>
          <w:color w:val="000000"/>
          <w:szCs w:val="22"/>
        </w:rPr>
        <w:t>Patrimonio de nivel 1:</w:t>
      </w:r>
      <w:r w:rsidRPr="00393F93">
        <w:rPr>
          <w:rFonts w:ascii="Arial Narrow" w:hAnsi="Arial Narrow"/>
          <w:i w:val="0"/>
          <w:color w:val="000000"/>
          <w:szCs w:val="22"/>
        </w:rPr>
        <w:t xml:space="preserve"> Incluye capital pagado, reservas legales, prima suplementaria de capital, reservas facultativas que sólo puedan ser reducidas previa conformidad de la Superintendencia, utilidades que cuenten con acuerdo de capitalización, además de otros elementos que reúnan características de permanencia y absorción de pérdidas. Se restan las pérdidas así como el déficit de provisiones y el monto de la plusvalía mercantil o crédito mercantil, además de otros conceptos señalados en el art. 184° de la Ley General.</w:t>
      </w:r>
    </w:p>
    <w:p w:rsidR="00FC4725" w:rsidRPr="00393F93" w:rsidRDefault="00FC4725" w:rsidP="00393F93">
      <w:pPr>
        <w:numPr>
          <w:ilvl w:val="0"/>
          <w:numId w:val="26"/>
        </w:numPr>
        <w:tabs>
          <w:tab w:val="clear" w:pos="1070"/>
          <w:tab w:val="num" w:pos="709"/>
        </w:tabs>
        <w:spacing w:after="200" w:line="240" w:lineRule="exact"/>
        <w:ind w:left="709" w:hanging="425"/>
        <w:rPr>
          <w:color w:val="000000"/>
          <w:szCs w:val="22"/>
        </w:rPr>
      </w:pPr>
      <w:r w:rsidRPr="00393F93">
        <w:rPr>
          <w:rFonts w:cs="Arial"/>
          <w:b/>
          <w:color w:val="000000"/>
          <w:szCs w:val="22"/>
        </w:rPr>
        <w:t>Patrimonio de nivel 2:</w:t>
      </w:r>
      <w:r w:rsidRPr="00393F93">
        <w:rPr>
          <w:color w:val="000000"/>
          <w:szCs w:val="22"/>
        </w:rPr>
        <w:t xml:space="preserve"> Incluye la parte computable de la deuda subordinada redimible y de los instrumentos con características de capital y de deuda que indique la Superintendencia, las provisiones genéricas hasta el 1,25% (en caso se emplee el método estándar) o hasta el 0,6% de los activos y contingentes ponderados por riesgo de crédito (en caso se emplee modelos internos), y las demás reservas facultativas.</w:t>
      </w:r>
    </w:p>
    <w:p w:rsidR="00FC4725" w:rsidRPr="00393F93" w:rsidRDefault="00FC4725" w:rsidP="00393F93">
      <w:pPr>
        <w:numPr>
          <w:ilvl w:val="0"/>
          <w:numId w:val="26"/>
        </w:numPr>
        <w:tabs>
          <w:tab w:val="clear" w:pos="1070"/>
          <w:tab w:val="num" w:pos="709"/>
        </w:tabs>
        <w:spacing w:after="200" w:line="240" w:lineRule="exact"/>
        <w:ind w:left="709" w:hanging="425"/>
        <w:rPr>
          <w:color w:val="000000"/>
          <w:szCs w:val="22"/>
        </w:rPr>
      </w:pPr>
      <w:r w:rsidRPr="00393F93">
        <w:rPr>
          <w:b/>
          <w:color w:val="000000"/>
          <w:szCs w:val="22"/>
        </w:rPr>
        <w:t>P</w:t>
      </w:r>
      <w:r w:rsidRPr="00393F93">
        <w:rPr>
          <w:b/>
          <w:snapToGrid w:val="0"/>
          <w:color w:val="000000"/>
          <w:szCs w:val="22"/>
        </w:rPr>
        <w:t>atrimonio de nivel 3:</w:t>
      </w:r>
      <w:r w:rsidRPr="00393F93">
        <w:rPr>
          <w:snapToGrid w:val="0"/>
          <w:color w:val="000000"/>
          <w:szCs w:val="22"/>
        </w:rPr>
        <w:t xml:space="preserve"> Está constituido por la deuda subordinada redimible exclusiva p</w:t>
      </w:r>
      <w:r w:rsidRPr="00393F93">
        <w:rPr>
          <w:color w:val="000000"/>
          <w:szCs w:val="22"/>
        </w:rPr>
        <w:t>ara soportar riesgos de mercado</w:t>
      </w:r>
      <w:r w:rsidRPr="00393F93">
        <w:rPr>
          <w:snapToGrid w:val="0"/>
          <w:color w:val="000000"/>
          <w:szCs w:val="22"/>
        </w:rPr>
        <w:t>.</w:t>
      </w: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 xml:space="preserve">Personal: </w:t>
      </w:r>
      <w:r w:rsidRPr="00393F93">
        <w:rPr>
          <w:szCs w:val="22"/>
        </w:rPr>
        <w:t>Se refiere al total de trabajadores de las instituciones financieras, independientemente de si son nombrados, contratados por la institución financiera o por terceros.</w:t>
      </w:r>
    </w:p>
    <w:p w:rsidR="00FC4725" w:rsidRPr="00393F93" w:rsidRDefault="00FC4725" w:rsidP="00393F93">
      <w:pPr>
        <w:tabs>
          <w:tab w:val="num" w:pos="709"/>
          <w:tab w:val="left" w:pos="851"/>
        </w:tabs>
        <w:ind w:left="709" w:hanging="425"/>
        <w:rPr>
          <w:b/>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 xml:space="preserve">Posición de Cambio en Moneda Extranjera: </w:t>
      </w:r>
      <w:r w:rsidRPr="00393F93">
        <w:rPr>
          <w:szCs w:val="22"/>
        </w:rPr>
        <w:t>Es la diferencia entre el total de activos y el total de pasivos en moneda extranjera.</w:t>
      </w:r>
    </w:p>
    <w:p w:rsidR="00FC4725" w:rsidRPr="00393F93" w:rsidRDefault="00FC4725" w:rsidP="00393F93">
      <w:pPr>
        <w:tabs>
          <w:tab w:val="num" w:pos="709"/>
          <w:tab w:val="num" w:pos="851"/>
        </w:tabs>
        <w:ind w:left="709" w:hanging="425"/>
        <w:rPr>
          <w:b/>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 xml:space="preserve">Posición Global en Moneda Extranjera: </w:t>
      </w:r>
      <w:r w:rsidRPr="00393F93">
        <w:rPr>
          <w:szCs w:val="22"/>
        </w:rPr>
        <w:t>Es la posición de cambio más la posición neta en productos financieros derivados, más el valor neto de opciones sobre monedas.</w:t>
      </w:r>
    </w:p>
    <w:p w:rsidR="00FC4725" w:rsidRPr="00393F93" w:rsidRDefault="00FC4725" w:rsidP="00393F93">
      <w:pPr>
        <w:tabs>
          <w:tab w:val="num" w:pos="709"/>
          <w:tab w:val="num" w:pos="851"/>
        </w:tabs>
        <w:ind w:left="709" w:hanging="425"/>
        <w:rPr>
          <w:b/>
          <w:szCs w:val="22"/>
        </w:rPr>
      </w:pPr>
    </w:p>
    <w:p w:rsidR="00FC4725" w:rsidRDefault="00FC4725" w:rsidP="00393F93">
      <w:pPr>
        <w:numPr>
          <w:ilvl w:val="0"/>
          <w:numId w:val="26"/>
        </w:numPr>
        <w:tabs>
          <w:tab w:val="clear" w:pos="1070"/>
          <w:tab w:val="num" w:pos="709"/>
        </w:tabs>
        <w:ind w:left="709" w:hanging="425"/>
        <w:rPr>
          <w:b/>
          <w:szCs w:val="22"/>
        </w:rPr>
      </w:pPr>
      <w:r w:rsidRPr="00393F93">
        <w:rPr>
          <w:b/>
          <w:szCs w:val="22"/>
        </w:rPr>
        <w:t xml:space="preserve">Provisiones de la Cartera de Créditos: </w:t>
      </w:r>
      <w:r w:rsidRPr="00393F93">
        <w:rPr>
          <w:szCs w:val="22"/>
        </w:rPr>
        <w:t>Corresponde a las provisiones constituidas sobre los créditos directos. Es</w:t>
      </w:r>
      <w:r w:rsidRPr="00393F93">
        <w:rPr>
          <w:b/>
          <w:szCs w:val="22"/>
        </w:rPr>
        <w:t xml:space="preserve"> </w:t>
      </w:r>
      <w:r w:rsidRPr="00393F93">
        <w:rPr>
          <w:szCs w:val="22"/>
        </w:rPr>
        <w:t>la cuenta que ajusta el valor de la cartera de créditos en función de la clasificación de riesgo del deudor.</w:t>
      </w:r>
      <w:r w:rsidRPr="00393F93">
        <w:rPr>
          <w:b/>
          <w:szCs w:val="22"/>
        </w:rPr>
        <w:t xml:space="preserve"> </w:t>
      </w:r>
    </w:p>
    <w:p w:rsidR="00EA2DE6" w:rsidRDefault="00EA2DE6" w:rsidP="00EA2DE6">
      <w:pPr>
        <w:pStyle w:val="Prrafodelista"/>
        <w:rPr>
          <w:b/>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Requerimiento Patrimonial por Riego de Crédito:</w:t>
      </w:r>
      <w:r w:rsidRPr="00393F93">
        <w:rPr>
          <w:szCs w:val="22"/>
        </w:rPr>
        <w:t xml:space="preserve"> Patrimonio Efectivo exigido a las empresas del sistema financiero para cubrir el riesgo de crédito que enfrentan, siendo equivalente al 10% de los activos y contingentes ponderados por riesgo de crédito</w:t>
      </w:r>
    </w:p>
    <w:p w:rsidR="00FC4725" w:rsidRPr="00393F93" w:rsidRDefault="00FC4725" w:rsidP="00393F93">
      <w:pPr>
        <w:pStyle w:val="Prrafodelista"/>
        <w:jc w:val="both"/>
        <w:rPr>
          <w:rFonts w:ascii="Arial Narrow" w:hAnsi="Arial Narrow"/>
          <w:b/>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lastRenderedPageBreak/>
        <w:t xml:space="preserve">Requerimiento Patrimonial por Riego de Mercado: </w:t>
      </w:r>
      <w:r w:rsidRPr="00393F93">
        <w:rPr>
          <w:szCs w:val="22"/>
        </w:rPr>
        <w:t xml:space="preserve">Patrimonio efectivo destinado a cubrir la posibilidad de pérdidas en posiciones dentro y fuera del balance derivadas de fluctuaciones en los precios de mercado (tasa de interés, precio de instrumentos financieros, tipo de cambio y </w:t>
      </w:r>
      <w:r w:rsidRPr="00393F93">
        <w:rPr>
          <w:i/>
          <w:szCs w:val="22"/>
        </w:rPr>
        <w:t>commodities</w:t>
      </w:r>
      <w:r w:rsidRPr="00393F93">
        <w:rPr>
          <w:szCs w:val="22"/>
        </w:rPr>
        <w:t xml:space="preserve">). </w:t>
      </w:r>
    </w:p>
    <w:p w:rsidR="00FC4725" w:rsidRPr="00393F93" w:rsidRDefault="00FC4725" w:rsidP="00393F93">
      <w:pPr>
        <w:pStyle w:val="Prrafodelista"/>
        <w:tabs>
          <w:tab w:val="num" w:pos="709"/>
        </w:tabs>
        <w:ind w:left="709" w:hanging="425"/>
        <w:jc w:val="both"/>
        <w:rPr>
          <w:rFonts w:ascii="Arial Narrow" w:hAnsi="Arial Narrow"/>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Requerimiento Patrimonial por Riesgo Operacional: </w:t>
      </w:r>
      <w:r w:rsidRPr="00393F93">
        <w:rPr>
          <w:szCs w:val="22"/>
        </w:rPr>
        <w:t xml:space="preserve">Patrimonio efectivo destinado a cubrir la posibilidad de ocurrencia de pérdidas que enfrentan las instituciones financieras debido a procesos inadecuados, fallas del personal, de la tecnología de información, o eventos externos.  </w:t>
      </w:r>
    </w:p>
    <w:p w:rsidR="00FC4725" w:rsidRPr="00393F93" w:rsidRDefault="00FC4725" w:rsidP="00393F93">
      <w:pPr>
        <w:tabs>
          <w:tab w:val="num" w:pos="709"/>
          <w:tab w:val="num" w:pos="851"/>
        </w:tabs>
        <w:ind w:left="709" w:hanging="425"/>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Riesgo Cambiario: </w:t>
      </w:r>
      <w:r w:rsidRPr="00393F93">
        <w:rPr>
          <w:szCs w:val="22"/>
        </w:rPr>
        <w:t>Posibilidad de pérdidas derivadas de fluctuaciones de los tipos de cambio y del precio del oro.</w:t>
      </w:r>
    </w:p>
    <w:p w:rsidR="00FC4725" w:rsidRPr="00393F93" w:rsidRDefault="00FC4725" w:rsidP="00393F93">
      <w:pPr>
        <w:ind w:left="709"/>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Riesgo de Commodities: </w:t>
      </w:r>
      <w:r w:rsidRPr="00393F93">
        <w:rPr>
          <w:szCs w:val="22"/>
        </w:rPr>
        <w:t>Posibilidad de pérdidas derivadas de fluctuaciones de los precios de los commodities.</w:t>
      </w:r>
    </w:p>
    <w:p w:rsidR="00FC4725" w:rsidRPr="00393F93" w:rsidRDefault="00FC4725" w:rsidP="00393F93">
      <w:pPr>
        <w:ind w:left="709"/>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Riesgo de Crédito: </w:t>
      </w:r>
      <w:r w:rsidRPr="00393F93">
        <w:rPr>
          <w:szCs w:val="22"/>
        </w:rPr>
        <w:t xml:space="preserve">La posibilidad de pérdidas por </w:t>
      </w:r>
      <w:r w:rsidR="00532D85">
        <w:rPr>
          <w:szCs w:val="22"/>
        </w:rPr>
        <w:t>la incapacidad</w:t>
      </w:r>
      <w:r w:rsidRPr="00393F93">
        <w:rPr>
          <w:szCs w:val="22"/>
        </w:rPr>
        <w:t xml:space="preserve"> o falta de voluntad de los deudores</w:t>
      </w:r>
      <w:r w:rsidR="00532D85">
        <w:rPr>
          <w:szCs w:val="22"/>
        </w:rPr>
        <w:t>,</w:t>
      </w:r>
      <w:r w:rsidRPr="00393F93">
        <w:rPr>
          <w:szCs w:val="22"/>
        </w:rPr>
        <w:t xml:space="preserve"> contrapartes, o terceros obligados para cumplir sus obligaciones contractuales registradas dentro o fuera de balance.</w:t>
      </w:r>
    </w:p>
    <w:p w:rsidR="00FC4725" w:rsidRPr="00393F93" w:rsidRDefault="00FC4725" w:rsidP="00393F93">
      <w:pPr>
        <w:ind w:left="709"/>
        <w:rPr>
          <w:b/>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 xml:space="preserve">Riesgo de Mercado: </w:t>
      </w:r>
      <w:r w:rsidRPr="00393F93">
        <w:rPr>
          <w:szCs w:val="22"/>
        </w:rPr>
        <w:t>Posibilidad de pérdidas en posiciones dentro y fuera de balance derivadas de fluctuaciones de los precios de mercado.</w:t>
      </w:r>
    </w:p>
    <w:p w:rsidR="00FC4725" w:rsidRPr="00393F93" w:rsidRDefault="00FC4725" w:rsidP="00393F93">
      <w:pPr>
        <w:ind w:left="709"/>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Riesgo de Operación: </w:t>
      </w:r>
      <w:r w:rsidRPr="00393F93">
        <w:rPr>
          <w:szCs w:val="22"/>
        </w:rPr>
        <w:t>La posibilidad de pérdidas debido a procesos inadecuados, fallas del personal, de la tecnología de información, o eventos externos. Esta definición incluye el riesgo legal, pero excluye el riesgo estratégico y de reputación.</w:t>
      </w:r>
    </w:p>
    <w:p w:rsidR="00FC4725" w:rsidRPr="00393F93" w:rsidRDefault="00FC4725" w:rsidP="00393F93">
      <w:pPr>
        <w:ind w:left="709"/>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Riesgo de Precio: </w:t>
      </w:r>
      <w:r w:rsidRPr="00393F93">
        <w:rPr>
          <w:szCs w:val="22"/>
        </w:rPr>
        <w:t>Posibilidad de pérdidas derivadas de fluctuaciones de los precios de los valores representativos de capital.</w:t>
      </w:r>
    </w:p>
    <w:p w:rsidR="00FC4725" w:rsidRPr="00393F93" w:rsidRDefault="00FC4725" w:rsidP="00393F93">
      <w:pPr>
        <w:ind w:left="709"/>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Riesgo de Tasa de Interés: </w:t>
      </w:r>
      <w:r w:rsidRPr="00393F93">
        <w:rPr>
          <w:szCs w:val="22"/>
        </w:rPr>
        <w:t>Posibilidad de pérdidas derivadas de fluctuaciones de las tasas de interés.</w:t>
      </w:r>
    </w:p>
    <w:p w:rsidR="00FC4725" w:rsidRPr="00393F93" w:rsidRDefault="00FC4725" w:rsidP="00393F93">
      <w:pPr>
        <w:tabs>
          <w:tab w:val="num" w:pos="709"/>
          <w:tab w:val="num" w:pos="851"/>
        </w:tabs>
        <w:ind w:left="709" w:hanging="425"/>
        <w:rPr>
          <w:b/>
          <w:szCs w:val="22"/>
        </w:rPr>
      </w:pPr>
    </w:p>
    <w:p w:rsidR="00FC4725" w:rsidRPr="00393F93" w:rsidRDefault="00FC4725" w:rsidP="00393F93">
      <w:pPr>
        <w:numPr>
          <w:ilvl w:val="0"/>
          <w:numId w:val="26"/>
        </w:numPr>
        <w:tabs>
          <w:tab w:val="clear" w:pos="1070"/>
          <w:tab w:val="num" w:pos="709"/>
        </w:tabs>
        <w:ind w:left="709" w:hanging="425"/>
        <w:rPr>
          <w:szCs w:val="22"/>
        </w:rPr>
      </w:pPr>
      <w:r w:rsidRPr="00393F93">
        <w:rPr>
          <w:b/>
          <w:szCs w:val="22"/>
        </w:rPr>
        <w:t xml:space="preserve">Tipo de Cambio Contable: </w:t>
      </w:r>
      <w:r w:rsidRPr="00393F93">
        <w:rPr>
          <w:szCs w:val="22"/>
        </w:rPr>
        <w:t>Es el tipo de cambio diario utilizado para la presentación de la contabilidad de las empresas. Para la conversión de los saldos contables en moneda extranjera a moneda nacional se utiliza el tipo de cambio entre Nuevo Sol y Dólar de Norteamérica de fin de periodo.</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6"/>
        </w:numPr>
        <w:tabs>
          <w:tab w:val="clear" w:pos="1070"/>
          <w:tab w:val="num" w:pos="709"/>
        </w:tabs>
        <w:ind w:left="709" w:hanging="425"/>
        <w:rPr>
          <w:b/>
          <w:szCs w:val="22"/>
        </w:rPr>
      </w:pPr>
      <w:r w:rsidRPr="00393F93">
        <w:rPr>
          <w:b/>
          <w:szCs w:val="22"/>
        </w:rPr>
        <w:t xml:space="preserve">Utilidad Neta: </w:t>
      </w:r>
      <w:r w:rsidRPr="00393F93">
        <w:rPr>
          <w:szCs w:val="22"/>
        </w:rPr>
        <w:t>Comprende el resultado obtenido por la empresa al final del periodo contable o ejercicio que surge del Estado de Ganancias y Pérdidas.</w:t>
      </w:r>
    </w:p>
    <w:p w:rsidR="00FC4725" w:rsidRPr="00393F93" w:rsidRDefault="00FC4725" w:rsidP="00393F93">
      <w:pPr>
        <w:tabs>
          <w:tab w:val="num" w:pos="851"/>
        </w:tabs>
        <w:ind w:left="427" w:hanging="567"/>
        <w:rPr>
          <w:rFonts w:cs="Arial"/>
          <w:szCs w:val="22"/>
        </w:rPr>
      </w:pPr>
    </w:p>
    <w:p w:rsidR="00FC4725" w:rsidRPr="00393F93" w:rsidRDefault="00FC4725" w:rsidP="00393F93">
      <w:pPr>
        <w:tabs>
          <w:tab w:val="num" w:pos="851"/>
        </w:tabs>
        <w:ind w:left="427" w:hanging="567"/>
        <w:rPr>
          <w:rFonts w:cs="Arial"/>
          <w:szCs w:val="22"/>
        </w:rPr>
      </w:pPr>
    </w:p>
    <w:p w:rsidR="00FC4725" w:rsidRPr="00393F93" w:rsidRDefault="00FC4725" w:rsidP="00393F93">
      <w:pPr>
        <w:numPr>
          <w:ilvl w:val="0"/>
          <w:numId w:val="29"/>
        </w:numPr>
        <w:tabs>
          <w:tab w:val="left" w:pos="426"/>
        </w:tabs>
        <w:ind w:left="426" w:hanging="284"/>
        <w:rPr>
          <w:b/>
          <w:szCs w:val="22"/>
          <w:u w:val="single"/>
        </w:rPr>
      </w:pPr>
      <w:r w:rsidRPr="00393F93">
        <w:rPr>
          <w:b/>
          <w:szCs w:val="22"/>
          <w:u w:val="single"/>
        </w:rPr>
        <w:t>Indicadores Financieros</w:t>
      </w:r>
    </w:p>
    <w:p w:rsidR="00FC4725" w:rsidRPr="00393F93" w:rsidRDefault="00FC4725" w:rsidP="00393F93">
      <w:pPr>
        <w:tabs>
          <w:tab w:val="num" w:pos="851"/>
        </w:tabs>
        <w:ind w:left="851" w:hanging="567"/>
        <w:rPr>
          <w:b/>
          <w:szCs w:val="22"/>
        </w:rPr>
      </w:pPr>
    </w:p>
    <w:p w:rsidR="00FC4725" w:rsidRPr="00393F93" w:rsidRDefault="00FC4725" w:rsidP="00393F93">
      <w:pPr>
        <w:numPr>
          <w:ilvl w:val="2"/>
          <w:numId w:val="25"/>
        </w:numPr>
        <w:tabs>
          <w:tab w:val="clear" w:pos="1260"/>
          <w:tab w:val="num" w:pos="709"/>
          <w:tab w:val="left" w:pos="900"/>
        </w:tabs>
        <w:ind w:left="851" w:hanging="567"/>
        <w:rPr>
          <w:b/>
          <w:szCs w:val="22"/>
          <w:u w:val="single"/>
        </w:rPr>
      </w:pPr>
      <w:r w:rsidRPr="00393F93">
        <w:rPr>
          <w:b/>
          <w:szCs w:val="22"/>
          <w:u w:val="single"/>
        </w:rPr>
        <w:t>Calidad de Activos</w:t>
      </w:r>
    </w:p>
    <w:p w:rsidR="00FC4725" w:rsidRPr="00393F93" w:rsidRDefault="00FC4725" w:rsidP="00393F93">
      <w:pPr>
        <w:tabs>
          <w:tab w:val="num" w:pos="851"/>
        </w:tabs>
        <w:ind w:left="851" w:hanging="567"/>
        <w:rPr>
          <w:szCs w:val="22"/>
        </w:rPr>
      </w:pPr>
    </w:p>
    <w:p w:rsidR="00FC4725" w:rsidRPr="00393F93" w:rsidRDefault="00FC4725" w:rsidP="00393F93">
      <w:pPr>
        <w:numPr>
          <w:ilvl w:val="0"/>
          <w:numId w:val="27"/>
        </w:numPr>
        <w:tabs>
          <w:tab w:val="clear" w:pos="1068"/>
        </w:tabs>
        <w:ind w:left="709" w:hanging="425"/>
        <w:rPr>
          <w:szCs w:val="22"/>
        </w:rPr>
      </w:pPr>
      <w:r w:rsidRPr="00393F93">
        <w:rPr>
          <w:b/>
          <w:szCs w:val="22"/>
        </w:rPr>
        <w:t xml:space="preserve">Activo Rentable / Activo Total (%): </w:t>
      </w:r>
      <w:r w:rsidRPr="00393F93">
        <w:rPr>
          <w:szCs w:val="22"/>
        </w:rPr>
        <w:t>Este indicador mide la proporción del activo que genera ingresos financieros.</w:t>
      </w:r>
    </w:p>
    <w:p w:rsidR="00FC4725" w:rsidRPr="00393F93" w:rsidRDefault="00FC4725" w:rsidP="00393F93">
      <w:pPr>
        <w:pStyle w:val="Prrafodelista"/>
        <w:numPr>
          <w:ilvl w:val="0"/>
          <w:numId w:val="27"/>
        </w:numPr>
        <w:tabs>
          <w:tab w:val="clear" w:pos="1068"/>
        </w:tabs>
        <w:spacing w:after="120" w:line="240" w:lineRule="exact"/>
        <w:ind w:left="709" w:hanging="425"/>
        <w:contextualSpacing w:val="0"/>
        <w:jc w:val="both"/>
        <w:rPr>
          <w:rFonts w:ascii="Arial Narrow" w:hAnsi="Arial Narrow"/>
          <w:szCs w:val="22"/>
        </w:rPr>
      </w:pPr>
      <w:r w:rsidRPr="00393F93">
        <w:rPr>
          <w:rFonts w:ascii="Arial Narrow" w:hAnsi="Arial Narrow"/>
          <w:b/>
          <w:iCs/>
          <w:szCs w:val="22"/>
        </w:rPr>
        <w:lastRenderedPageBreak/>
        <w:t>Cartera Atrasada / Créditos Directos (%):</w:t>
      </w:r>
      <w:r w:rsidRPr="00393F93">
        <w:rPr>
          <w:rFonts w:ascii="Arial Narrow" w:hAnsi="Arial Narrow"/>
          <w:szCs w:val="22"/>
        </w:rPr>
        <w:t xml:space="preserve"> Porcentaje de los créditos directos que se encuentra en situación de vencido o en cobranza judicial.</w:t>
      </w:r>
    </w:p>
    <w:p w:rsidR="00FC4725" w:rsidRPr="00393F93" w:rsidRDefault="00FC4725" w:rsidP="00393F93">
      <w:pPr>
        <w:pStyle w:val="Prrafodelista"/>
        <w:numPr>
          <w:ilvl w:val="0"/>
          <w:numId w:val="27"/>
        </w:numPr>
        <w:tabs>
          <w:tab w:val="clear" w:pos="1068"/>
        </w:tabs>
        <w:spacing w:after="120" w:line="240" w:lineRule="exact"/>
        <w:ind w:left="709" w:hanging="425"/>
        <w:contextualSpacing w:val="0"/>
        <w:jc w:val="both"/>
        <w:rPr>
          <w:rFonts w:ascii="Arial Narrow" w:hAnsi="Arial Narrow"/>
          <w:szCs w:val="22"/>
        </w:rPr>
      </w:pPr>
      <w:r w:rsidRPr="00393F93">
        <w:rPr>
          <w:rFonts w:ascii="Arial Narrow" w:hAnsi="Arial Narrow"/>
          <w:b/>
          <w:iCs/>
          <w:szCs w:val="22"/>
        </w:rPr>
        <w:t>Cartera Atrasada MN / Créditos Directos MN (%):</w:t>
      </w:r>
      <w:r w:rsidRPr="00393F93">
        <w:rPr>
          <w:rFonts w:ascii="Arial Narrow" w:hAnsi="Arial Narrow"/>
          <w:b/>
          <w:szCs w:val="22"/>
        </w:rPr>
        <w:t xml:space="preserve"> </w:t>
      </w:r>
      <w:r w:rsidRPr="00393F93">
        <w:rPr>
          <w:rFonts w:ascii="Arial Narrow" w:hAnsi="Arial Narrow"/>
          <w:szCs w:val="22"/>
        </w:rPr>
        <w:t>Porcentaje de los créditos directos en moneda nacional que se encuentra en situación de vencido o en cobranza judicial.</w:t>
      </w:r>
    </w:p>
    <w:p w:rsidR="00FC4725" w:rsidRPr="00393F93" w:rsidRDefault="00FC4725" w:rsidP="00393F93">
      <w:pPr>
        <w:pStyle w:val="Prrafodelista"/>
        <w:numPr>
          <w:ilvl w:val="0"/>
          <w:numId w:val="27"/>
        </w:numPr>
        <w:tabs>
          <w:tab w:val="clear" w:pos="1068"/>
        </w:tabs>
        <w:spacing w:after="120" w:line="240" w:lineRule="exact"/>
        <w:ind w:left="709" w:hanging="425"/>
        <w:contextualSpacing w:val="0"/>
        <w:jc w:val="both"/>
        <w:rPr>
          <w:rFonts w:ascii="Arial Narrow" w:hAnsi="Arial Narrow"/>
          <w:szCs w:val="22"/>
        </w:rPr>
      </w:pPr>
      <w:r w:rsidRPr="00393F93">
        <w:rPr>
          <w:rFonts w:ascii="Arial Narrow" w:hAnsi="Arial Narrow"/>
          <w:b/>
          <w:iCs/>
          <w:szCs w:val="22"/>
        </w:rPr>
        <w:t>Cartera Atrasada ME / Créditos Directos ME</w:t>
      </w:r>
      <w:r w:rsidRPr="00393F93">
        <w:rPr>
          <w:rFonts w:ascii="Arial Narrow" w:hAnsi="Arial Narrow"/>
          <w:b/>
          <w:iCs/>
          <w:color w:val="333333"/>
          <w:szCs w:val="22"/>
        </w:rPr>
        <w:t xml:space="preserve"> (%):</w:t>
      </w:r>
      <w:r w:rsidRPr="00393F93">
        <w:rPr>
          <w:rFonts w:ascii="Arial Narrow" w:hAnsi="Arial Narrow"/>
          <w:szCs w:val="22"/>
        </w:rPr>
        <w:t xml:space="preserve"> Porcentaje de los créditos directos en moneda extranjera que se encuentra en situación de  vencido o en cobranza judicial.</w:t>
      </w:r>
    </w:p>
    <w:p w:rsidR="00FC4725" w:rsidRPr="00393F93" w:rsidRDefault="00FC4725" w:rsidP="00393F93">
      <w:pPr>
        <w:pStyle w:val="Prrafodelista"/>
        <w:numPr>
          <w:ilvl w:val="0"/>
          <w:numId w:val="27"/>
        </w:numPr>
        <w:tabs>
          <w:tab w:val="clear" w:pos="1068"/>
        </w:tabs>
        <w:spacing w:after="120" w:line="240" w:lineRule="exact"/>
        <w:ind w:left="709" w:hanging="425"/>
        <w:contextualSpacing w:val="0"/>
        <w:jc w:val="both"/>
        <w:rPr>
          <w:rFonts w:ascii="Arial Narrow" w:hAnsi="Arial Narrow"/>
          <w:b/>
          <w:szCs w:val="22"/>
        </w:rPr>
      </w:pPr>
      <w:r w:rsidRPr="00393F93">
        <w:rPr>
          <w:rFonts w:ascii="Arial Narrow" w:hAnsi="Arial Narrow"/>
          <w:b/>
          <w:iCs/>
          <w:szCs w:val="22"/>
        </w:rPr>
        <w:t>Créditos Refinanciados y Reestructurados / Créditos Directos (%):</w:t>
      </w:r>
      <w:r w:rsidRPr="00393F93">
        <w:rPr>
          <w:rFonts w:ascii="Arial Narrow" w:hAnsi="Arial Narrow"/>
          <w:b/>
          <w:szCs w:val="22"/>
        </w:rPr>
        <w:t xml:space="preserve"> </w:t>
      </w:r>
      <w:r w:rsidRPr="00393F93">
        <w:rPr>
          <w:rFonts w:ascii="Arial Narrow" w:hAnsi="Arial Narrow"/>
          <w:szCs w:val="22"/>
        </w:rPr>
        <w:t>Porcentaje de los créditos directos que han sido refinanciados o reestructurados.</w:t>
      </w:r>
      <w:r w:rsidRPr="00393F93">
        <w:rPr>
          <w:rFonts w:ascii="Arial Narrow" w:hAnsi="Arial Narrow"/>
          <w:b/>
          <w:szCs w:val="22"/>
        </w:rPr>
        <w:t xml:space="preserve"> </w:t>
      </w:r>
    </w:p>
    <w:p w:rsidR="00FC4725" w:rsidRPr="00393F93" w:rsidRDefault="00FC4725" w:rsidP="00393F93">
      <w:pPr>
        <w:pStyle w:val="Prrafodelista"/>
        <w:numPr>
          <w:ilvl w:val="0"/>
          <w:numId w:val="27"/>
        </w:numPr>
        <w:tabs>
          <w:tab w:val="clear" w:pos="1068"/>
        </w:tabs>
        <w:spacing w:after="120" w:line="240" w:lineRule="exact"/>
        <w:ind w:left="709" w:hanging="425"/>
        <w:contextualSpacing w:val="0"/>
        <w:jc w:val="both"/>
        <w:rPr>
          <w:rFonts w:ascii="Arial Narrow" w:hAnsi="Arial Narrow"/>
          <w:szCs w:val="22"/>
        </w:rPr>
      </w:pPr>
      <w:r w:rsidRPr="00393F93">
        <w:rPr>
          <w:rFonts w:ascii="Arial Narrow" w:hAnsi="Arial Narrow"/>
          <w:b/>
          <w:iCs/>
          <w:szCs w:val="22"/>
        </w:rPr>
        <w:t xml:space="preserve">Provisiones / Cartera Atrasada (%): </w:t>
      </w:r>
      <w:r w:rsidRPr="00393F93">
        <w:rPr>
          <w:rFonts w:ascii="Arial Narrow" w:hAnsi="Arial Narrow"/>
          <w:szCs w:val="22"/>
        </w:rPr>
        <w:t xml:space="preserve">Porcentaje de la cartera atrasada que se encuentra cubierta por provisiones. </w:t>
      </w:r>
    </w:p>
    <w:p w:rsidR="00FC4725" w:rsidRPr="00393F93" w:rsidRDefault="00FC4725" w:rsidP="00393F93">
      <w:pPr>
        <w:tabs>
          <w:tab w:val="num" w:pos="851"/>
          <w:tab w:val="left" w:pos="900"/>
        </w:tabs>
        <w:ind w:left="851" w:hanging="567"/>
        <w:rPr>
          <w:b/>
          <w:szCs w:val="22"/>
          <w:u w:val="single"/>
        </w:rPr>
      </w:pPr>
    </w:p>
    <w:p w:rsidR="00FC4725" w:rsidRPr="00393F93" w:rsidRDefault="00FC4725" w:rsidP="00393F93">
      <w:pPr>
        <w:numPr>
          <w:ilvl w:val="2"/>
          <w:numId w:val="25"/>
        </w:numPr>
        <w:tabs>
          <w:tab w:val="clear" w:pos="1260"/>
          <w:tab w:val="num" w:pos="709"/>
          <w:tab w:val="left" w:pos="900"/>
        </w:tabs>
        <w:ind w:left="851" w:hanging="567"/>
        <w:rPr>
          <w:b/>
          <w:szCs w:val="22"/>
          <w:u w:val="single"/>
        </w:rPr>
      </w:pPr>
      <w:r w:rsidRPr="00393F93">
        <w:rPr>
          <w:b/>
          <w:szCs w:val="22"/>
          <w:u w:val="single"/>
        </w:rPr>
        <w:t>Dolarización</w:t>
      </w:r>
    </w:p>
    <w:p w:rsidR="00FC4725" w:rsidRPr="00393F93" w:rsidRDefault="00FC4725" w:rsidP="00393F93">
      <w:pPr>
        <w:tabs>
          <w:tab w:val="num" w:pos="851"/>
        </w:tabs>
        <w:ind w:left="851" w:hanging="567"/>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Dolarización de Créditos (%): </w:t>
      </w:r>
      <w:r w:rsidRPr="00393F93">
        <w:rPr>
          <w:szCs w:val="22"/>
        </w:rPr>
        <w:t>Es el porcentaje de créditos directos en moneda extranjera sobre el total de créditos directos. Para la conversión de los créditos en moneda extranjera, se utiliza el tipo de cambio contable de fin de periodo.</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Dolarización de Depósitos (%): </w:t>
      </w:r>
      <w:r w:rsidRPr="00393F93">
        <w:rPr>
          <w:szCs w:val="22"/>
        </w:rPr>
        <w:t>Es el porcentaje de depósitos en moneda extranjera sobre el total de depósitos. Para la conversión de los depósitos en moneda extranjera, se utiliza el tipo de cambio contable de fin de periodo.</w:t>
      </w:r>
    </w:p>
    <w:p w:rsidR="00FC4725" w:rsidRPr="00393F93" w:rsidRDefault="00FC4725" w:rsidP="00393F93">
      <w:pPr>
        <w:tabs>
          <w:tab w:val="left" w:pos="900"/>
        </w:tabs>
        <w:ind w:left="709"/>
        <w:rPr>
          <w:b/>
          <w:szCs w:val="22"/>
          <w:u w:val="single"/>
        </w:rPr>
      </w:pPr>
    </w:p>
    <w:p w:rsidR="00FC4725" w:rsidRPr="00393F93" w:rsidRDefault="00FC4725" w:rsidP="00393F93">
      <w:pPr>
        <w:numPr>
          <w:ilvl w:val="2"/>
          <w:numId w:val="25"/>
        </w:numPr>
        <w:tabs>
          <w:tab w:val="clear" w:pos="1260"/>
          <w:tab w:val="num" w:pos="709"/>
          <w:tab w:val="left" w:pos="900"/>
        </w:tabs>
        <w:ind w:left="709" w:hanging="425"/>
        <w:rPr>
          <w:b/>
          <w:szCs w:val="22"/>
          <w:u w:val="single"/>
        </w:rPr>
      </w:pPr>
      <w:r w:rsidRPr="00393F93">
        <w:rPr>
          <w:b/>
          <w:szCs w:val="22"/>
          <w:u w:val="single"/>
        </w:rPr>
        <w:t>Eficiencia y Gestión</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Créditos Directos / personal (Miles S/.): </w:t>
      </w:r>
      <w:r w:rsidRPr="00393F93">
        <w:rPr>
          <w:szCs w:val="22"/>
        </w:rPr>
        <w:t>El indicador mide el monto promedio de créditos colocados por cada empleado.</w:t>
      </w:r>
    </w:p>
    <w:p w:rsidR="00FC4725" w:rsidRPr="00393F93" w:rsidRDefault="00FC4725" w:rsidP="00393F93">
      <w:pPr>
        <w:tabs>
          <w:tab w:val="num" w:pos="709"/>
        </w:tabs>
        <w:ind w:left="709" w:hanging="425"/>
        <w:rPr>
          <w:b/>
          <w:szCs w:val="22"/>
        </w:rPr>
      </w:pPr>
    </w:p>
    <w:p w:rsidR="00FC4725" w:rsidRPr="00393F93" w:rsidRDefault="00FC4725" w:rsidP="00393F93">
      <w:pPr>
        <w:numPr>
          <w:ilvl w:val="0"/>
          <w:numId w:val="27"/>
        </w:numPr>
        <w:tabs>
          <w:tab w:val="clear" w:pos="1068"/>
          <w:tab w:val="num" w:pos="709"/>
        </w:tabs>
        <w:ind w:left="709" w:hanging="425"/>
        <w:rPr>
          <w:b/>
          <w:szCs w:val="22"/>
        </w:rPr>
      </w:pPr>
      <w:r w:rsidRPr="00393F93">
        <w:rPr>
          <w:b/>
          <w:szCs w:val="22"/>
        </w:rPr>
        <w:t xml:space="preserve">Depósitos / Número de Oficinas (Miles S/.): </w:t>
      </w:r>
      <w:r w:rsidRPr="00393F93">
        <w:rPr>
          <w:szCs w:val="22"/>
        </w:rPr>
        <w:t>El indicador mide el monto promedio de depósitos captado en cada oficina. Para la construcción del indicador, se considera el total de depósitos</w:t>
      </w:r>
      <w:r w:rsidR="00532D85">
        <w:rPr>
          <w:szCs w:val="22"/>
        </w:rPr>
        <w:t xml:space="preserve">. </w:t>
      </w:r>
      <w:r w:rsidRPr="00393F93">
        <w:rPr>
          <w:szCs w:val="22"/>
        </w:rPr>
        <w:t>En cuanto a las oficinas, se considera la oficina principal, sucursales, agencias, oficinas especiales y locales compartidos, en el país y en el extranjero.</w:t>
      </w:r>
    </w:p>
    <w:p w:rsidR="00FC4725" w:rsidRPr="00393F93" w:rsidRDefault="00FC4725" w:rsidP="00393F93">
      <w:pPr>
        <w:tabs>
          <w:tab w:val="num" w:pos="709"/>
        </w:tabs>
        <w:ind w:left="709" w:hanging="425"/>
        <w:rPr>
          <w:b/>
          <w:szCs w:val="22"/>
        </w:rPr>
      </w:pPr>
    </w:p>
    <w:p w:rsidR="00FC4725" w:rsidRPr="00393F93" w:rsidRDefault="00FC4725" w:rsidP="00393F93">
      <w:pPr>
        <w:numPr>
          <w:ilvl w:val="0"/>
          <w:numId w:val="27"/>
        </w:numPr>
        <w:tabs>
          <w:tab w:val="clear" w:pos="1068"/>
          <w:tab w:val="num" w:pos="709"/>
        </w:tabs>
        <w:ind w:left="709" w:hanging="425"/>
        <w:rPr>
          <w:b/>
          <w:szCs w:val="22"/>
        </w:rPr>
      </w:pPr>
      <w:r w:rsidRPr="00393F93">
        <w:rPr>
          <w:b/>
          <w:szCs w:val="22"/>
        </w:rPr>
        <w:t>Gastos de Administración Anualizados / Activo Rentable Promedio (%):</w:t>
      </w:r>
      <w:r w:rsidRPr="00393F93">
        <w:rPr>
          <w:szCs w:val="22"/>
        </w:rPr>
        <w:t xml:space="preserve"> Este indicador mide el gasto </w:t>
      </w:r>
      <w:r w:rsidR="00532D85">
        <w:rPr>
          <w:szCs w:val="22"/>
        </w:rPr>
        <w:t>de</w:t>
      </w:r>
      <w:r w:rsidRPr="00393F93">
        <w:rPr>
          <w:szCs w:val="22"/>
        </w:rPr>
        <w:t xml:space="preserve"> los últimos 12 meses en personal, directorio, servicios recibidos de terceros, impuestos y contribuciones por cada nuevo sol de activo rentable promedio de los últimos doce meses.</w:t>
      </w:r>
    </w:p>
    <w:p w:rsidR="00FC4725" w:rsidRPr="00393F93" w:rsidRDefault="00FC4725" w:rsidP="00393F93">
      <w:pPr>
        <w:tabs>
          <w:tab w:val="num" w:pos="709"/>
        </w:tabs>
        <w:ind w:left="709" w:hanging="425"/>
        <w:rPr>
          <w:b/>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Gastos de Operación / Margen Financiero Total (%): </w:t>
      </w:r>
      <w:r w:rsidRPr="00393F93">
        <w:rPr>
          <w:szCs w:val="22"/>
        </w:rPr>
        <w:t xml:space="preserve">Este indicador mide el porcentaje de los ingresos netos que se destinan a gastos en personal, directorio, servicios recibidos de terceros, impuestos y contribuciones, depreciación y amortización. </w:t>
      </w:r>
      <w:r w:rsidR="0059568B">
        <w:rPr>
          <w:szCs w:val="22"/>
        </w:rPr>
        <w:t xml:space="preserve">Ambas variables se refieren al valor acumulado en el año. </w:t>
      </w:r>
      <w:r w:rsidRPr="00393F93">
        <w:rPr>
          <w:szCs w:val="22"/>
        </w:rPr>
        <w:t>El margen financiero total equivale al margen financiero bruto, más los ingresos por servicios financieros, menos los gastos por servicios financieros y más otros ingresos y gastos.</w:t>
      </w:r>
    </w:p>
    <w:p w:rsidR="00FC4725" w:rsidRDefault="00FC4725" w:rsidP="00393F93">
      <w:pPr>
        <w:pStyle w:val="Prrafodelista"/>
        <w:jc w:val="both"/>
        <w:rPr>
          <w:rFonts w:ascii="Arial Narrow" w:hAnsi="Arial Narrow"/>
          <w:szCs w:val="22"/>
        </w:rPr>
      </w:pPr>
    </w:p>
    <w:p w:rsidR="00EA2DE6" w:rsidRDefault="00EA2DE6" w:rsidP="00393F93">
      <w:pPr>
        <w:pStyle w:val="Prrafodelista"/>
        <w:jc w:val="both"/>
        <w:rPr>
          <w:rFonts w:ascii="Arial Narrow" w:hAnsi="Arial Narrow"/>
          <w:szCs w:val="22"/>
        </w:rPr>
      </w:pPr>
    </w:p>
    <w:p w:rsidR="00EA2DE6" w:rsidRPr="00393F93" w:rsidRDefault="00EA2DE6" w:rsidP="00393F93">
      <w:pPr>
        <w:pStyle w:val="Prrafodelista"/>
        <w:jc w:val="both"/>
        <w:rPr>
          <w:rFonts w:ascii="Arial Narrow" w:hAnsi="Arial Narrow"/>
          <w:szCs w:val="22"/>
        </w:rPr>
      </w:pPr>
    </w:p>
    <w:p w:rsidR="00FC4725" w:rsidRPr="00393F93" w:rsidRDefault="00FC4725" w:rsidP="00393F93">
      <w:pPr>
        <w:numPr>
          <w:ilvl w:val="2"/>
          <w:numId w:val="25"/>
        </w:numPr>
        <w:tabs>
          <w:tab w:val="clear" w:pos="1260"/>
          <w:tab w:val="num" w:pos="709"/>
          <w:tab w:val="left" w:pos="900"/>
        </w:tabs>
        <w:ind w:left="709" w:hanging="425"/>
        <w:rPr>
          <w:b/>
          <w:szCs w:val="22"/>
          <w:u w:val="single"/>
        </w:rPr>
      </w:pPr>
      <w:r w:rsidRPr="00393F93">
        <w:rPr>
          <w:b/>
          <w:szCs w:val="22"/>
          <w:u w:val="single"/>
        </w:rPr>
        <w:lastRenderedPageBreak/>
        <w:t>Liquidez</w:t>
      </w:r>
    </w:p>
    <w:p w:rsidR="00FC4725" w:rsidRPr="00393F93" w:rsidRDefault="00FC4725" w:rsidP="00393F93">
      <w:pPr>
        <w:tabs>
          <w:tab w:val="num" w:pos="709"/>
          <w:tab w:val="left" w:pos="900"/>
        </w:tabs>
        <w:ind w:left="709" w:hanging="425"/>
        <w:rPr>
          <w:b/>
          <w:szCs w:val="22"/>
          <w:u w:val="single"/>
        </w:rPr>
      </w:pPr>
    </w:p>
    <w:p w:rsidR="00FC4725" w:rsidRPr="00393F93" w:rsidRDefault="00FC4725" w:rsidP="00393F93">
      <w:pPr>
        <w:numPr>
          <w:ilvl w:val="0"/>
          <w:numId w:val="27"/>
        </w:numPr>
        <w:tabs>
          <w:tab w:val="clear" w:pos="1068"/>
          <w:tab w:val="num" w:pos="709"/>
        </w:tabs>
        <w:ind w:left="709" w:hanging="425"/>
        <w:rPr>
          <w:b/>
          <w:szCs w:val="22"/>
        </w:rPr>
      </w:pPr>
      <w:r w:rsidRPr="00393F93">
        <w:rPr>
          <w:b/>
          <w:szCs w:val="22"/>
        </w:rPr>
        <w:t xml:space="preserve">Ratio de Liquidez (MN o ME) (%): </w:t>
      </w:r>
      <w:r w:rsidRPr="00393F93">
        <w:rPr>
          <w:szCs w:val="22"/>
        </w:rPr>
        <w:t>Es el promedio mensual de los saldos diarios de los activos líquidos (MN o ME) dividido entre el promedio mensual de los saldos diarios de los pasivos de corto plazo (MN o ME). Las instituciones financieras deben mantener un ratio mínimo de 8% en MN y de 20% en ME. No aplicable a Edpymes.</w:t>
      </w:r>
    </w:p>
    <w:p w:rsidR="00FC4725" w:rsidRPr="00393F93" w:rsidRDefault="00FC4725" w:rsidP="00393F93">
      <w:pPr>
        <w:tabs>
          <w:tab w:val="num" w:pos="709"/>
        </w:tabs>
        <w:ind w:left="709" w:hanging="425"/>
        <w:rPr>
          <w:szCs w:val="22"/>
        </w:rPr>
      </w:pPr>
    </w:p>
    <w:p w:rsidR="00FC4725" w:rsidRPr="00EA2DE6" w:rsidRDefault="00FC4725" w:rsidP="009D4887">
      <w:pPr>
        <w:numPr>
          <w:ilvl w:val="0"/>
          <w:numId w:val="27"/>
        </w:numPr>
        <w:tabs>
          <w:tab w:val="clear" w:pos="1068"/>
          <w:tab w:val="num" w:pos="709"/>
        </w:tabs>
        <w:ind w:left="709" w:hanging="425"/>
        <w:rPr>
          <w:szCs w:val="22"/>
        </w:rPr>
      </w:pPr>
      <w:r w:rsidRPr="00393F93">
        <w:rPr>
          <w:b/>
          <w:szCs w:val="22"/>
        </w:rPr>
        <w:t xml:space="preserve">Caja y Bancos / Obligaciones a la Vista (MN o ME) (%): </w:t>
      </w:r>
      <w:r w:rsidRPr="00393F93">
        <w:rPr>
          <w:szCs w:val="22"/>
        </w:rPr>
        <w:t xml:space="preserve">Es la capacidad de la empresa para </w:t>
      </w:r>
      <w:r w:rsidRPr="00EA2DE6">
        <w:rPr>
          <w:szCs w:val="22"/>
        </w:rPr>
        <w:t xml:space="preserve">afrontar sus </w:t>
      </w:r>
      <w:r w:rsidR="009D4887" w:rsidRPr="00EA2DE6">
        <w:rPr>
          <w:szCs w:val="22"/>
        </w:rPr>
        <w:t>depósitos</w:t>
      </w:r>
      <w:r w:rsidRPr="00EA2DE6">
        <w:rPr>
          <w:szCs w:val="22"/>
        </w:rPr>
        <w:t xml:space="preserve"> a la vista (MN o ME) con el efectivo disponible (MN o ME).</w:t>
      </w:r>
    </w:p>
    <w:p w:rsidR="00FC4725" w:rsidRDefault="00FC4725" w:rsidP="00393F93">
      <w:pPr>
        <w:tabs>
          <w:tab w:val="num" w:pos="709"/>
        </w:tabs>
        <w:ind w:left="709" w:hanging="425"/>
        <w:rPr>
          <w:szCs w:val="22"/>
        </w:rPr>
      </w:pPr>
    </w:p>
    <w:p w:rsidR="00FC4725" w:rsidRPr="00393F93" w:rsidRDefault="00FC4725" w:rsidP="00393F93">
      <w:pPr>
        <w:numPr>
          <w:ilvl w:val="2"/>
          <w:numId w:val="25"/>
        </w:numPr>
        <w:tabs>
          <w:tab w:val="clear" w:pos="1260"/>
          <w:tab w:val="num" w:pos="709"/>
          <w:tab w:val="left" w:pos="900"/>
        </w:tabs>
        <w:ind w:left="709" w:hanging="425"/>
        <w:rPr>
          <w:b/>
          <w:szCs w:val="22"/>
          <w:u w:val="single"/>
        </w:rPr>
      </w:pPr>
      <w:r w:rsidRPr="00393F93">
        <w:rPr>
          <w:b/>
          <w:szCs w:val="22"/>
          <w:u w:val="single"/>
        </w:rPr>
        <w:t>Posición en moneda extranjera</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Posición Global en Moneda Extranjera </w:t>
      </w:r>
      <w:r w:rsidR="00532D85">
        <w:rPr>
          <w:b/>
          <w:szCs w:val="22"/>
        </w:rPr>
        <w:t xml:space="preserve">/ </w:t>
      </w:r>
      <w:r w:rsidRPr="00393F93">
        <w:rPr>
          <w:b/>
          <w:szCs w:val="22"/>
        </w:rPr>
        <w:t xml:space="preserve">Patrimonio Efectivo (%): </w:t>
      </w:r>
      <w:r w:rsidRPr="00393F93">
        <w:rPr>
          <w:szCs w:val="22"/>
        </w:rPr>
        <w:t xml:space="preserve">Este indicador refleja el porcentaje del patrimonio efectivo que se encuentra expuesto a riesgo cambiario total. </w:t>
      </w:r>
    </w:p>
    <w:p w:rsidR="00FC4725" w:rsidRPr="00393F93" w:rsidRDefault="00FC4725" w:rsidP="00393F93">
      <w:pPr>
        <w:tabs>
          <w:tab w:val="left" w:pos="900"/>
        </w:tabs>
        <w:ind w:left="709"/>
        <w:rPr>
          <w:b/>
          <w:szCs w:val="22"/>
          <w:u w:val="single"/>
        </w:rPr>
      </w:pPr>
    </w:p>
    <w:p w:rsidR="00FC4725" w:rsidRPr="00393F93" w:rsidRDefault="00FC4725" w:rsidP="00393F93">
      <w:pPr>
        <w:numPr>
          <w:ilvl w:val="2"/>
          <w:numId w:val="25"/>
        </w:numPr>
        <w:tabs>
          <w:tab w:val="clear" w:pos="1260"/>
          <w:tab w:val="num" w:pos="709"/>
          <w:tab w:val="left" w:pos="900"/>
        </w:tabs>
        <w:ind w:left="709" w:hanging="425"/>
        <w:rPr>
          <w:b/>
          <w:szCs w:val="22"/>
          <w:u w:val="single"/>
        </w:rPr>
      </w:pPr>
      <w:r w:rsidRPr="00393F93">
        <w:rPr>
          <w:b/>
          <w:szCs w:val="22"/>
          <w:u w:val="single"/>
        </w:rPr>
        <w:t>Rentabilidad</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Utilidad Neta Anualizada / Activo Total Promedio (ROAA) (%): </w:t>
      </w:r>
      <w:r w:rsidRPr="00393F93">
        <w:rPr>
          <w:szCs w:val="22"/>
        </w:rPr>
        <w:t>Este indicador mide la utilidad neta generada en los últimos 12 meses con relación al activo total promedio de los últimos 12 meses. Indica cuán bien la institución financiera ha utilizado sus activos para generar ganancias.</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 xml:space="preserve">Utilidad Neta Anualizada / Patrimonio Promedio (ROAE) (%): </w:t>
      </w:r>
      <w:r w:rsidRPr="00393F93">
        <w:rPr>
          <w:szCs w:val="22"/>
        </w:rPr>
        <w:t xml:space="preserve">Este indicador mide la </w:t>
      </w:r>
      <w:r w:rsidR="0059568B">
        <w:rPr>
          <w:szCs w:val="22"/>
        </w:rPr>
        <w:t>utilidad neta generada en los últimos 12 meses</w:t>
      </w:r>
      <w:r w:rsidRPr="00393F93">
        <w:rPr>
          <w:szCs w:val="22"/>
        </w:rPr>
        <w:t xml:space="preserve"> con relación al patrimonio contable promedio de los últimos 12 meses. Este indicador refleja la rentabilidad que los accionistas han obtenido por su patrimonio en el último año, variable que usualmente es tomada en cuenta para futuras decisiones de inversión, y que además muestra la capacidad que tendría la empresa para autofinanciar su crecimiento vía capitalización de utilidades.</w:t>
      </w:r>
    </w:p>
    <w:p w:rsidR="00FC4725" w:rsidRPr="00393F93" w:rsidRDefault="00FC4725" w:rsidP="00393F93">
      <w:pPr>
        <w:tabs>
          <w:tab w:val="num" w:pos="709"/>
        </w:tabs>
        <w:ind w:left="709" w:hanging="425"/>
        <w:rPr>
          <w:szCs w:val="22"/>
        </w:rPr>
      </w:pPr>
    </w:p>
    <w:p w:rsidR="005815C7" w:rsidRPr="009D4887" w:rsidRDefault="00FC4725" w:rsidP="009D4887">
      <w:pPr>
        <w:numPr>
          <w:ilvl w:val="0"/>
          <w:numId w:val="27"/>
        </w:numPr>
        <w:tabs>
          <w:tab w:val="clear" w:pos="1068"/>
          <w:tab w:val="num" w:pos="709"/>
        </w:tabs>
        <w:ind w:left="709" w:hanging="425"/>
        <w:rPr>
          <w:szCs w:val="22"/>
        </w:rPr>
      </w:pPr>
      <w:r w:rsidRPr="009D4887">
        <w:rPr>
          <w:b/>
          <w:szCs w:val="22"/>
        </w:rPr>
        <w:t xml:space="preserve">Ingresos Financieros / Ingresos Totales (%): </w:t>
      </w:r>
      <w:r w:rsidRPr="009D4887">
        <w:rPr>
          <w:szCs w:val="22"/>
        </w:rPr>
        <w:t>Este indicador refleja la  importancia relativa de la intermediación financiera en la generación de ingresos de la entidad. Ambas variables se refieren al valor acumulado en el año.</w:t>
      </w:r>
      <w:r w:rsidR="005815C7" w:rsidRPr="009D4887">
        <w:rPr>
          <w:szCs w:val="22"/>
        </w:rPr>
        <w:t xml:space="preserve"> Los ingresos totales equivalen a los ingresos financieros, los ingresos por servicios financieros</w:t>
      </w:r>
      <w:r w:rsidR="00475310">
        <w:rPr>
          <w:szCs w:val="22"/>
        </w:rPr>
        <w:t xml:space="preserve"> y la diferencia positiva entre los ingresos y gastos por recuperación de créditos, </w:t>
      </w:r>
      <w:r w:rsidR="005815C7" w:rsidRPr="009D4887">
        <w:rPr>
          <w:szCs w:val="22"/>
        </w:rPr>
        <w:t xml:space="preserve">extraordinarios y de ejercicios anteriores. </w:t>
      </w:r>
    </w:p>
    <w:p w:rsidR="00FC4725" w:rsidRPr="00393F93" w:rsidRDefault="00FC4725" w:rsidP="00393F93">
      <w:pPr>
        <w:numPr>
          <w:ilvl w:val="0"/>
          <w:numId w:val="27"/>
        </w:numPr>
        <w:tabs>
          <w:tab w:val="clear" w:pos="1068"/>
          <w:tab w:val="num" w:pos="709"/>
        </w:tabs>
        <w:ind w:left="709" w:hanging="425"/>
        <w:rPr>
          <w:b/>
          <w:szCs w:val="22"/>
        </w:rPr>
      </w:pPr>
      <w:r w:rsidRPr="00393F93">
        <w:rPr>
          <w:b/>
          <w:szCs w:val="22"/>
        </w:rPr>
        <w:t xml:space="preserve">Ingresos Financieros Anualizados / Activo Rentable Promedio (%): </w:t>
      </w:r>
      <w:r w:rsidRPr="00393F93">
        <w:rPr>
          <w:szCs w:val="22"/>
        </w:rPr>
        <w:t xml:space="preserve">Este indicador mide el rendimiento implícito que recibe la empresa por el total de activo rentable promedio de los últimos 12 meses. </w:t>
      </w:r>
    </w:p>
    <w:p w:rsidR="00FC4725" w:rsidRPr="00475310" w:rsidRDefault="00FC4725" w:rsidP="00393F93">
      <w:pPr>
        <w:pStyle w:val="Prrafodelista"/>
        <w:jc w:val="both"/>
        <w:rPr>
          <w:rFonts w:ascii="Arial Narrow" w:hAnsi="Arial Narrow"/>
          <w:b/>
          <w:szCs w:val="22"/>
          <w:lang w:val="es-ES_tradnl"/>
        </w:rPr>
      </w:pPr>
    </w:p>
    <w:p w:rsidR="00FC4725" w:rsidRPr="00393F93" w:rsidRDefault="00FC4725" w:rsidP="00393F93">
      <w:pPr>
        <w:numPr>
          <w:ilvl w:val="2"/>
          <w:numId w:val="25"/>
        </w:numPr>
        <w:tabs>
          <w:tab w:val="clear" w:pos="1260"/>
          <w:tab w:val="num" w:pos="709"/>
          <w:tab w:val="left" w:pos="900"/>
        </w:tabs>
        <w:ind w:left="709" w:hanging="425"/>
        <w:rPr>
          <w:b/>
          <w:szCs w:val="22"/>
          <w:u w:val="single"/>
        </w:rPr>
      </w:pPr>
      <w:r w:rsidRPr="00393F93">
        <w:rPr>
          <w:b/>
          <w:szCs w:val="22"/>
          <w:u w:val="single"/>
        </w:rPr>
        <w:t>Solvencia</w:t>
      </w:r>
    </w:p>
    <w:p w:rsidR="00FC4725" w:rsidRPr="00393F93" w:rsidRDefault="00FC4725" w:rsidP="00393F93">
      <w:pPr>
        <w:tabs>
          <w:tab w:val="num" w:pos="709"/>
        </w:tabs>
        <w:ind w:left="709" w:hanging="425"/>
        <w:rPr>
          <w:szCs w:val="22"/>
        </w:rPr>
      </w:pPr>
    </w:p>
    <w:p w:rsidR="00FC4725" w:rsidRPr="00393F93" w:rsidRDefault="00FC4725" w:rsidP="00393F93">
      <w:pPr>
        <w:numPr>
          <w:ilvl w:val="0"/>
          <w:numId w:val="27"/>
        </w:numPr>
        <w:tabs>
          <w:tab w:val="clear" w:pos="1068"/>
          <w:tab w:val="num" w:pos="709"/>
        </w:tabs>
        <w:ind w:left="709" w:hanging="425"/>
        <w:rPr>
          <w:szCs w:val="22"/>
        </w:rPr>
      </w:pPr>
      <w:r w:rsidRPr="00393F93">
        <w:rPr>
          <w:b/>
          <w:szCs w:val="22"/>
        </w:rPr>
        <w:t>Ratio de Capital Global (%).</w:t>
      </w:r>
      <w:r w:rsidRPr="00393F93">
        <w:rPr>
          <w:szCs w:val="22"/>
        </w:rPr>
        <w:t xml:space="preserve"> Este indicador considera el patrimonio efectivo como porcentaje de los activos y contingentes ponderados por riesgo totales (riesgo de crédito, riesgo de mercado y riesgo operacional).</w:t>
      </w:r>
    </w:p>
    <w:p w:rsidR="00FC4725" w:rsidRPr="00393F93" w:rsidRDefault="00FC4725" w:rsidP="00393F93">
      <w:pPr>
        <w:tabs>
          <w:tab w:val="num" w:pos="709"/>
        </w:tabs>
        <w:ind w:left="709"/>
        <w:rPr>
          <w:szCs w:val="22"/>
        </w:rPr>
      </w:pPr>
      <w:r w:rsidRPr="00393F93">
        <w:rPr>
          <w:szCs w:val="22"/>
        </w:rPr>
        <w:t xml:space="preserve"> </w:t>
      </w:r>
    </w:p>
    <w:p w:rsidR="008D6372" w:rsidRPr="00EA2DE6" w:rsidRDefault="00FC4725" w:rsidP="00393F93">
      <w:pPr>
        <w:numPr>
          <w:ilvl w:val="0"/>
          <w:numId w:val="27"/>
        </w:numPr>
        <w:tabs>
          <w:tab w:val="clear" w:pos="1068"/>
          <w:tab w:val="num" w:pos="709"/>
        </w:tabs>
        <w:ind w:left="709" w:hanging="425"/>
        <w:rPr>
          <w:szCs w:val="22"/>
        </w:rPr>
      </w:pPr>
      <w:r w:rsidRPr="00393F93">
        <w:rPr>
          <w:b/>
          <w:szCs w:val="22"/>
        </w:rPr>
        <w:t xml:space="preserve">Pasivo total / Capital Social + Reservas (N° veces): </w:t>
      </w:r>
      <w:r w:rsidRPr="00393F93">
        <w:rPr>
          <w:szCs w:val="22"/>
        </w:rPr>
        <w:t>Este ratio mide el nivel de apalancamiento financiero de la empresa.</w:t>
      </w:r>
      <w:bookmarkStart w:id="0" w:name="_Número_de_tarjetas"/>
      <w:bookmarkStart w:id="1" w:name="_Estructura_de_los"/>
      <w:bookmarkStart w:id="2" w:name="_Estructura_de_los_Depósitos_por_Zon"/>
      <w:bookmarkEnd w:id="0"/>
      <w:bookmarkEnd w:id="1"/>
      <w:bookmarkEnd w:id="2"/>
    </w:p>
    <w:sectPr w:rsidR="008D6372" w:rsidRPr="00EA2DE6" w:rsidSect="000F5900">
      <w:headerReference w:type="default" r:id="rId8"/>
      <w:footerReference w:type="even" r:id="rId9"/>
      <w:footerReference w:type="default" r:id="rId10"/>
      <w:type w:val="continuous"/>
      <w:pgSz w:w="11907" w:h="16840" w:code="9"/>
      <w:pgMar w:top="2835" w:right="1701" w:bottom="709" w:left="1701" w:header="964"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17" w:rsidRDefault="00470E17">
      <w:r>
        <w:separator/>
      </w:r>
    </w:p>
  </w:endnote>
  <w:endnote w:type="continuationSeparator" w:id="0">
    <w:p w:rsidR="00470E17" w:rsidRDefault="00470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valon">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0E" w:rsidRDefault="005B5832" w:rsidP="00775EC9">
    <w:pPr>
      <w:pStyle w:val="Piedepgina"/>
      <w:framePr w:wrap="around" w:vAnchor="text" w:hAnchor="margin" w:xAlign="right" w:y="1"/>
      <w:rPr>
        <w:rStyle w:val="Nmerodepgina"/>
      </w:rPr>
    </w:pPr>
    <w:r>
      <w:rPr>
        <w:rStyle w:val="Nmerodepgina"/>
      </w:rPr>
      <w:fldChar w:fldCharType="begin"/>
    </w:r>
    <w:r w:rsidR="00296D0E">
      <w:rPr>
        <w:rStyle w:val="Nmerodepgina"/>
      </w:rPr>
      <w:instrText xml:space="preserve">PAGE  </w:instrText>
    </w:r>
    <w:r>
      <w:rPr>
        <w:rStyle w:val="Nmerodepgina"/>
      </w:rPr>
      <w:fldChar w:fldCharType="end"/>
    </w:r>
  </w:p>
  <w:p w:rsidR="00296D0E" w:rsidRDefault="00296D0E" w:rsidP="002D75D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0E" w:rsidRDefault="00296D0E" w:rsidP="00BA2842">
    <w:pPr>
      <w:pStyle w:val="Piedepgina"/>
      <w:ind w:right="360"/>
      <w:jc w:val="center"/>
      <w:rPr>
        <w:b/>
        <w:i/>
        <w:sz w:val="16"/>
      </w:rPr>
    </w:pPr>
  </w:p>
  <w:p w:rsidR="00296D0E" w:rsidRPr="002D75D1" w:rsidRDefault="005B5832" w:rsidP="002D75D1">
    <w:pPr>
      <w:pStyle w:val="Piedepgina"/>
      <w:framePr w:wrap="around" w:vAnchor="text" w:hAnchor="page" w:x="10126" w:y="123"/>
      <w:rPr>
        <w:rStyle w:val="Nmerodepgina"/>
        <w:sz w:val="20"/>
      </w:rPr>
    </w:pPr>
    <w:r w:rsidRPr="002D75D1">
      <w:rPr>
        <w:rStyle w:val="Nmerodepgina"/>
        <w:sz w:val="20"/>
      </w:rPr>
      <w:fldChar w:fldCharType="begin"/>
    </w:r>
    <w:r w:rsidR="00296D0E" w:rsidRPr="002D75D1">
      <w:rPr>
        <w:rStyle w:val="Nmerodepgina"/>
        <w:sz w:val="20"/>
      </w:rPr>
      <w:instrText xml:space="preserve">PAGE  </w:instrText>
    </w:r>
    <w:r w:rsidRPr="002D75D1">
      <w:rPr>
        <w:rStyle w:val="Nmerodepgina"/>
        <w:sz w:val="20"/>
      </w:rPr>
      <w:fldChar w:fldCharType="separate"/>
    </w:r>
    <w:r w:rsidR="00EA2DE6">
      <w:rPr>
        <w:rStyle w:val="Nmerodepgina"/>
        <w:noProof/>
        <w:sz w:val="20"/>
      </w:rPr>
      <w:t>12</w:t>
    </w:r>
    <w:r w:rsidRPr="002D75D1">
      <w:rPr>
        <w:rStyle w:val="Nmerodepgina"/>
        <w:sz w:val="20"/>
      </w:rPr>
      <w:fldChar w:fldCharType="end"/>
    </w:r>
  </w:p>
  <w:p w:rsidR="00296D0E" w:rsidRDefault="00296D0E" w:rsidP="00BA2842">
    <w:pPr>
      <w:pStyle w:val="Piedepgina"/>
      <w:ind w:right="360"/>
      <w:jc w:val="center"/>
      <w:rPr>
        <w:b/>
        <w:i/>
        <w:sz w:val="16"/>
      </w:rPr>
    </w:pPr>
  </w:p>
  <w:p w:rsidR="00296D0E" w:rsidRDefault="00296D0E" w:rsidP="00BA2842">
    <w:pPr>
      <w:pStyle w:val="Piedepgina"/>
      <w:ind w:right="360"/>
      <w:jc w:val="center"/>
      <w:rPr>
        <w:sz w:val="16"/>
      </w:rPr>
    </w:pPr>
    <w:r>
      <w:rPr>
        <w:b/>
        <w:i/>
        <w:sz w:val="16"/>
      </w:rPr>
      <w:t>Los Laureles Nº 214 - Lima 27 - Perú  Telf.:(511)2218990 Fax: (511)4417760</w:t>
    </w:r>
  </w:p>
  <w:p w:rsidR="00296D0E" w:rsidRDefault="00296D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17" w:rsidRDefault="00470E17">
      <w:r>
        <w:separator/>
      </w:r>
    </w:p>
  </w:footnote>
  <w:footnote w:type="continuationSeparator" w:id="0">
    <w:p w:rsidR="00470E17" w:rsidRDefault="00470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0E" w:rsidRDefault="00DF48B9" w:rsidP="00BA2842">
    <w:pPr>
      <w:pStyle w:val="Encabezado"/>
    </w:pPr>
    <w:r>
      <w:rPr>
        <w:noProof/>
        <w:lang w:val="es-ES"/>
      </w:rPr>
      <w:drawing>
        <wp:inline distT="0" distB="0" distL="0" distR="0">
          <wp:extent cx="2127250" cy="1295400"/>
          <wp:effectExtent l="19050" t="0" r="635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referRelativeResize="0">
                    <a:picLocks noChangeArrowheads="1"/>
                  </pic:cNvPicPr>
                </pic:nvPicPr>
                <pic:blipFill>
                  <a:blip r:embed="rId1"/>
                  <a:srcRect l="10757" t="8441" r="11156" b="11040"/>
                  <a:stretch>
                    <a:fillRect/>
                  </a:stretch>
                </pic:blipFill>
                <pic:spPr bwMode="auto">
                  <a:xfrm>
                    <a:off x="0" y="0"/>
                    <a:ext cx="2127250" cy="1295400"/>
                  </a:xfrm>
                  <a:prstGeom prst="rect">
                    <a:avLst/>
                  </a:prstGeom>
                  <a:noFill/>
                  <a:ln w="9525">
                    <a:noFill/>
                    <a:miter lim="800000"/>
                    <a:headEnd/>
                    <a:tailEnd/>
                  </a:ln>
                </pic:spPr>
              </pic:pic>
            </a:graphicData>
          </a:graphic>
        </wp:inline>
      </w:drawing>
    </w:r>
  </w:p>
  <w:p w:rsidR="00082A22" w:rsidRPr="00BA2842" w:rsidRDefault="00082A22" w:rsidP="00BA28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F14"/>
    <w:multiLevelType w:val="hybridMultilevel"/>
    <w:tmpl w:val="58F4243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059853B9"/>
    <w:multiLevelType w:val="hybridMultilevel"/>
    <w:tmpl w:val="440AB96A"/>
    <w:lvl w:ilvl="0" w:tplc="ED8A4E4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C636526"/>
    <w:multiLevelType w:val="hybridMultilevel"/>
    <w:tmpl w:val="27A2C556"/>
    <w:lvl w:ilvl="0" w:tplc="EF82DD30">
      <w:start w:val="2"/>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0D6989"/>
    <w:multiLevelType w:val="hybridMultilevel"/>
    <w:tmpl w:val="CB8EA362"/>
    <w:lvl w:ilvl="0" w:tplc="A0AEAEE0">
      <w:start w:val="1"/>
      <w:numFmt w:val="decimal"/>
      <w:lvlText w:val="%1."/>
      <w:lvlJc w:val="left"/>
      <w:pPr>
        <w:tabs>
          <w:tab w:val="num" w:pos="1068"/>
        </w:tabs>
        <w:ind w:left="1068" w:hanging="360"/>
      </w:pPr>
      <w:rPr>
        <w:rFonts w:ascii="Arial Narrow" w:hAnsi="Arial Narrow" w:hint="default"/>
        <w:b/>
        <w:i w:val="0"/>
        <w:sz w:val="22"/>
        <w:szCs w:val="22"/>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4">
    <w:nsid w:val="15C72BB5"/>
    <w:multiLevelType w:val="hybridMultilevel"/>
    <w:tmpl w:val="F124AA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63C23F4"/>
    <w:multiLevelType w:val="hybridMultilevel"/>
    <w:tmpl w:val="238896D8"/>
    <w:lvl w:ilvl="0" w:tplc="C550257A">
      <w:start w:val="3"/>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95B6378"/>
    <w:multiLevelType w:val="hybridMultilevel"/>
    <w:tmpl w:val="2A2675FE"/>
    <w:lvl w:ilvl="0" w:tplc="C7E42642">
      <w:start w:val="2"/>
      <w:numFmt w:val="bullet"/>
      <w:lvlText w:val="-"/>
      <w:lvlJc w:val="left"/>
      <w:pPr>
        <w:ind w:left="786" w:hanging="360"/>
      </w:pPr>
      <w:rPr>
        <w:rFonts w:ascii="Arial Narrow" w:eastAsia="Times New Roman" w:hAnsi="Arial Narrow" w:cs="Times New Roman"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nsid w:val="19B033C5"/>
    <w:multiLevelType w:val="hybridMultilevel"/>
    <w:tmpl w:val="9F46C8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A9635B4"/>
    <w:multiLevelType w:val="hybridMultilevel"/>
    <w:tmpl w:val="BBCAE940"/>
    <w:lvl w:ilvl="0" w:tplc="54B4FEFC">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5A25944"/>
    <w:multiLevelType w:val="multilevel"/>
    <w:tmpl w:val="E3BE962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9A520B"/>
    <w:multiLevelType w:val="hybridMultilevel"/>
    <w:tmpl w:val="4F4CA608"/>
    <w:lvl w:ilvl="0" w:tplc="0C0A0013">
      <w:start w:val="1"/>
      <w:numFmt w:val="upperRoman"/>
      <w:lvlText w:val="%1."/>
      <w:lvlJc w:val="righ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
    <w:nsid w:val="3BF14620"/>
    <w:multiLevelType w:val="hybridMultilevel"/>
    <w:tmpl w:val="CC461F08"/>
    <w:lvl w:ilvl="0" w:tplc="DA102234">
      <w:start w:val="1"/>
      <w:numFmt w:val="decimal"/>
      <w:lvlText w:val="%1."/>
      <w:lvlJc w:val="left"/>
      <w:pPr>
        <w:tabs>
          <w:tab w:val="num" w:pos="480"/>
        </w:tabs>
        <w:ind w:left="480" w:hanging="48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DA40602"/>
    <w:multiLevelType w:val="hybridMultilevel"/>
    <w:tmpl w:val="CE38B53E"/>
    <w:lvl w:ilvl="0" w:tplc="0C0A000F">
      <w:start w:val="1"/>
      <w:numFmt w:val="decimal"/>
      <w:lvlText w:val="%1."/>
      <w:lvlJc w:val="left"/>
      <w:pPr>
        <w:tabs>
          <w:tab w:val="num" w:pos="360"/>
        </w:tabs>
        <w:ind w:left="360" w:hanging="360"/>
      </w:pPr>
      <w:rPr>
        <w:rFonts w:hint="default"/>
      </w:rPr>
    </w:lvl>
    <w:lvl w:ilvl="1" w:tplc="0C0A0005">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ED06FD8"/>
    <w:multiLevelType w:val="multilevel"/>
    <w:tmpl w:val="CE38B53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0774824"/>
    <w:multiLevelType w:val="hybridMultilevel"/>
    <w:tmpl w:val="C83055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8F103BA"/>
    <w:multiLevelType w:val="hybridMultilevel"/>
    <w:tmpl w:val="73DC2668"/>
    <w:lvl w:ilvl="0" w:tplc="DF28AEF8">
      <w:start w:val="1"/>
      <w:numFmt w:val="decimal"/>
      <w:lvlText w:val="%1."/>
      <w:lvlJc w:val="left"/>
      <w:pPr>
        <w:tabs>
          <w:tab w:val="num" w:pos="1070"/>
        </w:tabs>
        <w:ind w:left="1070" w:hanging="360"/>
      </w:pPr>
      <w:rPr>
        <w:rFonts w:ascii="Arial Narrow" w:hAnsi="Arial Narrow" w:hint="default"/>
        <w:b/>
        <w:i w:val="0"/>
        <w:sz w:val="22"/>
        <w:szCs w:val="22"/>
      </w:rPr>
    </w:lvl>
    <w:lvl w:ilvl="1" w:tplc="0C0A000F">
      <w:start w:val="1"/>
      <w:numFmt w:val="decimal"/>
      <w:lvlText w:val="%2."/>
      <w:lvlJc w:val="left"/>
      <w:pPr>
        <w:tabs>
          <w:tab w:val="num" w:pos="2148"/>
        </w:tabs>
        <w:ind w:left="2148" w:hanging="360"/>
      </w:pPr>
      <w:rPr>
        <w:rFonts w:hint="default"/>
        <w:b/>
        <w:i w:val="0"/>
        <w:sz w:val="22"/>
        <w:szCs w:val="22"/>
      </w:r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6">
    <w:nsid w:val="4A8D3B43"/>
    <w:multiLevelType w:val="hybridMultilevel"/>
    <w:tmpl w:val="51A49266"/>
    <w:lvl w:ilvl="0" w:tplc="F1BA19A6">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288726D"/>
    <w:multiLevelType w:val="hybridMultilevel"/>
    <w:tmpl w:val="6B24BCB0"/>
    <w:lvl w:ilvl="0" w:tplc="F200AEC6">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3F240AD"/>
    <w:multiLevelType w:val="hybridMultilevel"/>
    <w:tmpl w:val="9BDA7210"/>
    <w:lvl w:ilvl="0" w:tplc="BC164F32">
      <w:start w:val="1"/>
      <w:numFmt w:val="upperRoman"/>
      <w:lvlText w:val="%1."/>
      <w:lvlJc w:val="left"/>
      <w:pPr>
        <w:ind w:left="1146" w:hanging="72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nsid w:val="572D1F4F"/>
    <w:multiLevelType w:val="hybridMultilevel"/>
    <w:tmpl w:val="956A8B6A"/>
    <w:lvl w:ilvl="0" w:tplc="0C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0">
    <w:nsid w:val="61070EC7"/>
    <w:multiLevelType w:val="singleLevel"/>
    <w:tmpl w:val="397A71DA"/>
    <w:lvl w:ilvl="0">
      <w:start w:val="1"/>
      <w:numFmt w:val="decimal"/>
      <w:pStyle w:val="normal-avalon-cursiva"/>
      <w:lvlText w:val="%1."/>
      <w:lvlJc w:val="left"/>
      <w:pPr>
        <w:tabs>
          <w:tab w:val="num" w:pos="360"/>
        </w:tabs>
        <w:ind w:left="360" w:hanging="360"/>
      </w:pPr>
      <w:rPr>
        <w:rFonts w:ascii="Arial Narrow" w:hAnsi="Arial Narrow" w:hint="default"/>
        <w:b/>
        <w:i/>
        <w:sz w:val="20"/>
      </w:rPr>
    </w:lvl>
  </w:abstractNum>
  <w:abstractNum w:abstractNumId="21">
    <w:nsid w:val="619B3668"/>
    <w:multiLevelType w:val="hybridMultilevel"/>
    <w:tmpl w:val="2A4AE802"/>
    <w:lvl w:ilvl="0" w:tplc="08D88F9A">
      <w:start w:val="1"/>
      <w:numFmt w:val="decimal"/>
      <w:lvlText w:val="%1."/>
      <w:lvlJc w:val="left"/>
      <w:pPr>
        <w:tabs>
          <w:tab w:val="num" w:pos="900"/>
        </w:tabs>
        <w:ind w:left="900" w:hanging="360"/>
      </w:pPr>
      <w:rPr>
        <w:rFonts w:hint="default"/>
        <w:u w:val="none"/>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rPr>
        <w:rFonts w:hint="default"/>
        <w:u w:val="none"/>
      </w:rPr>
    </w:lvl>
    <w:lvl w:ilvl="4" w:tplc="C20E0ABA">
      <w:numFmt w:val="bullet"/>
      <w:lvlText w:val=""/>
      <w:lvlJc w:val="left"/>
      <w:pPr>
        <w:tabs>
          <w:tab w:val="num" w:pos="3780"/>
        </w:tabs>
        <w:ind w:left="3780" w:hanging="360"/>
      </w:pPr>
      <w:rPr>
        <w:rFonts w:ascii="Symbol" w:eastAsia="Times New Roman" w:hAnsi="Symbol" w:cs="Times New Roman" w:hint="default"/>
      </w:r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nsid w:val="63713502"/>
    <w:multiLevelType w:val="hybridMultilevel"/>
    <w:tmpl w:val="A14A362E"/>
    <w:lvl w:ilvl="0" w:tplc="FD7C27E6">
      <w:start w:val="1"/>
      <w:numFmt w:val="upperRoman"/>
      <w:pStyle w:val="Ttulo8"/>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656177C9"/>
    <w:multiLevelType w:val="hybridMultilevel"/>
    <w:tmpl w:val="A41A108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61A4E38"/>
    <w:multiLevelType w:val="hybridMultilevel"/>
    <w:tmpl w:val="E8A20CAE"/>
    <w:lvl w:ilvl="0" w:tplc="0C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5">
    <w:nsid w:val="6CF41C28"/>
    <w:multiLevelType w:val="hybridMultilevel"/>
    <w:tmpl w:val="FD6E2DA2"/>
    <w:lvl w:ilvl="0" w:tplc="C1D8FA54">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1657AA1"/>
    <w:multiLevelType w:val="hybridMultilevel"/>
    <w:tmpl w:val="1868958C"/>
    <w:lvl w:ilvl="0" w:tplc="262CB7F0">
      <w:start w:val="1"/>
      <w:numFmt w:val="upperRoman"/>
      <w:lvlText w:val="%1"/>
      <w:lvlJc w:val="left"/>
      <w:pPr>
        <w:tabs>
          <w:tab w:val="num" w:pos="360"/>
        </w:tabs>
        <w:ind w:left="360" w:hanging="360"/>
      </w:pPr>
      <w:rPr>
        <w:rFonts w:hint="default"/>
      </w:rPr>
    </w:lvl>
    <w:lvl w:ilvl="1" w:tplc="48624690">
      <w:start w:val="1"/>
      <w:numFmt w:val="upperLetter"/>
      <w:lvlText w:val="%2"/>
      <w:lvlJc w:val="left"/>
      <w:pPr>
        <w:tabs>
          <w:tab w:val="num" w:pos="360"/>
        </w:tabs>
        <w:ind w:left="360" w:hanging="360"/>
      </w:pPr>
      <w:rPr>
        <w:rFonts w:hint="default"/>
      </w:rPr>
    </w:lvl>
    <w:lvl w:ilvl="2" w:tplc="48624690">
      <w:start w:val="1"/>
      <w:numFmt w:val="upperLetter"/>
      <w:lvlText w:val="%3"/>
      <w:lvlJc w:val="left"/>
      <w:pPr>
        <w:tabs>
          <w:tab w:val="num" w:pos="1260"/>
        </w:tabs>
        <w:ind w:left="1260" w:hanging="360"/>
      </w:pPr>
      <w:rPr>
        <w:rFonts w:hint="default"/>
      </w:rPr>
    </w:lvl>
    <w:lvl w:ilvl="3" w:tplc="0156A69C">
      <w:start w:val="1"/>
      <w:numFmt w:val="decimal"/>
      <w:lvlText w:val="%4."/>
      <w:lvlJc w:val="left"/>
      <w:pPr>
        <w:tabs>
          <w:tab w:val="num" w:pos="1800"/>
        </w:tabs>
        <w:ind w:left="1800" w:hanging="360"/>
      </w:pPr>
      <w:rPr>
        <w:rFonts w:hint="default"/>
      </w:r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7">
    <w:nsid w:val="716A2F0A"/>
    <w:multiLevelType w:val="hybridMultilevel"/>
    <w:tmpl w:val="C0B0909E"/>
    <w:lvl w:ilvl="0" w:tplc="0C0A0001">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60732BD"/>
    <w:multiLevelType w:val="hybridMultilevel"/>
    <w:tmpl w:val="A54257B8"/>
    <w:lvl w:ilvl="0" w:tplc="D0DE4D8E">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9"/>
  </w:num>
  <w:num w:numId="4">
    <w:abstractNumId w:val="2"/>
  </w:num>
  <w:num w:numId="5">
    <w:abstractNumId w:val="5"/>
  </w:num>
  <w:num w:numId="6">
    <w:abstractNumId w:val="11"/>
  </w:num>
  <w:num w:numId="7">
    <w:abstractNumId w:val="14"/>
  </w:num>
  <w:num w:numId="8">
    <w:abstractNumId w:val="16"/>
  </w:num>
  <w:num w:numId="9">
    <w:abstractNumId w:val="0"/>
  </w:num>
  <w:num w:numId="10">
    <w:abstractNumId w:val="13"/>
  </w:num>
  <w:num w:numId="11">
    <w:abstractNumId w:val="27"/>
  </w:num>
  <w:num w:numId="12">
    <w:abstractNumId w:val="4"/>
  </w:num>
  <w:num w:numId="13">
    <w:abstractNumId w:val="25"/>
  </w:num>
  <w:num w:numId="14">
    <w:abstractNumId w:val="8"/>
  </w:num>
  <w:num w:numId="15">
    <w:abstractNumId w:val="23"/>
  </w:num>
  <w:num w:numId="16">
    <w:abstractNumId w:val="1"/>
  </w:num>
  <w:num w:numId="17">
    <w:abstractNumId w:val="18"/>
  </w:num>
  <w:num w:numId="18">
    <w:abstractNumId w:val="6"/>
  </w:num>
  <w:num w:numId="19">
    <w:abstractNumId w:val="24"/>
  </w:num>
  <w:num w:numId="20">
    <w:abstractNumId w:val="19"/>
  </w:num>
  <w:num w:numId="21">
    <w:abstractNumId w:val="17"/>
  </w:num>
  <w:num w:numId="22">
    <w:abstractNumId w:val="28"/>
  </w:num>
  <w:num w:numId="23">
    <w:abstractNumId w:val="7"/>
  </w:num>
  <w:num w:numId="24">
    <w:abstractNumId w:val="21"/>
  </w:num>
  <w:num w:numId="25">
    <w:abstractNumId w:val="26"/>
  </w:num>
  <w:num w:numId="26">
    <w:abstractNumId w:val="15"/>
  </w:num>
  <w:num w:numId="27">
    <w:abstractNumId w:val="3"/>
  </w:num>
  <w:num w:numId="28">
    <w:abstractNumId w:val="2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236F"/>
    <w:rsid w:val="0000085F"/>
    <w:rsid w:val="00000A95"/>
    <w:rsid w:val="00001560"/>
    <w:rsid w:val="00002F6C"/>
    <w:rsid w:val="0000380C"/>
    <w:rsid w:val="00003C4C"/>
    <w:rsid w:val="00003DD0"/>
    <w:rsid w:val="00005261"/>
    <w:rsid w:val="00006DC3"/>
    <w:rsid w:val="0000732D"/>
    <w:rsid w:val="000075FF"/>
    <w:rsid w:val="0001071C"/>
    <w:rsid w:val="00011107"/>
    <w:rsid w:val="00011AEA"/>
    <w:rsid w:val="00011F3C"/>
    <w:rsid w:val="00012EB8"/>
    <w:rsid w:val="000168D9"/>
    <w:rsid w:val="000174FE"/>
    <w:rsid w:val="00017A2D"/>
    <w:rsid w:val="00017FB7"/>
    <w:rsid w:val="00020742"/>
    <w:rsid w:val="00024F9C"/>
    <w:rsid w:val="00025FC1"/>
    <w:rsid w:val="000262FF"/>
    <w:rsid w:val="00027DE4"/>
    <w:rsid w:val="000301B7"/>
    <w:rsid w:val="00032B48"/>
    <w:rsid w:val="00032C9A"/>
    <w:rsid w:val="00033287"/>
    <w:rsid w:val="0003385D"/>
    <w:rsid w:val="000342B2"/>
    <w:rsid w:val="0003490E"/>
    <w:rsid w:val="00034CA6"/>
    <w:rsid w:val="00036F58"/>
    <w:rsid w:val="00037B90"/>
    <w:rsid w:val="00041E0E"/>
    <w:rsid w:val="00041F02"/>
    <w:rsid w:val="00043399"/>
    <w:rsid w:val="0004453D"/>
    <w:rsid w:val="00044B90"/>
    <w:rsid w:val="00044F05"/>
    <w:rsid w:val="00045FB7"/>
    <w:rsid w:val="000478D0"/>
    <w:rsid w:val="00047F0D"/>
    <w:rsid w:val="000515A3"/>
    <w:rsid w:val="000518E5"/>
    <w:rsid w:val="00052841"/>
    <w:rsid w:val="00053332"/>
    <w:rsid w:val="00053474"/>
    <w:rsid w:val="0005455A"/>
    <w:rsid w:val="0005615B"/>
    <w:rsid w:val="00056388"/>
    <w:rsid w:val="000573AF"/>
    <w:rsid w:val="00060304"/>
    <w:rsid w:val="0006259D"/>
    <w:rsid w:val="00062F25"/>
    <w:rsid w:val="000650CE"/>
    <w:rsid w:val="000652CA"/>
    <w:rsid w:val="00065E44"/>
    <w:rsid w:val="000662F5"/>
    <w:rsid w:val="00066FAC"/>
    <w:rsid w:val="00067017"/>
    <w:rsid w:val="0006773E"/>
    <w:rsid w:val="000679D4"/>
    <w:rsid w:val="0007133C"/>
    <w:rsid w:val="00071C65"/>
    <w:rsid w:val="0007376C"/>
    <w:rsid w:val="0008086E"/>
    <w:rsid w:val="00082A22"/>
    <w:rsid w:val="00083936"/>
    <w:rsid w:val="000845F1"/>
    <w:rsid w:val="00085176"/>
    <w:rsid w:val="00085AA2"/>
    <w:rsid w:val="000868DD"/>
    <w:rsid w:val="00087B7C"/>
    <w:rsid w:val="00090001"/>
    <w:rsid w:val="00094E34"/>
    <w:rsid w:val="00096CCA"/>
    <w:rsid w:val="000A01F0"/>
    <w:rsid w:val="000A130D"/>
    <w:rsid w:val="000A3241"/>
    <w:rsid w:val="000A442F"/>
    <w:rsid w:val="000A5B41"/>
    <w:rsid w:val="000A6EE5"/>
    <w:rsid w:val="000B0B5A"/>
    <w:rsid w:val="000B0E8D"/>
    <w:rsid w:val="000B1527"/>
    <w:rsid w:val="000B2F8B"/>
    <w:rsid w:val="000B3A95"/>
    <w:rsid w:val="000C03B2"/>
    <w:rsid w:val="000C09C6"/>
    <w:rsid w:val="000C2318"/>
    <w:rsid w:val="000C2EC7"/>
    <w:rsid w:val="000C3A79"/>
    <w:rsid w:val="000C5737"/>
    <w:rsid w:val="000C5A65"/>
    <w:rsid w:val="000D05D8"/>
    <w:rsid w:val="000D1D82"/>
    <w:rsid w:val="000D51DF"/>
    <w:rsid w:val="000D5E58"/>
    <w:rsid w:val="000D73BA"/>
    <w:rsid w:val="000E37B1"/>
    <w:rsid w:val="000E519E"/>
    <w:rsid w:val="000E560C"/>
    <w:rsid w:val="000E5C09"/>
    <w:rsid w:val="000E6275"/>
    <w:rsid w:val="000F3908"/>
    <w:rsid w:val="000F4ED2"/>
    <w:rsid w:val="000F53C1"/>
    <w:rsid w:val="000F5612"/>
    <w:rsid w:val="000F5900"/>
    <w:rsid w:val="000F62E5"/>
    <w:rsid w:val="0010135B"/>
    <w:rsid w:val="001017F9"/>
    <w:rsid w:val="00101EE5"/>
    <w:rsid w:val="001051C5"/>
    <w:rsid w:val="00106ACF"/>
    <w:rsid w:val="00106D50"/>
    <w:rsid w:val="00106D74"/>
    <w:rsid w:val="0011157B"/>
    <w:rsid w:val="00112DDE"/>
    <w:rsid w:val="00113777"/>
    <w:rsid w:val="00114027"/>
    <w:rsid w:val="00114697"/>
    <w:rsid w:val="00115CA6"/>
    <w:rsid w:val="00116F28"/>
    <w:rsid w:val="00116F55"/>
    <w:rsid w:val="0011745C"/>
    <w:rsid w:val="001174A1"/>
    <w:rsid w:val="00125798"/>
    <w:rsid w:val="00126141"/>
    <w:rsid w:val="00127A6B"/>
    <w:rsid w:val="00127F4D"/>
    <w:rsid w:val="00131D56"/>
    <w:rsid w:val="00133428"/>
    <w:rsid w:val="001350A3"/>
    <w:rsid w:val="00136852"/>
    <w:rsid w:val="00136FA7"/>
    <w:rsid w:val="001373D6"/>
    <w:rsid w:val="001375A8"/>
    <w:rsid w:val="00137736"/>
    <w:rsid w:val="0014065C"/>
    <w:rsid w:val="0014098D"/>
    <w:rsid w:val="00141751"/>
    <w:rsid w:val="001420E5"/>
    <w:rsid w:val="00142CFC"/>
    <w:rsid w:val="00142EDF"/>
    <w:rsid w:val="001438F2"/>
    <w:rsid w:val="00143D07"/>
    <w:rsid w:val="001532D1"/>
    <w:rsid w:val="00153522"/>
    <w:rsid w:val="0015379D"/>
    <w:rsid w:val="00153F57"/>
    <w:rsid w:val="001540BF"/>
    <w:rsid w:val="00156A6B"/>
    <w:rsid w:val="00161B8A"/>
    <w:rsid w:val="00162CA5"/>
    <w:rsid w:val="00164F6A"/>
    <w:rsid w:val="00165813"/>
    <w:rsid w:val="00165CD7"/>
    <w:rsid w:val="0016715F"/>
    <w:rsid w:val="00167337"/>
    <w:rsid w:val="00167557"/>
    <w:rsid w:val="0017029C"/>
    <w:rsid w:val="00170631"/>
    <w:rsid w:val="0017202D"/>
    <w:rsid w:val="00173E54"/>
    <w:rsid w:val="00175225"/>
    <w:rsid w:val="001767E6"/>
    <w:rsid w:val="00177EAC"/>
    <w:rsid w:val="00180C53"/>
    <w:rsid w:val="001810FB"/>
    <w:rsid w:val="001832DC"/>
    <w:rsid w:val="0018510C"/>
    <w:rsid w:val="00185489"/>
    <w:rsid w:val="001862C5"/>
    <w:rsid w:val="001864DC"/>
    <w:rsid w:val="00191592"/>
    <w:rsid w:val="00191C3B"/>
    <w:rsid w:val="00191EB8"/>
    <w:rsid w:val="001924BD"/>
    <w:rsid w:val="001943AC"/>
    <w:rsid w:val="0019477A"/>
    <w:rsid w:val="001948A4"/>
    <w:rsid w:val="00194E65"/>
    <w:rsid w:val="00197DB5"/>
    <w:rsid w:val="001A0D9F"/>
    <w:rsid w:val="001A19DC"/>
    <w:rsid w:val="001A2B2D"/>
    <w:rsid w:val="001A48BB"/>
    <w:rsid w:val="001A5C07"/>
    <w:rsid w:val="001A733F"/>
    <w:rsid w:val="001B2BDD"/>
    <w:rsid w:val="001B49A3"/>
    <w:rsid w:val="001B4EC3"/>
    <w:rsid w:val="001B62AA"/>
    <w:rsid w:val="001B6658"/>
    <w:rsid w:val="001B6C18"/>
    <w:rsid w:val="001B749B"/>
    <w:rsid w:val="001C13DE"/>
    <w:rsid w:val="001C16F3"/>
    <w:rsid w:val="001C3B66"/>
    <w:rsid w:val="001C3E20"/>
    <w:rsid w:val="001C53A3"/>
    <w:rsid w:val="001C6E82"/>
    <w:rsid w:val="001C7AE6"/>
    <w:rsid w:val="001D0652"/>
    <w:rsid w:val="001D2F92"/>
    <w:rsid w:val="001D435B"/>
    <w:rsid w:val="001D4653"/>
    <w:rsid w:val="001D48AC"/>
    <w:rsid w:val="001D4A9D"/>
    <w:rsid w:val="001E11CE"/>
    <w:rsid w:val="001E2E78"/>
    <w:rsid w:val="001E34F6"/>
    <w:rsid w:val="001E357E"/>
    <w:rsid w:val="001E40BD"/>
    <w:rsid w:val="001E438D"/>
    <w:rsid w:val="001E4B9F"/>
    <w:rsid w:val="001E6179"/>
    <w:rsid w:val="001E668B"/>
    <w:rsid w:val="001F06D1"/>
    <w:rsid w:val="001F16EC"/>
    <w:rsid w:val="001F372C"/>
    <w:rsid w:val="001F3F9C"/>
    <w:rsid w:val="001F501C"/>
    <w:rsid w:val="001F5F66"/>
    <w:rsid w:val="001F7DEE"/>
    <w:rsid w:val="0020029A"/>
    <w:rsid w:val="00200AEB"/>
    <w:rsid w:val="002024E5"/>
    <w:rsid w:val="0020539D"/>
    <w:rsid w:val="00205CE4"/>
    <w:rsid w:val="00205FCB"/>
    <w:rsid w:val="00207BB7"/>
    <w:rsid w:val="00207FF4"/>
    <w:rsid w:val="00210CBD"/>
    <w:rsid w:val="00212B97"/>
    <w:rsid w:val="002169A4"/>
    <w:rsid w:val="00217855"/>
    <w:rsid w:val="0022078B"/>
    <w:rsid w:val="0022109D"/>
    <w:rsid w:val="00222434"/>
    <w:rsid w:val="002225AE"/>
    <w:rsid w:val="00223832"/>
    <w:rsid w:val="00223F16"/>
    <w:rsid w:val="00224A01"/>
    <w:rsid w:val="00224D8D"/>
    <w:rsid w:val="002250FF"/>
    <w:rsid w:val="00225F00"/>
    <w:rsid w:val="00227940"/>
    <w:rsid w:val="002307A7"/>
    <w:rsid w:val="002313FC"/>
    <w:rsid w:val="002334E1"/>
    <w:rsid w:val="00233A52"/>
    <w:rsid w:val="00234470"/>
    <w:rsid w:val="00234F30"/>
    <w:rsid w:val="002379CE"/>
    <w:rsid w:val="0024437E"/>
    <w:rsid w:val="00245A91"/>
    <w:rsid w:val="002541D9"/>
    <w:rsid w:val="002548E8"/>
    <w:rsid w:val="00254E01"/>
    <w:rsid w:val="00255A60"/>
    <w:rsid w:val="0025603B"/>
    <w:rsid w:val="002561B7"/>
    <w:rsid w:val="00257A65"/>
    <w:rsid w:val="00257AD4"/>
    <w:rsid w:val="00260022"/>
    <w:rsid w:val="00260CC4"/>
    <w:rsid w:val="00261B7D"/>
    <w:rsid w:val="002620D3"/>
    <w:rsid w:val="002639EE"/>
    <w:rsid w:val="00263D70"/>
    <w:rsid w:val="00266001"/>
    <w:rsid w:val="002666AD"/>
    <w:rsid w:val="00267B7C"/>
    <w:rsid w:val="0027077A"/>
    <w:rsid w:val="00270A84"/>
    <w:rsid w:val="00270D68"/>
    <w:rsid w:val="002711BD"/>
    <w:rsid w:val="002718B9"/>
    <w:rsid w:val="00272269"/>
    <w:rsid w:val="002726C1"/>
    <w:rsid w:val="00272F23"/>
    <w:rsid w:val="00274A0C"/>
    <w:rsid w:val="00274AC3"/>
    <w:rsid w:val="00275DDD"/>
    <w:rsid w:val="00276F2A"/>
    <w:rsid w:val="002777D2"/>
    <w:rsid w:val="00277DEC"/>
    <w:rsid w:val="00280D90"/>
    <w:rsid w:val="00282D8F"/>
    <w:rsid w:val="00283505"/>
    <w:rsid w:val="00283A83"/>
    <w:rsid w:val="00283BDC"/>
    <w:rsid w:val="00283F24"/>
    <w:rsid w:val="00283FA1"/>
    <w:rsid w:val="00286FF0"/>
    <w:rsid w:val="00287A7A"/>
    <w:rsid w:val="0029019B"/>
    <w:rsid w:val="002932DE"/>
    <w:rsid w:val="002939A5"/>
    <w:rsid w:val="00294EFA"/>
    <w:rsid w:val="00295ACD"/>
    <w:rsid w:val="0029608E"/>
    <w:rsid w:val="002965F9"/>
    <w:rsid w:val="00296D0E"/>
    <w:rsid w:val="0029722C"/>
    <w:rsid w:val="002976D3"/>
    <w:rsid w:val="002A0CCB"/>
    <w:rsid w:val="002A3020"/>
    <w:rsid w:val="002A4432"/>
    <w:rsid w:val="002A4BB2"/>
    <w:rsid w:val="002A5293"/>
    <w:rsid w:val="002A5B97"/>
    <w:rsid w:val="002B0EEE"/>
    <w:rsid w:val="002B2BE3"/>
    <w:rsid w:val="002B3445"/>
    <w:rsid w:val="002B3E5A"/>
    <w:rsid w:val="002B41EE"/>
    <w:rsid w:val="002B5EEE"/>
    <w:rsid w:val="002B651E"/>
    <w:rsid w:val="002B7687"/>
    <w:rsid w:val="002B7EE5"/>
    <w:rsid w:val="002C13E7"/>
    <w:rsid w:val="002C1653"/>
    <w:rsid w:val="002C1F27"/>
    <w:rsid w:val="002C20D1"/>
    <w:rsid w:val="002C2681"/>
    <w:rsid w:val="002C4B16"/>
    <w:rsid w:val="002C5C95"/>
    <w:rsid w:val="002C6BBF"/>
    <w:rsid w:val="002C6FB1"/>
    <w:rsid w:val="002C72F6"/>
    <w:rsid w:val="002C7C45"/>
    <w:rsid w:val="002D06F8"/>
    <w:rsid w:val="002D0B5B"/>
    <w:rsid w:val="002D129D"/>
    <w:rsid w:val="002D278D"/>
    <w:rsid w:val="002D2B98"/>
    <w:rsid w:val="002D64CC"/>
    <w:rsid w:val="002D6A28"/>
    <w:rsid w:val="002D75D1"/>
    <w:rsid w:val="002E0130"/>
    <w:rsid w:val="002E171C"/>
    <w:rsid w:val="002E1D20"/>
    <w:rsid w:val="002E1E90"/>
    <w:rsid w:val="002E3B00"/>
    <w:rsid w:val="002E4655"/>
    <w:rsid w:val="002E65F5"/>
    <w:rsid w:val="002E79CD"/>
    <w:rsid w:val="002F02C4"/>
    <w:rsid w:val="002F09BE"/>
    <w:rsid w:val="002F22AD"/>
    <w:rsid w:val="002F2477"/>
    <w:rsid w:val="002F3453"/>
    <w:rsid w:val="002F47EA"/>
    <w:rsid w:val="002F53D6"/>
    <w:rsid w:val="002F6732"/>
    <w:rsid w:val="002F67AC"/>
    <w:rsid w:val="002F69A5"/>
    <w:rsid w:val="00300323"/>
    <w:rsid w:val="00300B40"/>
    <w:rsid w:val="00301911"/>
    <w:rsid w:val="0030207D"/>
    <w:rsid w:val="0030219C"/>
    <w:rsid w:val="00302399"/>
    <w:rsid w:val="00303D72"/>
    <w:rsid w:val="003041B4"/>
    <w:rsid w:val="00305488"/>
    <w:rsid w:val="003070B5"/>
    <w:rsid w:val="00307162"/>
    <w:rsid w:val="00310F6B"/>
    <w:rsid w:val="00311A9E"/>
    <w:rsid w:val="00312C72"/>
    <w:rsid w:val="003138CD"/>
    <w:rsid w:val="0031477D"/>
    <w:rsid w:val="00315E32"/>
    <w:rsid w:val="0031721C"/>
    <w:rsid w:val="003175AC"/>
    <w:rsid w:val="00320C90"/>
    <w:rsid w:val="00322312"/>
    <w:rsid w:val="00327360"/>
    <w:rsid w:val="00330F5E"/>
    <w:rsid w:val="00331647"/>
    <w:rsid w:val="00333765"/>
    <w:rsid w:val="00333A1F"/>
    <w:rsid w:val="00335D22"/>
    <w:rsid w:val="003372DD"/>
    <w:rsid w:val="0033793D"/>
    <w:rsid w:val="00341D95"/>
    <w:rsid w:val="00341F47"/>
    <w:rsid w:val="00342280"/>
    <w:rsid w:val="0034432F"/>
    <w:rsid w:val="003447F8"/>
    <w:rsid w:val="00344D54"/>
    <w:rsid w:val="00346B45"/>
    <w:rsid w:val="00346C9F"/>
    <w:rsid w:val="00347576"/>
    <w:rsid w:val="00350693"/>
    <w:rsid w:val="00352C56"/>
    <w:rsid w:val="00355FCB"/>
    <w:rsid w:val="0035696A"/>
    <w:rsid w:val="00357996"/>
    <w:rsid w:val="00357A16"/>
    <w:rsid w:val="00361085"/>
    <w:rsid w:val="003624D1"/>
    <w:rsid w:val="003628BF"/>
    <w:rsid w:val="00366D49"/>
    <w:rsid w:val="00367863"/>
    <w:rsid w:val="003713D5"/>
    <w:rsid w:val="00372023"/>
    <w:rsid w:val="003725FA"/>
    <w:rsid w:val="003766C2"/>
    <w:rsid w:val="00376F98"/>
    <w:rsid w:val="0037704D"/>
    <w:rsid w:val="00377E0D"/>
    <w:rsid w:val="00380A58"/>
    <w:rsid w:val="0038137B"/>
    <w:rsid w:val="00382AF8"/>
    <w:rsid w:val="0038363B"/>
    <w:rsid w:val="003850ED"/>
    <w:rsid w:val="003874B6"/>
    <w:rsid w:val="003875F3"/>
    <w:rsid w:val="003878FB"/>
    <w:rsid w:val="003907EA"/>
    <w:rsid w:val="00391A72"/>
    <w:rsid w:val="00393F93"/>
    <w:rsid w:val="00394CC7"/>
    <w:rsid w:val="00394F16"/>
    <w:rsid w:val="003A1BD8"/>
    <w:rsid w:val="003A23D4"/>
    <w:rsid w:val="003A2764"/>
    <w:rsid w:val="003A3BBB"/>
    <w:rsid w:val="003A4F25"/>
    <w:rsid w:val="003A4FC2"/>
    <w:rsid w:val="003A55AE"/>
    <w:rsid w:val="003A5E65"/>
    <w:rsid w:val="003A626A"/>
    <w:rsid w:val="003A72EC"/>
    <w:rsid w:val="003B2F1A"/>
    <w:rsid w:val="003B31FA"/>
    <w:rsid w:val="003B4B55"/>
    <w:rsid w:val="003B6973"/>
    <w:rsid w:val="003C0C8A"/>
    <w:rsid w:val="003C0E52"/>
    <w:rsid w:val="003C0FF9"/>
    <w:rsid w:val="003C66AC"/>
    <w:rsid w:val="003C7309"/>
    <w:rsid w:val="003D0447"/>
    <w:rsid w:val="003D0783"/>
    <w:rsid w:val="003D24F6"/>
    <w:rsid w:val="003D3E2A"/>
    <w:rsid w:val="003D45C5"/>
    <w:rsid w:val="003D4D1A"/>
    <w:rsid w:val="003D4E45"/>
    <w:rsid w:val="003D554F"/>
    <w:rsid w:val="003D67E1"/>
    <w:rsid w:val="003D7AA1"/>
    <w:rsid w:val="003E078E"/>
    <w:rsid w:val="003E4FF9"/>
    <w:rsid w:val="003F14A0"/>
    <w:rsid w:val="003F1727"/>
    <w:rsid w:val="003F279D"/>
    <w:rsid w:val="003F2F1E"/>
    <w:rsid w:val="003F3DB7"/>
    <w:rsid w:val="003F475F"/>
    <w:rsid w:val="003F4B53"/>
    <w:rsid w:val="003F509F"/>
    <w:rsid w:val="003F546F"/>
    <w:rsid w:val="003F557F"/>
    <w:rsid w:val="003F5D96"/>
    <w:rsid w:val="003F6000"/>
    <w:rsid w:val="003F636C"/>
    <w:rsid w:val="004000B0"/>
    <w:rsid w:val="004014BD"/>
    <w:rsid w:val="00401608"/>
    <w:rsid w:val="00402000"/>
    <w:rsid w:val="00404503"/>
    <w:rsid w:val="00404628"/>
    <w:rsid w:val="00404820"/>
    <w:rsid w:val="00404890"/>
    <w:rsid w:val="0040631F"/>
    <w:rsid w:val="004070CD"/>
    <w:rsid w:val="00407AD7"/>
    <w:rsid w:val="00407C18"/>
    <w:rsid w:val="0041099E"/>
    <w:rsid w:val="00410E87"/>
    <w:rsid w:val="0041184D"/>
    <w:rsid w:val="00411D46"/>
    <w:rsid w:val="00413A74"/>
    <w:rsid w:val="00414058"/>
    <w:rsid w:val="00414FAF"/>
    <w:rsid w:val="0041702E"/>
    <w:rsid w:val="004200DD"/>
    <w:rsid w:val="00421B34"/>
    <w:rsid w:val="0042310D"/>
    <w:rsid w:val="00424186"/>
    <w:rsid w:val="004246A0"/>
    <w:rsid w:val="00426569"/>
    <w:rsid w:val="0043064E"/>
    <w:rsid w:val="0043067E"/>
    <w:rsid w:val="00430EA6"/>
    <w:rsid w:val="00431CB1"/>
    <w:rsid w:val="0043236F"/>
    <w:rsid w:val="004341DB"/>
    <w:rsid w:val="00441C5B"/>
    <w:rsid w:val="00441E1D"/>
    <w:rsid w:val="0044269F"/>
    <w:rsid w:val="00447462"/>
    <w:rsid w:val="004503BC"/>
    <w:rsid w:val="004505D0"/>
    <w:rsid w:val="00450C41"/>
    <w:rsid w:val="00451207"/>
    <w:rsid w:val="00456335"/>
    <w:rsid w:val="00456BDD"/>
    <w:rsid w:val="004579E4"/>
    <w:rsid w:val="0046016D"/>
    <w:rsid w:val="004607D2"/>
    <w:rsid w:val="004608A0"/>
    <w:rsid w:val="00464443"/>
    <w:rsid w:val="004644CE"/>
    <w:rsid w:val="004654A9"/>
    <w:rsid w:val="004678C7"/>
    <w:rsid w:val="00467957"/>
    <w:rsid w:val="00470B4C"/>
    <w:rsid w:val="00470E17"/>
    <w:rsid w:val="004713D5"/>
    <w:rsid w:val="00472A44"/>
    <w:rsid w:val="00472F49"/>
    <w:rsid w:val="00473A45"/>
    <w:rsid w:val="00475310"/>
    <w:rsid w:val="0047656D"/>
    <w:rsid w:val="004802FA"/>
    <w:rsid w:val="00481043"/>
    <w:rsid w:val="004815E7"/>
    <w:rsid w:val="00481D64"/>
    <w:rsid w:val="00483475"/>
    <w:rsid w:val="00484A1C"/>
    <w:rsid w:val="00484DE3"/>
    <w:rsid w:val="00487F76"/>
    <w:rsid w:val="004915F9"/>
    <w:rsid w:val="00491E57"/>
    <w:rsid w:val="004920B6"/>
    <w:rsid w:val="004928BC"/>
    <w:rsid w:val="00495AD8"/>
    <w:rsid w:val="00497D50"/>
    <w:rsid w:val="004A0817"/>
    <w:rsid w:val="004A087E"/>
    <w:rsid w:val="004A0C4D"/>
    <w:rsid w:val="004A1CED"/>
    <w:rsid w:val="004A1F38"/>
    <w:rsid w:val="004A20EC"/>
    <w:rsid w:val="004A2A78"/>
    <w:rsid w:val="004A2F15"/>
    <w:rsid w:val="004A644E"/>
    <w:rsid w:val="004B2AAC"/>
    <w:rsid w:val="004B2DE8"/>
    <w:rsid w:val="004B4E32"/>
    <w:rsid w:val="004B4F79"/>
    <w:rsid w:val="004B518B"/>
    <w:rsid w:val="004C4794"/>
    <w:rsid w:val="004C78AE"/>
    <w:rsid w:val="004D3551"/>
    <w:rsid w:val="004D432C"/>
    <w:rsid w:val="004E0E36"/>
    <w:rsid w:val="004E0EBF"/>
    <w:rsid w:val="004E2C85"/>
    <w:rsid w:val="004E3F26"/>
    <w:rsid w:val="004E4B07"/>
    <w:rsid w:val="004E52E4"/>
    <w:rsid w:val="004E776F"/>
    <w:rsid w:val="004F1C02"/>
    <w:rsid w:val="004F3F9F"/>
    <w:rsid w:val="004F4C22"/>
    <w:rsid w:val="004F516E"/>
    <w:rsid w:val="004F6922"/>
    <w:rsid w:val="004F7793"/>
    <w:rsid w:val="0050038D"/>
    <w:rsid w:val="005017AF"/>
    <w:rsid w:val="00501A95"/>
    <w:rsid w:val="00504062"/>
    <w:rsid w:val="00504348"/>
    <w:rsid w:val="0050733B"/>
    <w:rsid w:val="005110A5"/>
    <w:rsid w:val="00511E65"/>
    <w:rsid w:val="005121B2"/>
    <w:rsid w:val="005123A3"/>
    <w:rsid w:val="00512CF5"/>
    <w:rsid w:val="0051335B"/>
    <w:rsid w:val="00515229"/>
    <w:rsid w:val="00515AD6"/>
    <w:rsid w:val="00515FE7"/>
    <w:rsid w:val="005168DA"/>
    <w:rsid w:val="00516FDC"/>
    <w:rsid w:val="00517048"/>
    <w:rsid w:val="00521ED7"/>
    <w:rsid w:val="00522C53"/>
    <w:rsid w:val="0052348D"/>
    <w:rsid w:val="00523A75"/>
    <w:rsid w:val="00523AF2"/>
    <w:rsid w:val="00523D07"/>
    <w:rsid w:val="005240C2"/>
    <w:rsid w:val="005247D9"/>
    <w:rsid w:val="0052507D"/>
    <w:rsid w:val="00526A4A"/>
    <w:rsid w:val="005277B7"/>
    <w:rsid w:val="00527CD3"/>
    <w:rsid w:val="00527DF9"/>
    <w:rsid w:val="00530150"/>
    <w:rsid w:val="0053168B"/>
    <w:rsid w:val="00532270"/>
    <w:rsid w:val="005323B9"/>
    <w:rsid w:val="00532D85"/>
    <w:rsid w:val="005338ED"/>
    <w:rsid w:val="00537DA3"/>
    <w:rsid w:val="00543701"/>
    <w:rsid w:val="005469B6"/>
    <w:rsid w:val="005510AB"/>
    <w:rsid w:val="00552A57"/>
    <w:rsid w:val="00553A6E"/>
    <w:rsid w:val="00553FA1"/>
    <w:rsid w:val="00554D3E"/>
    <w:rsid w:val="005555E3"/>
    <w:rsid w:val="00555D89"/>
    <w:rsid w:val="00556A6E"/>
    <w:rsid w:val="00557DF4"/>
    <w:rsid w:val="00557E67"/>
    <w:rsid w:val="0056031D"/>
    <w:rsid w:val="00561C2B"/>
    <w:rsid w:val="00562ABD"/>
    <w:rsid w:val="005630CC"/>
    <w:rsid w:val="00564783"/>
    <w:rsid w:val="00565B7C"/>
    <w:rsid w:val="00565D71"/>
    <w:rsid w:val="00567092"/>
    <w:rsid w:val="00570632"/>
    <w:rsid w:val="00570901"/>
    <w:rsid w:val="0057227C"/>
    <w:rsid w:val="00574A65"/>
    <w:rsid w:val="00575620"/>
    <w:rsid w:val="005773AF"/>
    <w:rsid w:val="0058099E"/>
    <w:rsid w:val="005815C7"/>
    <w:rsid w:val="00581ED7"/>
    <w:rsid w:val="00584240"/>
    <w:rsid w:val="00584337"/>
    <w:rsid w:val="00585334"/>
    <w:rsid w:val="00587E0F"/>
    <w:rsid w:val="00591152"/>
    <w:rsid w:val="0059145D"/>
    <w:rsid w:val="00592FE2"/>
    <w:rsid w:val="005931B0"/>
    <w:rsid w:val="005951D7"/>
    <w:rsid w:val="0059568B"/>
    <w:rsid w:val="005959AE"/>
    <w:rsid w:val="00597A2F"/>
    <w:rsid w:val="00597D38"/>
    <w:rsid w:val="005A1ED6"/>
    <w:rsid w:val="005A2415"/>
    <w:rsid w:val="005A37B6"/>
    <w:rsid w:val="005A393F"/>
    <w:rsid w:val="005A4DAC"/>
    <w:rsid w:val="005A7C9B"/>
    <w:rsid w:val="005B08A0"/>
    <w:rsid w:val="005B18EA"/>
    <w:rsid w:val="005B1B12"/>
    <w:rsid w:val="005B1CAF"/>
    <w:rsid w:val="005B23F3"/>
    <w:rsid w:val="005B5832"/>
    <w:rsid w:val="005B7131"/>
    <w:rsid w:val="005C00E9"/>
    <w:rsid w:val="005C094C"/>
    <w:rsid w:val="005C3C44"/>
    <w:rsid w:val="005C5941"/>
    <w:rsid w:val="005C76AF"/>
    <w:rsid w:val="005D0322"/>
    <w:rsid w:val="005D0812"/>
    <w:rsid w:val="005D148A"/>
    <w:rsid w:val="005D183F"/>
    <w:rsid w:val="005D1D58"/>
    <w:rsid w:val="005D5793"/>
    <w:rsid w:val="005E0A64"/>
    <w:rsid w:val="005E112D"/>
    <w:rsid w:val="005E2B20"/>
    <w:rsid w:val="005E42C3"/>
    <w:rsid w:val="005E748D"/>
    <w:rsid w:val="005E7737"/>
    <w:rsid w:val="005E7CD9"/>
    <w:rsid w:val="005F0824"/>
    <w:rsid w:val="005F0AA2"/>
    <w:rsid w:val="005F1C98"/>
    <w:rsid w:val="005F3A8D"/>
    <w:rsid w:val="005F4457"/>
    <w:rsid w:val="005F4D6F"/>
    <w:rsid w:val="005F52BD"/>
    <w:rsid w:val="005F719F"/>
    <w:rsid w:val="00602255"/>
    <w:rsid w:val="0060476B"/>
    <w:rsid w:val="00604CB1"/>
    <w:rsid w:val="00605157"/>
    <w:rsid w:val="00605AE9"/>
    <w:rsid w:val="00605DF3"/>
    <w:rsid w:val="0061150E"/>
    <w:rsid w:val="00612BBC"/>
    <w:rsid w:val="00613CE1"/>
    <w:rsid w:val="00614244"/>
    <w:rsid w:val="006148D4"/>
    <w:rsid w:val="00614E82"/>
    <w:rsid w:val="006153BC"/>
    <w:rsid w:val="006166A5"/>
    <w:rsid w:val="00616908"/>
    <w:rsid w:val="0062158E"/>
    <w:rsid w:val="00621881"/>
    <w:rsid w:val="006224B3"/>
    <w:rsid w:val="00622691"/>
    <w:rsid w:val="00622732"/>
    <w:rsid w:val="00622F2E"/>
    <w:rsid w:val="006231E6"/>
    <w:rsid w:val="00623B18"/>
    <w:rsid w:val="006248BA"/>
    <w:rsid w:val="00625ACF"/>
    <w:rsid w:val="00627630"/>
    <w:rsid w:val="00633127"/>
    <w:rsid w:val="00634843"/>
    <w:rsid w:val="0063533E"/>
    <w:rsid w:val="006356FA"/>
    <w:rsid w:val="00635A06"/>
    <w:rsid w:val="00636F1D"/>
    <w:rsid w:val="0063773F"/>
    <w:rsid w:val="00640BBA"/>
    <w:rsid w:val="00641DC6"/>
    <w:rsid w:val="00643FA9"/>
    <w:rsid w:val="00644104"/>
    <w:rsid w:val="00645463"/>
    <w:rsid w:val="006469BE"/>
    <w:rsid w:val="00646E38"/>
    <w:rsid w:val="00646F71"/>
    <w:rsid w:val="00652595"/>
    <w:rsid w:val="00656E92"/>
    <w:rsid w:val="006601C5"/>
    <w:rsid w:val="0066084B"/>
    <w:rsid w:val="00661B4A"/>
    <w:rsid w:val="00662627"/>
    <w:rsid w:val="006626BC"/>
    <w:rsid w:val="00662E9D"/>
    <w:rsid w:val="006648C3"/>
    <w:rsid w:val="00665248"/>
    <w:rsid w:val="006658DB"/>
    <w:rsid w:val="00665DEC"/>
    <w:rsid w:val="006664FF"/>
    <w:rsid w:val="00667289"/>
    <w:rsid w:val="006712A1"/>
    <w:rsid w:val="00672020"/>
    <w:rsid w:val="0067510E"/>
    <w:rsid w:val="006774DC"/>
    <w:rsid w:val="006810A3"/>
    <w:rsid w:val="00682F6A"/>
    <w:rsid w:val="00684621"/>
    <w:rsid w:val="006851FF"/>
    <w:rsid w:val="00686B69"/>
    <w:rsid w:val="00690D01"/>
    <w:rsid w:val="00691CF7"/>
    <w:rsid w:val="00691FBC"/>
    <w:rsid w:val="00692409"/>
    <w:rsid w:val="0069259E"/>
    <w:rsid w:val="00692BFC"/>
    <w:rsid w:val="006941B8"/>
    <w:rsid w:val="0069442B"/>
    <w:rsid w:val="006947EF"/>
    <w:rsid w:val="00695224"/>
    <w:rsid w:val="00697458"/>
    <w:rsid w:val="00697BC7"/>
    <w:rsid w:val="00697DC1"/>
    <w:rsid w:val="006A05FF"/>
    <w:rsid w:val="006A0667"/>
    <w:rsid w:val="006A177C"/>
    <w:rsid w:val="006A35DF"/>
    <w:rsid w:val="006A7461"/>
    <w:rsid w:val="006B0E69"/>
    <w:rsid w:val="006B1D80"/>
    <w:rsid w:val="006B270A"/>
    <w:rsid w:val="006B40CB"/>
    <w:rsid w:val="006B5A2F"/>
    <w:rsid w:val="006B6F13"/>
    <w:rsid w:val="006C0A75"/>
    <w:rsid w:val="006C19F1"/>
    <w:rsid w:val="006C4EB3"/>
    <w:rsid w:val="006C6487"/>
    <w:rsid w:val="006C6F30"/>
    <w:rsid w:val="006D2055"/>
    <w:rsid w:val="006D26BD"/>
    <w:rsid w:val="006D3A4E"/>
    <w:rsid w:val="006D4BB3"/>
    <w:rsid w:val="006D547C"/>
    <w:rsid w:val="006E28B8"/>
    <w:rsid w:val="006E4E33"/>
    <w:rsid w:val="006F0284"/>
    <w:rsid w:val="006F063E"/>
    <w:rsid w:val="006F402F"/>
    <w:rsid w:val="006F40ED"/>
    <w:rsid w:val="006F481A"/>
    <w:rsid w:val="006F4AE7"/>
    <w:rsid w:val="006F4C37"/>
    <w:rsid w:val="006F5E5F"/>
    <w:rsid w:val="006F7F00"/>
    <w:rsid w:val="0070050E"/>
    <w:rsid w:val="007033DD"/>
    <w:rsid w:val="00707340"/>
    <w:rsid w:val="00710245"/>
    <w:rsid w:val="007111D2"/>
    <w:rsid w:val="00717624"/>
    <w:rsid w:val="00717901"/>
    <w:rsid w:val="00720417"/>
    <w:rsid w:val="0072445D"/>
    <w:rsid w:val="00727C61"/>
    <w:rsid w:val="00731D99"/>
    <w:rsid w:val="00732112"/>
    <w:rsid w:val="007324F6"/>
    <w:rsid w:val="007342E2"/>
    <w:rsid w:val="007344BF"/>
    <w:rsid w:val="00736FF2"/>
    <w:rsid w:val="00737009"/>
    <w:rsid w:val="007370A5"/>
    <w:rsid w:val="00737D1B"/>
    <w:rsid w:val="007430F1"/>
    <w:rsid w:val="00743202"/>
    <w:rsid w:val="007459C1"/>
    <w:rsid w:val="007477F3"/>
    <w:rsid w:val="0075137D"/>
    <w:rsid w:val="00752685"/>
    <w:rsid w:val="00753DE9"/>
    <w:rsid w:val="007553BB"/>
    <w:rsid w:val="00755A0B"/>
    <w:rsid w:val="00755AB7"/>
    <w:rsid w:val="00756150"/>
    <w:rsid w:val="00756C39"/>
    <w:rsid w:val="00760607"/>
    <w:rsid w:val="00760936"/>
    <w:rsid w:val="007617E8"/>
    <w:rsid w:val="007627D0"/>
    <w:rsid w:val="007654D2"/>
    <w:rsid w:val="0077044F"/>
    <w:rsid w:val="00771C76"/>
    <w:rsid w:val="00775EC9"/>
    <w:rsid w:val="007766B8"/>
    <w:rsid w:val="0078235B"/>
    <w:rsid w:val="00785760"/>
    <w:rsid w:val="00785AF3"/>
    <w:rsid w:val="00787677"/>
    <w:rsid w:val="00790199"/>
    <w:rsid w:val="007905D6"/>
    <w:rsid w:val="00790695"/>
    <w:rsid w:val="007906D9"/>
    <w:rsid w:val="00790EC2"/>
    <w:rsid w:val="00791D8F"/>
    <w:rsid w:val="007931F8"/>
    <w:rsid w:val="00794DBD"/>
    <w:rsid w:val="00795179"/>
    <w:rsid w:val="00796D44"/>
    <w:rsid w:val="00797C5A"/>
    <w:rsid w:val="007A0A33"/>
    <w:rsid w:val="007A25CD"/>
    <w:rsid w:val="007A44C2"/>
    <w:rsid w:val="007A495B"/>
    <w:rsid w:val="007A4991"/>
    <w:rsid w:val="007A52C6"/>
    <w:rsid w:val="007A5E17"/>
    <w:rsid w:val="007A6845"/>
    <w:rsid w:val="007A7B2E"/>
    <w:rsid w:val="007B0B46"/>
    <w:rsid w:val="007B13D8"/>
    <w:rsid w:val="007B1DAF"/>
    <w:rsid w:val="007B239A"/>
    <w:rsid w:val="007B2D3A"/>
    <w:rsid w:val="007B3EBC"/>
    <w:rsid w:val="007B4BCD"/>
    <w:rsid w:val="007B5CC2"/>
    <w:rsid w:val="007B6387"/>
    <w:rsid w:val="007C3099"/>
    <w:rsid w:val="007C33F2"/>
    <w:rsid w:val="007C436C"/>
    <w:rsid w:val="007C43B0"/>
    <w:rsid w:val="007C4B96"/>
    <w:rsid w:val="007C5D25"/>
    <w:rsid w:val="007C70AF"/>
    <w:rsid w:val="007C7111"/>
    <w:rsid w:val="007D07CE"/>
    <w:rsid w:val="007D174C"/>
    <w:rsid w:val="007D3493"/>
    <w:rsid w:val="007D3BFB"/>
    <w:rsid w:val="007D5F25"/>
    <w:rsid w:val="007E25F2"/>
    <w:rsid w:val="007E34B6"/>
    <w:rsid w:val="007E4835"/>
    <w:rsid w:val="007E65A7"/>
    <w:rsid w:val="007E68CC"/>
    <w:rsid w:val="007E72F9"/>
    <w:rsid w:val="007F06BD"/>
    <w:rsid w:val="007F0E46"/>
    <w:rsid w:val="007F1092"/>
    <w:rsid w:val="007F1E2F"/>
    <w:rsid w:val="007F3D8D"/>
    <w:rsid w:val="007F57AB"/>
    <w:rsid w:val="007F63BA"/>
    <w:rsid w:val="007F6620"/>
    <w:rsid w:val="007F75B1"/>
    <w:rsid w:val="00801424"/>
    <w:rsid w:val="00802D4F"/>
    <w:rsid w:val="008048C0"/>
    <w:rsid w:val="00804CFE"/>
    <w:rsid w:val="00807206"/>
    <w:rsid w:val="008072A7"/>
    <w:rsid w:val="008100BB"/>
    <w:rsid w:val="00810874"/>
    <w:rsid w:val="00811089"/>
    <w:rsid w:val="008141DA"/>
    <w:rsid w:val="008201EA"/>
    <w:rsid w:val="00822322"/>
    <w:rsid w:val="00822F2C"/>
    <w:rsid w:val="0082328E"/>
    <w:rsid w:val="00824EE9"/>
    <w:rsid w:val="008253D2"/>
    <w:rsid w:val="00830F12"/>
    <w:rsid w:val="00831019"/>
    <w:rsid w:val="0083395B"/>
    <w:rsid w:val="00833E07"/>
    <w:rsid w:val="00835297"/>
    <w:rsid w:val="0083629D"/>
    <w:rsid w:val="00837089"/>
    <w:rsid w:val="0084329A"/>
    <w:rsid w:val="0084409D"/>
    <w:rsid w:val="00845EBC"/>
    <w:rsid w:val="008478C8"/>
    <w:rsid w:val="00847E82"/>
    <w:rsid w:val="00852143"/>
    <w:rsid w:val="00852C11"/>
    <w:rsid w:val="008544FD"/>
    <w:rsid w:val="00854E2F"/>
    <w:rsid w:val="0085626A"/>
    <w:rsid w:val="00856DF9"/>
    <w:rsid w:val="008600EA"/>
    <w:rsid w:val="0086010E"/>
    <w:rsid w:val="00860481"/>
    <w:rsid w:val="00860633"/>
    <w:rsid w:val="008612BB"/>
    <w:rsid w:val="00861C9D"/>
    <w:rsid w:val="00862170"/>
    <w:rsid w:val="008624D2"/>
    <w:rsid w:val="008625FA"/>
    <w:rsid w:val="00862AB4"/>
    <w:rsid w:val="008630A5"/>
    <w:rsid w:val="00865BCF"/>
    <w:rsid w:val="00871CA6"/>
    <w:rsid w:val="00874C42"/>
    <w:rsid w:val="00880171"/>
    <w:rsid w:val="0088018B"/>
    <w:rsid w:val="00880632"/>
    <w:rsid w:val="00880D8C"/>
    <w:rsid w:val="0088169F"/>
    <w:rsid w:val="00881B83"/>
    <w:rsid w:val="00883DD8"/>
    <w:rsid w:val="00884C16"/>
    <w:rsid w:val="00885D6F"/>
    <w:rsid w:val="00886094"/>
    <w:rsid w:val="00886CCC"/>
    <w:rsid w:val="00886DC1"/>
    <w:rsid w:val="0089009B"/>
    <w:rsid w:val="0089094D"/>
    <w:rsid w:val="00891883"/>
    <w:rsid w:val="00891EA4"/>
    <w:rsid w:val="008922CE"/>
    <w:rsid w:val="0089239F"/>
    <w:rsid w:val="008924AA"/>
    <w:rsid w:val="00892815"/>
    <w:rsid w:val="00892D28"/>
    <w:rsid w:val="008933E2"/>
    <w:rsid w:val="008941D8"/>
    <w:rsid w:val="00894ADA"/>
    <w:rsid w:val="00895C69"/>
    <w:rsid w:val="00895D46"/>
    <w:rsid w:val="0089776F"/>
    <w:rsid w:val="00897988"/>
    <w:rsid w:val="008A284D"/>
    <w:rsid w:val="008A3829"/>
    <w:rsid w:val="008A3B01"/>
    <w:rsid w:val="008A55F5"/>
    <w:rsid w:val="008B016D"/>
    <w:rsid w:val="008B2E78"/>
    <w:rsid w:val="008B3654"/>
    <w:rsid w:val="008B591B"/>
    <w:rsid w:val="008B65AE"/>
    <w:rsid w:val="008B7151"/>
    <w:rsid w:val="008C0891"/>
    <w:rsid w:val="008C2EDE"/>
    <w:rsid w:val="008C2FDB"/>
    <w:rsid w:val="008C36DE"/>
    <w:rsid w:val="008C3C77"/>
    <w:rsid w:val="008C3D36"/>
    <w:rsid w:val="008C3FF8"/>
    <w:rsid w:val="008C43EA"/>
    <w:rsid w:val="008C63E3"/>
    <w:rsid w:val="008C7188"/>
    <w:rsid w:val="008C7FB3"/>
    <w:rsid w:val="008D17C1"/>
    <w:rsid w:val="008D17FA"/>
    <w:rsid w:val="008D2A1E"/>
    <w:rsid w:val="008D4470"/>
    <w:rsid w:val="008D4873"/>
    <w:rsid w:val="008D4E35"/>
    <w:rsid w:val="008D6372"/>
    <w:rsid w:val="008D78D9"/>
    <w:rsid w:val="008D7BC1"/>
    <w:rsid w:val="008E007E"/>
    <w:rsid w:val="008E2BAE"/>
    <w:rsid w:val="008E368F"/>
    <w:rsid w:val="008E6033"/>
    <w:rsid w:val="008E63D4"/>
    <w:rsid w:val="008E67A4"/>
    <w:rsid w:val="008F08D7"/>
    <w:rsid w:val="008F0CF9"/>
    <w:rsid w:val="008F1DFA"/>
    <w:rsid w:val="008F2BB8"/>
    <w:rsid w:val="008F3620"/>
    <w:rsid w:val="008F443B"/>
    <w:rsid w:val="008F4CC5"/>
    <w:rsid w:val="008F5DF3"/>
    <w:rsid w:val="008F6717"/>
    <w:rsid w:val="008F69B8"/>
    <w:rsid w:val="00904271"/>
    <w:rsid w:val="0090564D"/>
    <w:rsid w:val="009060F1"/>
    <w:rsid w:val="0090682D"/>
    <w:rsid w:val="009068A1"/>
    <w:rsid w:val="0090779B"/>
    <w:rsid w:val="009103EB"/>
    <w:rsid w:val="00910612"/>
    <w:rsid w:val="00911BE9"/>
    <w:rsid w:val="0091393A"/>
    <w:rsid w:val="00913C57"/>
    <w:rsid w:val="00914618"/>
    <w:rsid w:val="00914856"/>
    <w:rsid w:val="009149FD"/>
    <w:rsid w:val="00914ED2"/>
    <w:rsid w:val="009152B0"/>
    <w:rsid w:val="009161B8"/>
    <w:rsid w:val="00916247"/>
    <w:rsid w:val="00920643"/>
    <w:rsid w:val="00920742"/>
    <w:rsid w:val="00920B1D"/>
    <w:rsid w:val="00920EE2"/>
    <w:rsid w:val="00921445"/>
    <w:rsid w:val="0092190B"/>
    <w:rsid w:val="00922435"/>
    <w:rsid w:val="00922840"/>
    <w:rsid w:val="00922DDC"/>
    <w:rsid w:val="00922EBE"/>
    <w:rsid w:val="00923534"/>
    <w:rsid w:val="009243DD"/>
    <w:rsid w:val="00924408"/>
    <w:rsid w:val="00924545"/>
    <w:rsid w:val="00924B90"/>
    <w:rsid w:val="00926E1C"/>
    <w:rsid w:val="00930103"/>
    <w:rsid w:val="00932248"/>
    <w:rsid w:val="0093276E"/>
    <w:rsid w:val="009329AB"/>
    <w:rsid w:val="00932C69"/>
    <w:rsid w:val="00932C6E"/>
    <w:rsid w:val="00933C08"/>
    <w:rsid w:val="0093419A"/>
    <w:rsid w:val="00935B97"/>
    <w:rsid w:val="00936450"/>
    <w:rsid w:val="00941F84"/>
    <w:rsid w:val="00943254"/>
    <w:rsid w:val="009463E5"/>
    <w:rsid w:val="00946BE0"/>
    <w:rsid w:val="00951476"/>
    <w:rsid w:val="00955A98"/>
    <w:rsid w:val="00955EA8"/>
    <w:rsid w:val="00956A7A"/>
    <w:rsid w:val="00957554"/>
    <w:rsid w:val="00957DFC"/>
    <w:rsid w:val="00957ECC"/>
    <w:rsid w:val="00962931"/>
    <w:rsid w:val="00963174"/>
    <w:rsid w:val="00964CEF"/>
    <w:rsid w:val="00967896"/>
    <w:rsid w:val="00970C45"/>
    <w:rsid w:val="00970D55"/>
    <w:rsid w:val="00971003"/>
    <w:rsid w:val="00971617"/>
    <w:rsid w:val="00974BBC"/>
    <w:rsid w:val="00975FA2"/>
    <w:rsid w:val="0097653C"/>
    <w:rsid w:val="00977C55"/>
    <w:rsid w:val="00980AE1"/>
    <w:rsid w:val="00981A55"/>
    <w:rsid w:val="0098321E"/>
    <w:rsid w:val="009833FB"/>
    <w:rsid w:val="00983726"/>
    <w:rsid w:val="00983E10"/>
    <w:rsid w:val="00984052"/>
    <w:rsid w:val="0098592E"/>
    <w:rsid w:val="00986752"/>
    <w:rsid w:val="00986C07"/>
    <w:rsid w:val="00986EF8"/>
    <w:rsid w:val="00987357"/>
    <w:rsid w:val="00990599"/>
    <w:rsid w:val="00991591"/>
    <w:rsid w:val="00993692"/>
    <w:rsid w:val="009944E2"/>
    <w:rsid w:val="00994E5B"/>
    <w:rsid w:val="00996354"/>
    <w:rsid w:val="009963F5"/>
    <w:rsid w:val="009A04D3"/>
    <w:rsid w:val="009A2616"/>
    <w:rsid w:val="009A2B68"/>
    <w:rsid w:val="009A4A93"/>
    <w:rsid w:val="009A5FAC"/>
    <w:rsid w:val="009A79B1"/>
    <w:rsid w:val="009B4562"/>
    <w:rsid w:val="009B49A4"/>
    <w:rsid w:val="009B4E32"/>
    <w:rsid w:val="009B579C"/>
    <w:rsid w:val="009B6348"/>
    <w:rsid w:val="009B6893"/>
    <w:rsid w:val="009B6BA8"/>
    <w:rsid w:val="009B6D71"/>
    <w:rsid w:val="009B704D"/>
    <w:rsid w:val="009B7511"/>
    <w:rsid w:val="009B7F98"/>
    <w:rsid w:val="009C053F"/>
    <w:rsid w:val="009C1BA5"/>
    <w:rsid w:val="009C1E54"/>
    <w:rsid w:val="009C31B7"/>
    <w:rsid w:val="009C39F5"/>
    <w:rsid w:val="009C3DF0"/>
    <w:rsid w:val="009C4BE6"/>
    <w:rsid w:val="009C5078"/>
    <w:rsid w:val="009C53F4"/>
    <w:rsid w:val="009C603B"/>
    <w:rsid w:val="009C60D5"/>
    <w:rsid w:val="009C6D0B"/>
    <w:rsid w:val="009C7CF1"/>
    <w:rsid w:val="009D1EC1"/>
    <w:rsid w:val="009D4887"/>
    <w:rsid w:val="009D6A45"/>
    <w:rsid w:val="009D75DD"/>
    <w:rsid w:val="009E0C39"/>
    <w:rsid w:val="009E1718"/>
    <w:rsid w:val="009E452B"/>
    <w:rsid w:val="009E7493"/>
    <w:rsid w:val="009F041A"/>
    <w:rsid w:val="009F1348"/>
    <w:rsid w:val="009F1A26"/>
    <w:rsid w:val="009F2BD1"/>
    <w:rsid w:val="009F3056"/>
    <w:rsid w:val="009F4BDE"/>
    <w:rsid w:val="009F4C30"/>
    <w:rsid w:val="009F5744"/>
    <w:rsid w:val="009F5976"/>
    <w:rsid w:val="009F712F"/>
    <w:rsid w:val="009F739C"/>
    <w:rsid w:val="00A02A53"/>
    <w:rsid w:val="00A03421"/>
    <w:rsid w:val="00A03E74"/>
    <w:rsid w:val="00A0407B"/>
    <w:rsid w:val="00A10624"/>
    <w:rsid w:val="00A1123E"/>
    <w:rsid w:val="00A1406C"/>
    <w:rsid w:val="00A14184"/>
    <w:rsid w:val="00A1454E"/>
    <w:rsid w:val="00A14B7E"/>
    <w:rsid w:val="00A14CB8"/>
    <w:rsid w:val="00A1652C"/>
    <w:rsid w:val="00A169E4"/>
    <w:rsid w:val="00A16E47"/>
    <w:rsid w:val="00A2436F"/>
    <w:rsid w:val="00A24C7E"/>
    <w:rsid w:val="00A26BDF"/>
    <w:rsid w:val="00A27B4A"/>
    <w:rsid w:val="00A30820"/>
    <w:rsid w:val="00A30DD1"/>
    <w:rsid w:val="00A3142D"/>
    <w:rsid w:val="00A31F81"/>
    <w:rsid w:val="00A32594"/>
    <w:rsid w:val="00A32BD7"/>
    <w:rsid w:val="00A3337B"/>
    <w:rsid w:val="00A33A3A"/>
    <w:rsid w:val="00A35FD9"/>
    <w:rsid w:val="00A41052"/>
    <w:rsid w:val="00A41EFA"/>
    <w:rsid w:val="00A42234"/>
    <w:rsid w:val="00A42858"/>
    <w:rsid w:val="00A45073"/>
    <w:rsid w:val="00A450D4"/>
    <w:rsid w:val="00A4531A"/>
    <w:rsid w:val="00A511BF"/>
    <w:rsid w:val="00A53FA6"/>
    <w:rsid w:val="00A569D6"/>
    <w:rsid w:val="00A60E83"/>
    <w:rsid w:val="00A61A62"/>
    <w:rsid w:val="00A61EEA"/>
    <w:rsid w:val="00A62F8B"/>
    <w:rsid w:val="00A63019"/>
    <w:rsid w:val="00A632D7"/>
    <w:rsid w:val="00A638C8"/>
    <w:rsid w:val="00A63CCC"/>
    <w:rsid w:val="00A63CE8"/>
    <w:rsid w:val="00A64492"/>
    <w:rsid w:val="00A64D86"/>
    <w:rsid w:val="00A66D7C"/>
    <w:rsid w:val="00A66DDA"/>
    <w:rsid w:val="00A72105"/>
    <w:rsid w:val="00A72F88"/>
    <w:rsid w:val="00A74F44"/>
    <w:rsid w:val="00A754D0"/>
    <w:rsid w:val="00A7660F"/>
    <w:rsid w:val="00A842F0"/>
    <w:rsid w:val="00A84CAE"/>
    <w:rsid w:val="00A86706"/>
    <w:rsid w:val="00A86DC4"/>
    <w:rsid w:val="00A90FAA"/>
    <w:rsid w:val="00A91AC0"/>
    <w:rsid w:val="00A91C9D"/>
    <w:rsid w:val="00A928E4"/>
    <w:rsid w:val="00A92CBC"/>
    <w:rsid w:val="00A93732"/>
    <w:rsid w:val="00A93AEC"/>
    <w:rsid w:val="00A95508"/>
    <w:rsid w:val="00A95994"/>
    <w:rsid w:val="00A95BED"/>
    <w:rsid w:val="00A96238"/>
    <w:rsid w:val="00AA010D"/>
    <w:rsid w:val="00AA1950"/>
    <w:rsid w:val="00AA3595"/>
    <w:rsid w:val="00AA5ECD"/>
    <w:rsid w:val="00AA6BE2"/>
    <w:rsid w:val="00AA759D"/>
    <w:rsid w:val="00AB03A5"/>
    <w:rsid w:val="00AB1265"/>
    <w:rsid w:val="00AB2675"/>
    <w:rsid w:val="00AB32D4"/>
    <w:rsid w:val="00AB348C"/>
    <w:rsid w:val="00AB3FC5"/>
    <w:rsid w:val="00AB5394"/>
    <w:rsid w:val="00AC14D5"/>
    <w:rsid w:val="00AC2943"/>
    <w:rsid w:val="00AC332C"/>
    <w:rsid w:val="00AC6E31"/>
    <w:rsid w:val="00AC773A"/>
    <w:rsid w:val="00AD2528"/>
    <w:rsid w:val="00AD28F8"/>
    <w:rsid w:val="00AD33BC"/>
    <w:rsid w:val="00AD3D3B"/>
    <w:rsid w:val="00AD463C"/>
    <w:rsid w:val="00AD4DE9"/>
    <w:rsid w:val="00AD593F"/>
    <w:rsid w:val="00AD5FC8"/>
    <w:rsid w:val="00AD61D6"/>
    <w:rsid w:val="00AD6ABD"/>
    <w:rsid w:val="00AD76A1"/>
    <w:rsid w:val="00AE0A44"/>
    <w:rsid w:val="00AE102A"/>
    <w:rsid w:val="00AE1135"/>
    <w:rsid w:val="00AE2DC7"/>
    <w:rsid w:val="00AE457A"/>
    <w:rsid w:val="00AE4581"/>
    <w:rsid w:val="00AE45D2"/>
    <w:rsid w:val="00AE4D9F"/>
    <w:rsid w:val="00AE6B14"/>
    <w:rsid w:val="00AE718F"/>
    <w:rsid w:val="00AF04B9"/>
    <w:rsid w:val="00AF1E6F"/>
    <w:rsid w:val="00AF30A3"/>
    <w:rsid w:val="00AF3184"/>
    <w:rsid w:val="00AF3423"/>
    <w:rsid w:val="00AF35D8"/>
    <w:rsid w:val="00AF3651"/>
    <w:rsid w:val="00AF4AD6"/>
    <w:rsid w:val="00AF4BAE"/>
    <w:rsid w:val="00B000B6"/>
    <w:rsid w:val="00B0047A"/>
    <w:rsid w:val="00B01DF7"/>
    <w:rsid w:val="00B025B9"/>
    <w:rsid w:val="00B04334"/>
    <w:rsid w:val="00B04B26"/>
    <w:rsid w:val="00B063B1"/>
    <w:rsid w:val="00B06D9A"/>
    <w:rsid w:val="00B10956"/>
    <w:rsid w:val="00B135A0"/>
    <w:rsid w:val="00B140D7"/>
    <w:rsid w:val="00B15257"/>
    <w:rsid w:val="00B1554B"/>
    <w:rsid w:val="00B15B0C"/>
    <w:rsid w:val="00B1688B"/>
    <w:rsid w:val="00B168B1"/>
    <w:rsid w:val="00B17527"/>
    <w:rsid w:val="00B25156"/>
    <w:rsid w:val="00B25965"/>
    <w:rsid w:val="00B276DC"/>
    <w:rsid w:val="00B27773"/>
    <w:rsid w:val="00B31410"/>
    <w:rsid w:val="00B333C9"/>
    <w:rsid w:val="00B335CF"/>
    <w:rsid w:val="00B35436"/>
    <w:rsid w:val="00B36BF5"/>
    <w:rsid w:val="00B37E61"/>
    <w:rsid w:val="00B4070F"/>
    <w:rsid w:val="00B42823"/>
    <w:rsid w:val="00B42A58"/>
    <w:rsid w:val="00B4408E"/>
    <w:rsid w:val="00B448AA"/>
    <w:rsid w:val="00B4781E"/>
    <w:rsid w:val="00B5188A"/>
    <w:rsid w:val="00B51990"/>
    <w:rsid w:val="00B52B19"/>
    <w:rsid w:val="00B52BA9"/>
    <w:rsid w:val="00B53530"/>
    <w:rsid w:val="00B53E78"/>
    <w:rsid w:val="00B54D37"/>
    <w:rsid w:val="00B566F4"/>
    <w:rsid w:val="00B57EC5"/>
    <w:rsid w:val="00B57FDF"/>
    <w:rsid w:val="00B60D75"/>
    <w:rsid w:val="00B610D4"/>
    <w:rsid w:val="00B627CD"/>
    <w:rsid w:val="00B62A53"/>
    <w:rsid w:val="00B646E3"/>
    <w:rsid w:val="00B65A2F"/>
    <w:rsid w:val="00B671FB"/>
    <w:rsid w:val="00B70B37"/>
    <w:rsid w:val="00B71BC3"/>
    <w:rsid w:val="00B724AD"/>
    <w:rsid w:val="00B73F33"/>
    <w:rsid w:val="00B740F6"/>
    <w:rsid w:val="00B7478D"/>
    <w:rsid w:val="00B752EE"/>
    <w:rsid w:val="00B8139E"/>
    <w:rsid w:val="00B81F54"/>
    <w:rsid w:val="00B83A8E"/>
    <w:rsid w:val="00B83EE9"/>
    <w:rsid w:val="00B840A2"/>
    <w:rsid w:val="00B84C01"/>
    <w:rsid w:val="00B85F31"/>
    <w:rsid w:val="00B85FA3"/>
    <w:rsid w:val="00B86478"/>
    <w:rsid w:val="00B90393"/>
    <w:rsid w:val="00B90A77"/>
    <w:rsid w:val="00B9158E"/>
    <w:rsid w:val="00B92115"/>
    <w:rsid w:val="00B955C1"/>
    <w:rsid w:val="00B95BC5"/>
    <w:rsid w:val="00B9637F"/>
    <w:rsid w:val="00B9638B"/>
    <w:rsid w:val="00B964E9"/>
    <w:rsid w:val="00B97DA0"/>
    <w:rsid w:val="00BA1B3C"/>
    <w:rsid w:val="00BA24F1"/>
    <w:rsid w:val="00BA2842"/>
    <w:rsid w:val="00BA29B0"/>
    <w:rsid w:val="00BA36F3"/>
    <w:rsid w:val="00BA42A8"/>
    <w:rsid w:val="00BA6241"/>
    <w:rsid w:val="00BB025C"/>
    <w:rsid w:val="00BB17B7"/>
    <w:rsid w:val="00BB1924"/>
    <w:rsid w:val="00BB305F"/>
    <w:rsid w:val="00BB543E"/>
    <w:rsid w:val="00BB5CC9"/>
    <w:rsid w:val="00BB5FB5"/>
    <w:rsid w:val="00BB7290"/>
    <w:rsid w:val="00BB74ED"/>
    <w:rsid w:val="00BC016D"/>
    <w:rsid w:val="00BC0318"/>
    <w:rsid w:val="00BC0BC8"/>
    <w:rsid w:val="00BC3800"/>
    <w:rsid w:val="00BC4B9B"/>
    <w:rsid w:val="00BC64FD"/>
    <w:rsid w:val="00BC6EBD"/>
    <w:rsid w:val="00BC7EE6"/>
    <w:rsid w:val="00BD07C6"/>
    <w:rsid w:val="00BD2AD6"/>
    <w:rsid w:val="00BD4196"/>
    <w:rsid w:val="00BD4518"/>
    <w:rsid w:val="00BD500C"/>
    <w:rsid w:val="00BD6510"/>
    <w:rsid w:val="00BE052F"/>
    <w:rsid w:val="00BE1014"/>
    <w:rsid w:val="00BE2AF8"/>
    <w:rsid w:val="00BE362C"/>
    <w:rsid w:val="00BE43A5"/>
    <w:rsid w:val="00BE5B28"/>
    <w:rsid w:val="00BE77F3"/>
    <w:rsid w:val="00BE7A6D"/>
    <w:rsid w:val="00BF0DE6"/>
    <w:rsid w:val="00BF15E3"/>
    <w:rsid w:val="00BF1DCE"/>
    <w:rsid w:val="00BF2436"/>
    <w:rsid w:val="00BF46B5"/>
    <w:rsid w:val="00BF6992"/>
    <w:rsid w:val="00BF69AB"/>
    <w:rsid w:val="00C009C1"/>
    <w:rsid w:val="00C00F5C"/>
    <w:rsid w:val="00C01431"/>
    <w:rsid w:val="00C0282A"/>
    <w:rsid w:val="00C14BAB"/>
    <w:rsid w:val="00C16A79"/>
    <w:rsid w:val="00C17011"/>
    <w:rsid w:val="00C17B6A"/>
    <w:rsid w:val="00C22018"/>
    <w:rsid w:val="00C22C81"/>
    <w:rsid w:val="00C22EFB"/>
    <w:rsid w:val="00C23536"/>
    <w:rsid w:val="00C23CD7"/>
    <w:rsid w:val="00C241E3"/>
    <w:rsid w:val="00C24942"/>
    <w:rsid w:val="00C2572C"/>
    <w:rsid w:val="00C272DB"/>
    <w:rsid w:val="00C275BE"/>
    <w:rsid w:val="00C320A2"/>
    <w:rsid w:val="00C32A34"/>
    <w:rsid w:val="00C32AA9"/>
    <w:rsid w:val="00C33CD3"/>
    <w:rsid w:val="00C40A27"/>
    <w:rsid w:val="00C4255F"/>
    <w:rsid w:val="00C42FB8"/>
    <w:rsid w:val="00C43362"/>
    <w:rsid w:val="00C4337D"/>
    <w:rsid w:val="00C4397E"/>
    <w:rsid w:val="00C47577"/>
    <w:rsid w:val="00C47A64"/>
    <w:rsid w:val="00C503D4"/>
    <w:rsid w:val="00C523F3"/>
    <w:rsid w:val="00C535BF"/>
    <w:rsid w:val="00C535C0"/>
    <w:rsid w:val="00C55CD8"/>
    <w:rsid w:val="00C55DC1"/>
    <w:rsid w:val="00C57C5A"/>
    <w:rsid w:val="00C611AF"/>
    <w:rsid w:val="00C661F4"/>
    <w:rsid w:val="00C66895"/>
    <w:rsid w:val="00C67577"/>
    <w:rsid w:val="00C7089E"/>
    <w:rsid w:val="00C715DD"/>
    <w:rsid w:val="00C71ACE"/>
    <w:rsid w:val="00C74227"/>
    <w:rsid w:val="00C74B24"/>
    <w:rsid w:val="00C8140B"/>
    <w:rsid w:val="00C82F7A"/>
    <w:rsid w:val="00C85777"/>
    <w:rsid w:val="00C85940"/>
    <w:rsid w:val="00C861C1"/>
    <w:rsid w:val="00C868D6"/>
    <w:rsid w:val="00C86D29"/>
    <w:rsid w:val="00C936A3"/>
    <w:rsid w:val="00C936B8"/>
    <w:rsid w:val="00C9389E"/>
    <w:rsid w:val="00C93D60"/>
    <w:rsid w:val="00C95538"/>
    <w:rsid w:val="00C967A9"/>
    <w:rsid w:val="00C970ED"/>
    <w:rsid w:val="00C9798B"/>
    <w:rsid w:val="00CA0880"/>
    <w:rsid w:val="00CA21D8"/>
    <w:rsid w:val="00CA32EF"/>
    <w:rsid w:val="00CA33F7"/>
    <w:rsid w:val="00CA399A"/>
    <w:rsid w:val="00CA53D9"/>
    <w:rsid w:val="00CB2FB8"/>
    <w:rsid w:val="00CB30D4"/>
    <w:rsid w:val="00CB3D6C"/>
    <w:rsid w:val="00CB421C"/>
    <w:rsid w:val="00CB553B"/>
    <w:rsid w:val="00CB5A50"/>
    <w:rsid w:val="00CB6EBC"/>
    <w:rsid w:val="00CB76B9"/>
    <w:rsid w:val="00CC01BC"/>
    <w:rsid w:val="00CC03F5"/>
    <w:rsid w:val="00CC0B1E"/>
    <w:rsid w:val="00CC1E31"/>
    <w:rsid w:val="00CC5D58"/>
    <w:rsid w:val="00CC6FAB"/>
    <w:rsid w:val="00CD6425"/>
    <w:rsid w:val="00CD6913"/>
    <w:rsid w:val="00CE0F41"/>
    <w:rsid w:val="00CE18F8"/>
    <w:rsid w:val="00CE2638"/>
    <w:rsid w:val="00CE5D54"/>
    <w:rsid w:val="00CF007D"/>
    <w:rsid w:val="00CF092E"/>
    <w:rsid w:val="00CF1821"/>
    <w:rsid w:val="00CF2DF2"/>
    <w:rsid w:val="00CF4244"/>
    <w:rsid w:val="00CF6A20"/>
    <w:rsid w:val="00D00AFE"/>
    <w:rsid w:val="00D0118E"/>
    <w:rsid w:val="00D04709"/>
    <w:rsid w:val="00D070EB"/>
    <w:rsid w:val="00D10C5E"/>
    <w:rsid w:val="00D13059"/>
    <w:rsid w:val="00D14295"/>
    <w:rsid w:val="00D15002"/>
    <w:rsid w:val="00D1541F"/>
    <w:rsid w:val="00D15A0A"/>
    <w:rsid w:val="00D161B3"/>
    <w:rsid w:val="00D16581"/>
    <w:rsid w:val="00D201F0"/>
    <w:rsid w:val="00D2192D"/>
    <w:rsid w:val="00D222DE"/>
    <w:rsid w:val="00D223AB"/>
    <w:rsid w:val="00D23E97"/>
    <w:rsid w:val="00D25ACB"/>
    <w:rsid w:val="00D27BF4"/>
    <w:rsid w:val="00D32546"/>
    <w:rsid w:val="00D33887"/>
    <w:rsid w:val="00D348B4"/>
    <w:rsid w:val="00D34C1B"/>
    <w:rsid w:val="00D3641E"/>
    <w:rsid w:val="00D3745C"/>
    <w:rsid w:val="00D41461"/>
    <w:rsid w:val="00D41CE0"/>
    <w:rsid w:val="00D42C2F"/>
    <w:rsid w:val="00D4347D"/>
    <w:rsid w:val="00D44392"/>
    <w:rsid w:val="00D45578"/>
    <w:rsid w:val="00D46C33"/>
    <w:rsid w:val="00D47F81"/>
    <w:rsid w:val="00D50436"/>
    <w:rsid w:val="00D505CA"/>
    <w:rsid w:val="00D53750"/>
    <w:rsid w:val="00D55E17"/>
    <w:rsid w:val="00D61C6E"/>
    <w:rsid w:val="00D63766"/>
    <w:rsid w:val="00D63BB5"/>
    <w:rsid w:val="00D64562"/>
    <w:rsid w:val="00D65909"/>
    <w:rsid w:val="00D67F34"/>
    <w:rsid w:val="00D70F87"/>
    <w:rsid w:val="00D721B0"/>
    <w:rsid w:val="00D725A8"/>
    <w:rsid w:val="00D73A4D"/>
    <w:rsid w:val="00D73C51"/>
    <w:rsid w:val="00D77E13"/>
    <w:rsid w:val="00D80CD5"/>
    <w:rsid w:val="00D834EE"/>
    <w:rsid w:val="00D83D3C"/>
    <w:rsid w:val="00D859F0"/>
    <w:rsid w:val="00D85BFE"/>
    <w:rsid w:val="00D862E6"/>
    <w:rsid w:val="00D86B3D"/>
    <w:rsid w:val="00D87096"/>
    <w:rsid w:val="00D87B55"/>
    <w:rsid w:val="00D92422"/>
    <w:rsid w:val="00D924E0"/>
    <w:rsid w:val="00D92AFA"/>
    <w:rsid w:val="00D93CEC"/>
    <w:rsid w:val="00D94FB2"/>
    <w:rsid w:val="00D961FB"/>
    <w:rsid w:val="00D96DFE"/>
    <w:rsid w:val="00D973B5"/>
    <w:rsid w:val="00DA1DC1"/>
    <w:rsid w:val="00DA234B"/>
    <w:rsid w:val="00DA351D"/>
    <w:rsid w:val="00DA425B"/>
    <w:rsid w:val="00DA66A2"/>
    <w:rsid w:val="00DA798D"/>
    <w:rsid w:val="00DB1A21"/>
    <w:rsid w:val="00DB3520"/>
    <w:rsid w:val="00DB35ED"/>
    <w:rsid w:val="00DB4CAF"/>
    <w:rsid w:val="00DB502F"/>
    <w:rsid w:val="00DB5B32"/>
    <w:rsid w:val="00DB62F3"/>
    <w:rsid w:val="00DC005A"/>
    <w:rsid w:val="00DC1321"/>
    <w:rsid w:val="00DC158C"/>
    <w:rsid w:val="00DC2AF4"/>
    <w:rsid w:val="00DC3006"/>
    <w:rsid w:val="00DC582B"/>
    <w:rsid w:val="00DC5A9F"/>
    <w:rsid w:val="00DC694B"/>
    <w:rsid w:val="00DD1C3F"/>
    <w:rsid w:val="00DD2BFC"/>
    <w:rsid w:val="00DD2DC9"/>
    <w:rsid w:val="00DD3500"/>
    <w:rsid w:val="00DD3741"/>
    <w:rsid w:val="00DD5230"/>
    <w:rsid w:val="00DD610C"/>
    <w:rsid w:val="00DD74E3"/>
    <w:rsid w:val="00DD7557"/>
    <w:rsid w:val="00DE164A"/>
    <w:rsid w:val="00DE377D"/>
    <w:rsid w:val="00DE3CCC"/>
    <w:rsid w:val="00DE3DF1"/>
    <w:rsid w:val="00DE4DDB"/>
    <w:rsid w:val="00DE4EF4"/>
    <w:rsid w:val="00DE7B12"/>
    <w:rsid w:val="00DF04E2"/>
    <w:rsid w:val="00DF21AF"/>
    <w:rsid w:val="00DF454E"/>
    <w:rsid w:val="00DF48B9"/>
    <w:rsid w:val="00DF5FDA"/>
    <w:rsid w:val="00DF65EA"/>
    <w:rsid w:val="00DF7106"/>
    <w:rsid w:val="00E02D09"/>
    <w:rsid w:val="00E04B0F"/>
    <w:rsid w:val="00E05C07"/>
    <w:rsid w:val="00E07759"/>
    <w:rsid w:val="00E106BC"/>
    <w:rsid w:val="00E1185E"/>
    <w:rsid w:val="00E11B90"/>
    <w:rsid w:val="00E13C90"/>
    <w:rsid w:val="00E142AE"/>
    <w:rsid w:val="00E161A8"/>
    <w:rsid w:val="00E16343"/>
    <w:rsid w:val="00E1753E"/>
    <w:rsid w:val="00E17836"/>
    <w:rsid w:val="00E17860"/>
    <w:rsid w:val="00E20C41"/>
    <w:rsid w:val="00E233DC"/>
    <w:rsid w:val="00E23CE2"/>
    <w:rsid w:val="00E2776E"/>
    <w:rsid w:val="00E3167D"/>
    <w:rsid w:val="00E31934"/>
    <w:rsid w:val="00E34C92"/>
    <w:rsid w:val="00E35114"/>
    <w:rsid w:val="00E35A44"/>
    <w:rsid w:val="00E37D81"/>
    <w:rsid w:val="00E410F4"/>
    <w:rsid w:val="00E41FFD"/>
    <w:rsid w:val="00E42C6C"/>
    <w:rsid w:val="00E43494"/>
    <w:rsid w:val="00E45337"/>
    <w:rsid w:val="00E46F66"/>
    <w:rsid w:val="00E54275"/>
    <w:rsid w:val="00E549F1"/>
    <w:rsid w:val="00E54B02"/>
    <w:rsid w:val="00E5585D"/>
    <w:rsid w:val="00E577E8"/>
    <w:rsid w:val="00E610A2"/>
    <w:rsid w:val="00E62245"/>
    <w:rsid w:val="00E64FB7"/>
    <w:rsid w:val="00E7139A"/>
    <w:rsid w:val="00E719A8"/>
    <w:rsid w:val="00E72FEB"/>
    <w:rsid w:val="00E7460E"/>
    <w:rsid w:val="00E75B5D"/>
    <w:rsid w:val="00E75EDC"/>
    <w:rsid w:val="00E76390"/>
    <w:rsid w:val="00E769CE"/>
    <w:rsid w:val="00E81FB0"/>
    <w:rsid w:val="00E82469"/>
    <w:rsid w:val="00E83752"/>
    <w:rsid w:val="00E85905"/>
    <w:rsid w:val="00E8618C"/>
    <w:rsid w:val="00E875E9"/>
    <w:rsid w:val="00E87686"/>
    <w:rsid w:val="00E8795D"/>
    <w:rsid w:val="00E92246"/>
    <w:rsid w:val="00E9297D"/>
    <w:rsid w:val="00E946F2"/>
    <w:rsid w:val="00E9550E"/>
    <w:rsid w:val="00E95CA4"/>
    <w:rsid w:val="00EA0D0F"/>
    <w:rsid w:val="00EA13BF"/>
    <w:rsid w:val="00EA2DE6"/>
    <w:rsid w:val="00EA3E4B"/>
    <w:rsid w:val="00EA4414"/>
    <w:rsid w:val="00EA6427"/>
    <w:rsid w:val="00EA6DB1"/>
    <w:rsid w:val="00EB0C4C"/>
    <w:rsid w:val="00EB1E59"/>
    <w:rsid w:val="00EB1F37"/>
    <w:rsid w:val="00EB2009"/>
    <w:rsid w:val="00EB4557"/>
    <w:rsid w:val="00EC032E"/>
    <w:rsid w:val="00EC09B3"/>
    <w:rsid w:val="00EC187A"/>
    <w:rsid w:val="00EC1D7B"/>
    <w:rsid w:val="00EC2BE5"/>
    <w:rsid w:val="00EC43C0"/>
    <w:rsid w:val="00EC4DAD"/>
    <w:rsid w:val="00EC4F07"/>
    <w:rsid w:val="00EC5032"/>
    <w:rsid w:val="00EC52A2"/>
    <w:rsid w:val="00EC6A41"/>
    <w:rsid w:val="00EC6BF6"/>
    <w:rsid w:val="00EC7AB5"/>
    <w:rsid w:val="00ED3D28"/>
    <w:rsid w:val="00ED602E"/>
    <w:rsid w:val="00ED6064"/>
    <w:rsid w:val="00ED7156"/>
    <w:rsid w:val="00ED7516"/>
    <w:rsid w:val="00ED769B"/>
    <w:rsid w:val="00EE00F8"/>
    <w:rsid w:val="00EE0D1C"/>
    <w:rsid w:val="00EE0D86"/>
    <w:rsid w:val="00EE1C0D"/>
    <w:rsid w:val="00EE1C86"/>
    <w:rsid w:val="00EE29BA"/>
    <w:rsid w:val="00EE4C6C"/>
    <w:rsid w:val="00EE7136"/>
    <w:rsid w:val="00EE7803"/>
    <w:rsid w:val="00EF0DB3"/>
    <w:rsid w:val="00EF1BB2"/>
    <w:rsid w:val="00EF2020"/>
    <w:rsid w:val="00EF20EB"/>
    <w:rsid w:val="00EF2FA2"/>
    <w:rsid w:val="00EF3ECF"/>
    <w:rsid w:val="00EF3F5F"/>
    <w:rsid w:val="00EF4BB5"/>
    <w:rsid w:val="00EF7B82"/>
    <w:rsid w:val="00EF7CC3"/>
    <w:rsid w:val="00F0041C"/>
    <w:rsid w:val="00F0165F"/>
    <w:rsid w:val="00F02258"/>
    <w:rsid w:val="00F02B7E"/>
    <w:rsid w:val="00F03BBF"/>
    <w:rsid w:val="00F04B15"/>
    <w:rsid w:val="00F051A6"/>
    <w:rsid w:val="00F0582E"/>
    <w:rsid w:val="00F0585F"/>
    <w:rsid w:val="00F05DB4"/>
    <w:rsid w:val="00F0636D"/>
    <w:rsid w:val="00F06FFD"/>
    <w:rsid w:val="00F0759D"/>
    <w:rsid w:val="00F0783A"/>
    <w:rsid w:val="00F11C84"/>
    <w:rsid w:val="00F1264F"/>
    <w:rsid w:val="00F13142"/>
    <w:rsid w:val="00F134E5"/>
    <w:rsid w:val="00F14203"/>
    <w:rsid w:val="00F14251"/>
    <w:rsid w:val="00F1523E"/>
    <w:rsid w:val="00F15A94"/>
    <w:rsid w:val="00F16133"/>
    <w:rsid w:val="00F17659"/>
    <w:rsid w:val="00F2109B"/>
    <w:rsid w:val="00F21A17"/>
    <w:rsid w:val="00F22F15"/>
    <w:rsid w:val="00F232BF"/>
    <w:rsid w:val="00F265C8"/>
    <w:rsid w:val="00F27115"/>
    <w:rsid w:val="00F30F4C"/>
    <w:rsid w:val="00F32A18"/>
    <w:rsid w:val="00F33EFD"/>
    <w:rsid w:val="00F33F20"/>
    <w:rsid w:val="00F35375"/>
    <w:rsid w:val="00F43159"/>
    <w:rsid w:val="00F45EFD"/>
    <w:rsid w:val="00F47967"/>
    <w:rsid w:val="00F47DB6"/>
    <w:rsid w:val="00F51E26"/>
    <w:rsid w:val="00F52A82"/>
    <w:rsid w:val="00F536D1"/>
    <w:rsid w:val="00F5414C"/>
    <w:rsid w:val="00F5471A"/>
    <w:rsid w:val="00F54A1C"/>
    <w:rsid w:val="00F54CBA"/>
    <w:rsid w:val="00F55111"/>
    <w:rsid w:val="00F569B3"/>
    <w:rsid w:val="00F571DA"/>
    <w:rsid w:val="00F64BC8"/>
    <w:rsid w:val="00F65717"/>
    <w:rsid w:val="00F67582"/>
    <w:rsid w:val="00F67F39"/>
    <w:rsid w:val="00F717C8"/>
    <w:rsid w:val="00F722A9"/>
    <w:rsid w:val="00F73976"/>
    <w:rsid w:val="00F73BE5"/>
    <w:rsid w:val="00F7411C"/>
    <w:rsid w:val="00F74365"/>
    <w:rsid w:val="00F74A92"/>
    <w:rsid w:val="00F74AF2"/>
    <w:rsid w:val="00F7536E"/>
    <w:rsid w:val="00F776BD"/>
    <w:rsid w:val="00F77866"/>
    <w:rsid w:val="00F802D5"/>
    <w:rsid w:val="00F80539"/>
    <w:rsid w:val="00F81D06"/>
    <w:rsid w:val="00F823C5"/>
    <w:rsid w:val="00F85F31"/>
    <w:rsid w:val="00F8643A"/>
    <w:rsid w:val="00F87419"/>
    <w:rsid w:val="00F90139"/>
    <w:rsid w:val="00F9033B"/>
    <w:rsid w:val="00F90A89"/>
    <w:rsid w:val="00F91DE5"/>
    <w:rsid w:val="00F92DA8"/>
    <w:rsid w:val="00F92EF4"/>
    <w:rsid w:val="00F94F44"/>
    <w:rsid w:val="00F9744D"/>
    <w:rsid w:val="00FA0909"/>
    <w:rsid w:val="00FA273D"/>
    <w:rsid w:val="00FA29CB"/>
    <w:rsid w:val="00FA2C0F"/>
    <w:rsid w:val="00FA2DB8"/>
    <w:rsid w:val="00FA5DE8"/>
    <w:rsid w:val="00FA68C4"/>
    <w:rsid w:val="00FA7A78"/>
    <w:rsid w:val="00FB06B9"/>
    <w:rsid w:val="00FB0F12"/>
    <w:rsid w:val="00FB16A5"/>
    <w:rsid w:val="00FB17FC"/>
    <w:rsid w:val="00FB25F3"/>
    <w:rsid w:val="00FB291B"/>
    <w:rsid w:val="00FB3293"/>
    <w:rsid w:val="00FB3E61"/>
    <w:rsid w:val="00FB4988"/>
    <w:rsid w:val="00FC1B15"/>
    <w:rsid w:val="00FC2221"/>
    <w:rsid w:val="00FC3A2A"/>
    <w:rsid w:val="00FC3B7A"/>
    <w:rsid w:val="00FC4265"/>
    <w:rsid w:val="00FC4725"/>
    <w:rsid w:val="00FC5418"/>
    <w:rsid w:val="00FC692E"/>
    <w:rsid w:val="00FD1033"/>
    <w:rsid w:val="00FD3217"/>
    <w:rsid w:val="00FD454E"/>
    <w:rsid w:val="00FD4E83"/>
    <w:rsid w:val="00FD554D"/>
    <w:rsid w:val="00FD5ACF"/>
    <w:rsid w:val="00FD6CB3"/>
    <w:rsid w:val="00FD6FB2"/>
    <w:rsid w:val="00FE0B29"/>
    <w:rsid w:val="00FE13D8"/>
    <w:rsid w:val="00FE186A"/>
    <w:rsid w:val="00FE275D"/>
    <w:rsid w:val="00FE28FE"/>
    <w:rsid w:val="00FE2B3D"/>
    <w:rsid w:val="00FE3737"/>
    <w:rsid w:val="00FE4AC9"/>
    <w:rsid w:val="00FE4C9E"/>
    <w:rsid w:val="00FE5C89"/>
    <w:rsid w:val="00FE6344"/>
    <w:rsid w:val="00FE64A0"/>
    <w:rsid w:val="00FE6664"/>
    <w:rsid w:val="00FF3E89"/>
    <w:rsid w:val="00FF6316"/>
    <w:rsid w:val="00FF6931"/>
    <w:rsid w:val="00FF7621"/>
    <w:rsid w:val="00FF79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C0D"/>
    <w:pPr>
      <w:jc w:val="both"/>
    </w:pPr>
    <w:rPr>
      <w:rFonts w:ascii="Arial Narrow" w:hAnsi="Arial Narrow"/>
      <w:sz w:val="22"/>
      <w:lang w:val="es-ES_tradnl" w:eastAsia="es-ES"/>
    </w:rPr>
  </w:style>
  <w:style w:type="paragraph" w:styleId="Ttulo1">
    <w:name w:val="heading 1"/>
    <w:basedOn w:val="Normal"/>
    <w:next w:val="Normal"/>
    <w:qFormat/>
    <w:rsid w:val="0043236F"/>
    <w:pPr>
      <w:keepNext/>
      <w:spacing w:before="240" w:after="60"/>
      <w:outlineLvl w:val="0"/>
    </w:pPr>
    <w:rPr>
      <w:b/>
      <w:kern w:val="28"/>
    </w:rPr>
  </w:style>
  <w:style w:type="paragraph" w:styleId="Ttulo2">
    <w:name w:val="heading 2"/>
    <w:basedOn w:val="Normal"/>
    <w:next w:val="Normal"/>
    <w:qFormat/>
    <w:rsid w:val="00BA2842"/>
    <w:pPr>
      <w:keepNext/>
      <w:spacing w:before="240" w:after="60"/>
      <w:outlineLvl w:val="1"/>
    </w:pPr>
    <w:rPr>
      <w:rFonts w:ascii="Arial" w:hAnsi="Arial" w:cs="Arial"/>
      <w:b/>
      <w:bCs/>
      <w:i/>
      <w:iCs/>
      <w:sz w:val="28"/>
      <w:szCs w:val="28"/>
    </w:rPr>
  </w:style>
  <w:style w:type="paragraph" w:styleId="Ttulo6">
    <w:name w:val="heading 6"/>
    <w:basedOn w:val="Normal"/>
    <w:next w:val="Normal"/>
    <w:qFormat/>
    <w:rsid w:val="00BA2842"/>
    <w:pPr>
      <w:spacing w:before="240" w:after="60"/>
      <w:outlineLvl w:val="5"/>
    </w:pPr>
    <w:rPr>
      <w:rFonts w:ascii="Times New Roman" w:hAnsi="Times New Roman"/>
      <w:b/>
      <w:bCs/>
      <w:szCs w:val="22"/>
    </w:rPr>
  </w:style>
  <w:style w:type="paragraph" w:styleId="Ttulo7">
    <w:name w:val="heading 7"/>
    <w:basedOn w:val="Normal"/>
    <w:next w:val="Normal"/>
    <w:qFormat/>
    <w:rsid w:val="0043236F"/>
    <w:pPr>
      <w:keepNext/>
      <w:jc w:val="center"/>
      <w:outlineLvl w:val="6"/>
    </w:pPr>
    <w:rPr>
      <w:b/>
      <w:bCs/>
    </w:rPr>
  </w:style>
  <w:style w:type="paragraph" w:styleId="Ttulo8">
    <w:name w:val="heading 8"/>
    <w:basedOn w:val="Normal"/>
    <w:next w:val="Normal"/>
    <w:qFormat/>
    <w:rsid w:val="0043236F"/>
    <w:pPr>
      <w:keepNext/>
      <w:numPr>
        <w:numId w:val="1"/>
      </w:numPr>
      <w:tabs>
        <w:tab w:val="clear" w:pos="720"/>
        <w:tab w:val="num" w:pos="284"/>
      </w:tabs>
      <w:ind w:left="284" w:hanging="284"/>
      <w:outlineLvl w:val="7"/>
    </w:pPr>
    <w:rPr>
      <w:b/>
      <w:bCs/>
    </w:rPr>
  </w:style>
  <w:style w:type="paragraph" w:styleId="Ttulo9">
    <w:name w:val="heading 9"/>
    <w:basedOn w:val="Normal"/>
    <w:next w:val="Normal"/>
    <w:link w:val="Ttulo9Car"/>
    <w:semiHidden/>
    <w:unhideWhenUsed/>
    <w:qFormat/>
    <w:rsid w:val="001051C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236F"/>
    <w:pPr>
      <w:tabs>
        <w:tab w:val="center" w:pos="4252"/>
        <w:tab w:val="right" w:pos="8504"/>
      </w:tabs>
    </w:pPr>
  </w:style>
  <w:style w:type="character" w:styleId="Refdecomentario">
    <w:name w:val="annotation reference"/>
    <w:basedOn w:val="Fuentedeprrafopredeter"/>
    <w:semiHidden/>
    <w:rsid w:val="00DD3741"/>
    <w:rPr>
      <w:sz w:val="16"/>
      <w:szCs w:val="16"/>
    </w:rPr>
  </w:style>
  <w:style w:type="paragraph" w:styleId="Textocomentario">
    <w:name w:val="annotation text"/>
    <w:basedOn w:val="Normal"/>
    <w:semiHidden/>
    <w:rsid w:val="00DD3741"/>
    <w:rPr>
      <w:sz w:val="20"/>
    </w:rPr>
  </w:style>
  <w:style w:type="paragraph" w:styleId="Asuntodelcomentario">
    <w:name w:val="annotation subject"/>
    <w:basedOn w:val="Textocomentario"/>
    <w:next w:val="Textocomentario"/>
    <w:semiHidden/>
    <w:rsid w:val="00DD3741"/>
    <w:rPr>
      <w:b/>
      <w:bCs/>
    </w:rPr>
  </w:style>
  <w:style w:type="paragraph" w:styleId="Textodeglobo">
    <w:name w:val="Balloon Text"/>
    <w:basedOn w:val="Normal"/>
    <w:semiHidden/>
    <w:rsid w:val="00DD3741"/>
    <w:rPr>
      <w:rFonts w:ascii="Tahoma" w:hAnsi="Tahoma" w:cs="Tahoma"/>
      <w:sz w:val="16"/>
      <w:szCs w:val="16"/>
    </w:rPr>
  </w:style>
  <w:style w:type="paragraph" w:styleId="Textonotapie">
    <w:name w:val="footnote text"/>
    <w:basedOn w:val="Normal"/>
    <w:link w:val="TextonotapieCar"/>
    <w:uiPriority w:val="99"/>
    <w:semiHidden/>
    <w:rsid w:val="00A31F81"/>
    <w:rPr>
      <w:sz w:val="20"/>
    </w:rPr>
  </w:style>
  <w:style w:type="character" w:styleId="Refdenotaalpie">
    <w:name w:val="footnote reference"/>
    <w:basedOn w:val="Fuentedeprrafopredeter"/>
    <w:uiPriority w:val="99"/>
    <w:semiHidden/>
    <w:rsid w:val="00A31F81"/>
    <w:rPr>
      <w:vertAlign w:val="superscript"/>
    </w:rPr>
  </w:style>
  <w:style w:type="paragraph" w:styleId="Piedepgina">
    <w:name w:val="footer"/>
    <w:basedOn w:val="Normal"/>
    <w:rsid w:val="00BA2842"/>
    <w:pPr>
      <w:tabs>
        <w:tab w:val="center" w:pos="4252"/>
        <w:tab w:val="right" w:pos="8504"/>
      </w:tabs>
    </w:pPr>
  </w:style>
  <w:style w:type="character" w:styleId="Nmerodepgina">
    <w:name w:val="page number"/>
    <w:basedOn w:val="Fuentedeprrafopredeter"/>
    <w:rsid w:val="009A5FAC"/>
  </w:style>
  <w:style w:type="character" w:styleId="Hipervnculo">
    <w:name w:val="Hyperlink"/>
    <w:basedOn w:val="Fuentedeprrafopredeter"/>
    <w:rsid w:val="00CC01BC"/>
    <w:rPr>
      <w:color w:val="0000FF"/>
      <w:u w:val="single"/>
    </w:rPr>
  </w:style>
  <w:style w:type="character" w:styleId="Hipervnculovisitado">
    <w:name w:val="FollowedHyperlink"/>
    <w:basedOn w:val="Fuentedeprrafopredeter"/>
    <w:rsid w:val="00CC01BC"/>
    <w:rPr>
      <w:color w:val="800080"/>
      <w:u w:val="single"/>
    </w:rPr>
  </w:style>
  <w:style w:type="paragraph" w:styleId="Textoindependiente">
    <w:name w:val="Body Text"/>
    <w:basedOn w:val="Normal"/>
    <w:link w:val="TextoindependienteCar"/>
    <w:rsid w:val="00D70F87"/>
    <w:rPr>
      <w:szCs w:val="24"/>
      <w:lang w:val="es-ES"/>
    </w:rPr>
  </w:style>
  <w:style w:type="character" w:customStyle="1" w:styleId="TextoindependienteCar">
    <w:name w:val="Texto independiente Car"/>
    <w:basedOn w:val="Fuentedeprrafopredeter"/>
    <w:link w:val="Textoindependiente"/>
    <w:rsid w:val="00D70F87"/>
    <w:rPr>
      <w:rFonts w:ascii="Arial Narrow" w:hAnsi="Arial Narrow"/>
      <w:sz w:val="22"/>
      <w:szCs w:val="24"/>
      <w:lang w:val="es-ES" w:eastAsia="es-ES"/>
    </w:rPr>
  </w:style>
  <w:style w:type="table" w:styleId="Tablaconcuadrcula">
    <w:name w:val="Table Grid"/>
    <w:basedOn w:val="Tablanormal"/>
    <w:rsid w:val="001D4A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cabezadoCar">
    <w:name w:val="Encabezado Car"/>
    <w:basedOn w:val="Fuentedeprrafopredeter"/>
    <w:link w:val="Encabezado"/>
    <w:rsid w:val="00EE1C0D"/>
    <w:rPr>
      <w:rFonts w:ascii="Arial Narrow" w:hAnsi="Arial Narrow"/>
      <w:sz w:val="22"/>
      <w:lang w:val="es-ES_tradnl" w:eastAsia="es-ES"/>
    </w:rPr>
  </w:style>
  <w:style w:type="paragraph" w:customStyle="1" w:styleId="Prrafodelista1">
    <w:name w:val="Párrafo de lista1"/>
    <w:basedOn w:val="Normal"/>
    <w:rsid w:val="006D547C"/>
    <w:pPr>
      <w:ind w:left="720"/>
      <w:contextualSpacing/>
      <w:jc w:val="left"/>
    </w:pPr>
    <w:rPr>
      <w:rFonts w:ascii="Arial" w:eastAsia="Calibri" w:hAnsi="Arial"/>
      <w:szCs w:val="24"/>
      <w:lang w:val="es-ES"/>
    </w:rPr>
  </w:style>
  <w:style w:type="paragraph" w:styleId="Prrafodelista">
    <w:name w:val="List Paragraph"/>
    <w:basedOn w:val="Normal"/>
    <w:uiPriority w:val="34"/>
    <w:qFormat/>
    <w:rsid w:val="000075FF"/>
    <w:pPr>
      <w:ind w:left="720"/>
      <w:contextualSpacing/>
      <w:jc w:val="left"/>
    </w:pPr>
    <w:rPr>
      <w:rFonts w:ascii="Arial" w:hAnsi="Arial"/>
      <w:szCs w:val="24"/>
      <w:lang w:val="es-ES"/>
    </w:rPr>
  </w:style>
  <w:style w:type="character" w:customStyle="1" w:styleId="TextonotapieCar">
    <w:name w:val="Texto nota pie Car"/>
    <w:basedOn w:val="Fuentedeprrafopredeter"/>
    <w:link w:val="Textonotapie"/>
    <w:uiPriority w:val="99"/>
    <w:semiHidden/>
    <w:rsid w:val="008E2BAE"/>
    <w:rPr>
      <w:rFonts w:ascii="Arial Narrow" w:hAnsi="Arial Narrow"/>
      <w:lang w:val="es-ES_tradnl" w:eastAsia="es-ES"/>
    </w:rPr>
  </w:style>
  <w:style w:type="paragraph" w:customStyle="1" w:styleId="normal-avalon-cursiva">
    <w:name w:val="normal-avalon-cursiva"/>
    <w:basedOn w:val="Normal"/>
    <w:rsid w:val="00DA798D"/>
    <w:pPr>
      <w:numPr>
        <w:numId w:val="28"/>
      </w:numPr>
      <w:spacing w:after="200" w:line="260" w:lineRule="exact"/>
    </w:pPr>
    <w:rPr>
      <w:rFonts w:ascii="Avalon" w:hAnsi="Avalon"/>
      <w:i/>
      <w:lang w:val="es-ES"/>
    </w:rPr>
  </w:style>
  <w:style w:type="paragraph" w:customStyle="1" w:styleId="Default">
    <w:name w:val="Default"/>
    <w:rsid w:val="00DA798D"/>
    <w:pPr>
      <w:autoSpaceDE w:val="0"/>
      <w:autoSpaceDN w:val="0"/>
      <w:adjustRightInd w:val="0"/>
    </w:pPr>
    <w:rPr>
      <w:rFonts w:ascii="Arial" w:eastAsia="Calibri" w:hAnsi="Arial" w:cs="Arial"/>
      <w:color w:val="000000"/>
      <w:sz w:val="24"/>
      <w:szCs w:val="24"/>
      <w:lang w:val="es-ES" w:eastAsia="es-ES"/>
    </w:rPr>
  </w:style>
  <w:style w:type="character" w:customStyle="1" w:styleId="Ttulo9Car">
    <w:name w:val="Título 9 Car"/>
    <w:basedOn w:val="Fuentedeprrafopredeter"/>
    <w:link w:val="Ttulo9"/>
    <w:semiHidden/>
    <w:rsid w:val="001051C5"/>
    <w:rPr>
      <w:rFonts w:asciiTheme="majorHAnsi" w:eastAsiaTheme="majorEastAsia" w:hAnsiTheme="majorHAnsi" w:cstheme="majorBidi"/>
      <w:i/>
      <w:iCs/>
      <w:color w:val="404040" w:themeColor="text1" w:themeTint="BF"/>
      <w:lang w:val="es-ES_tradnl" w:eastAsia="es-ES"/>
    </w:rPr>
  </w:style>
  <w:style w:type="paragraph" w:styleId="Textoindependiente2">
    <w:name w:val="Body Text 2"/>
    <w:basedOn w:val="Normal"/>
    <w:link w:val="Textoindependiente2Car"/>
    <w:rsid w:val="001051C5"/>
    <w:pPr>
      <w:spacing w:after="120" w:line="480" w:lineRule="auto"/>
    </w:pPr>
  </w:style>
  <w:style w:type="character" w:customStyle="1" w:styleId="Textoindependiente2Car">
    <w:name w:val="Texto independiente 2 Car"/>
    <w:basedOn w:val="Fuentedeprrafopredeter"/>
    <w:link w:val="Textoindependiente2"/>
    <w:rsid w:val="001051C5"/>
    <w:rPr>
      <w:rFonts w:ascii="Arial Narrow" w:hAnsi="Arial Narrow"/>
      <w:sz w:val="22"/>
      <w:lang w:val="es-ES_tradnl" w:eastAsia="es-ES"/>
    </w:rPr>
  </w:style>
</w:styles>
</file>

<file path=word/webSettings.xml><?xml version="1.0" encoding="utf-8"?>
<w:webSettings xmlns:r="http://schemas.openxmlformats.org/officeDocument/2006/relationships" xmlns:w="http://schemas.openxmlformats.org/wordprocessingml/2006/main">
  <w:divs>
    <w:div w:id="163322228">
      <w:bodyDiv w:val="1"/>
      <w:marLeft w:val="0"/>
      <w:marRight w:val="0"/>
      <w:marTop w:val="0"/>
      <w:marBottom w:val="0"/>
      <w:divBdr>
        <w:top w:val="none" w:sz="0" w:space="0" w:color="auto"/>
        <w:left w:val="none" w:sz="0" w:space="0" w:color="auto"/>
        <w:bottom w:val="none" w:sz="0" w:space="0" w:color="auto"/>
        <w:right w:val="none" w:sz="0" w:space="0" w:color="auto"/>
      </w:divBdr>
    </w:div>
    <w:div w:id="267275243">
      <w:bodyDiv w:val="1"/>
      <w:marLeft w:val="0"/>
      <w:marRight w:val="0"/>
      <w:marTop w:val="0"/>
      <w:marBottom w:val="0"/>
      <w:divBdr>
        <w:top w:val="none" w:sz="0" w:space="0" w:color="auto"/>
        <w:left w:val="none" w:sz="0" w:space="0" w:color="auto"/>
        <w:bottom w:val="none" w:sz="0" w:space="0" w:color="auto"/>
        <w:right w:val="none" w:sz="0" w:space="0" w:color="auto"/>
      </w:divBdr>
    </w:div>
    <w:div w:id="946961803">
      <w:bodyDiv w:val="1"/>
      <w:marLeft w:val="0"/>
      <w:marRight w:val="0"/>
      <w:marTop w:val="0"/>
      <w:marBottom w:val="0"/>
      <w:divBdr>
        <w:top w:val="none" w:sz="0" w:space="0" w:color="auto"/>
        <w:left w:val="none" w:sz="0" w:space="0" w:color="auto"/>
        <w:bottom w:val="none" w:sz="0" w:space="0" w:color="auto"/>
        <w:right w:val="none" w:sz="0" w:space="0" w:color="auto"/>
      </w:divBdr>
    </w:div>
    <w:div w:id="1755204930">
      <w:bodyDiv w:val="1"/>
      <w:marLeft w:val="0"/>
      <w:marRight w:val="0"/>
      <w:marTop w:val="0"/>
      <w:marBottom w:val="0"/>
      <w:divBdr>
        <w:top w:val="none" w:sz="0" w:space="0" w:color="auto"/>
        <w:left w:val="none" w:sz="0" w:space="0" w:color="auto"/>
        <w:bottom w:val="none" w:sz="0" w:space="0" w:color="auto"/>
        <w:right w:val="none" w:sz="0" w:space="0" w:color="auto"/>
      </w:divBdr>
    </w:div>
    <w:div w:id="1911036815">
      <w:bodyDiv w:val="1"/>
      <w:marLeft w:val="0"/>
      <w:marRight w:val="0"/>
      <w:marTop w:val="0"/>
      <w:marBottom w:val="0"/>
      <w:divBdr>
        <w:top w:val="none" w:sz="0" w:space="0" w:color="auto"/>
        <w:left w:val="none" w:sz="0" w:space="0" w:color="auto"/>
        <w:bottom w:val="none" w:sz="0" w:space="0" w:color="auto"/>
        <w:right w:val="none" w:sz="0" w:space="0" w:color="auto"/>
      </w:divBdr>
    </w:div>
    <w:div w:id="19244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0677-1F62-4F7A-887D-AF00BDE2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12</Pages>
  <Words>5252</Words>
  <Characters>28887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Informe N° 017-2011-ASF</vt:lpstr>
    </vt:vector>
  </TitlesOfParts>
  <Manager>GEE_PU</Manager>
  <Company>D_SBS_00003</Company>
  <LinksUpToDate>false</LinksUpToDate>
  <CharactersWithSpaces>34071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 017-2011-ASF</dc:title>
  <dc:subject>GEE_IN</dc:subject>
  <dc:creator>Jsalazar EMonzon</dc:creator>
  <cp:keywords>20110307</cp:keywords>
  <dc:description/>
  <cp:lastModifiedBy>emonzon</cp:lastModifiedBy>
  <cp:revision>10</cp:revision>
  <cp:lastPrinted>2011-04-06T19:54:00Z</cp:lastPrinted>
  <dcterms:created xsi:type="dcterms:W3CDTF">2011-04-07T16:58:00Z</dcterms:created>
  <dcterms:modified xsi:type="dcterms:W3CDTF">2011-04-08T21:01:00Z</dcterms:modified>
</cp:coreProperties>
</file>