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9AEF" w14:textId="77777777" w:rsidR="00A658D0" w:rsidRDefault="00000000">
      <w:pPr>
        <w:jc w:val="center"/>
        <w:rPr>
          <w:rFonts w:ascii="Arial Narrow" w:hAnsi="Arial Narrow"/>
          <w:b/>
          <w:sz w:val="22"/>
        </w:rPr>
      </w:pPr>
      <w:r>
        <w:rPr>
          <w:rFonts w:ascii="Arial Narrow" w:hAnsi="Arial Narrow"/>
          <w:b/>
          <w:sz w:val="22"/>
        </w:rPr>
        <w:t>I. DISPOSICIONES GENERALES</w:t>
      </w:r>
    </w:p>
    <w:p w14:paraId="06B49AF0" w14:textId="77777777" w:rsidR="00A658D0" w:rsidRDefault="00A658D0">
      <w:pPr>
        <w:jc w:val="both"/>
        <w:rPr>
          <w:rFonts w:ascii="Arial Narrow" w:hAnsi="Arial Narrow"/>
          <w:sz w:val="22"/>
        </w:rPr>
      </w:pPr>
    </w:p>
    <w:p w14:paraId="06B49AF1" w14:textId="77777777" w:rsidR="00A658D0" w:rsidRDefault="00000000">
      <w:pPr>
        <w:ind w:left="426" w:hanging="426"/>
        <w:jc w:val="both"/>
        <w:rPr>
          <w:rFonts w:ascii="Arial Narrow" w:hAnsi="Arial Narrow"/>
          <w:b/>
          <w:sz w:val="22"/>
        </w:rPr>
      </w:pPr>
      <w:r>
        <w:rPr>
          <w:rFonts w:ascii="Arial Narrow" w:hAnsi="Arial Narrow"/>
          <w:b/>
          <w:sz w:val="22"/>
        </w:rPr>
        <w:t>A.</w:t>
      </w:r>
      <w:r>
        <w:rPr>
          <w:rFonts w:ascii="Arial Narrow" w:hAnsi="Arial Narrow"/>
          <w:b/>
          <w:sz w:val="22"/>
        </w:rPr>
        <w:tab/>
        <w:t>APLICACIÓN</w:t>
      </w:r>
    </w:p>
    <w:p w14:paraId="06B49AF2" w14:textId="77777777" w:rsidR="00A658D0" w:rsidRDefault="00A658D0">
      <w:pPr>
        <w:ind w:left="708" w:hanging="282"/>
        <w:jc w:val="both"/>
        <w:rPr>
          <w:rFonts w:ascii="Arial Narrow" w:hAnsi="Arial Narrow"/>
          <w:sz w:val="22"/>
        </w:rPr>
      </w:pPr>
    </w:p>
    <w:p w14:paraId="06B49AF3" w14:textId="77777777" w:rsidR="00A658D0" w:rsidRDefault="00000000">
      <w:pPr>
        <w:ind w:left="708" w:hanging="282"/>
        <w:jc w:val="both"/>
        <w:rPr>
          <w:rFonts w:ascii="Arial Narrow" w:hAnsi="Arial Narrow"/>
          <w:sz w:val="22"/>
        </w:rPr>
      </w:pPr>
      <w:r>
        <w:rPr>
          <w:rFonts w:ascii="Arial Narrow" w:hAnsi="Arial Narrow"/>
          <w:sz w:val="22"/>
        </w:rPr>
        <w:t>1.</w:t>
      </w:r>
      <w:r>
        <w:rPr>
          <w:rFonts w:ascii="Arial Narrow" w:hAnsi="Arial Narrow"/>
          <w:sz w:val="22"/>
        </w:rPr>
        <w:tab/>
        <w:t>El Plan de Cuentas para empresas del Sistema Asegurador y las disposiciones en él contenidas deberán ser observados en forma obligatoria, tanto por las Compañías de Seguros y de Reaseguros como por los Intermediarios y Auxiliares de Seguros (personas jurídicas).</w:t>
      </w:r>
    </w:p>
    <w:p w14:paraId="06B49AF4" w14:textId="77777777" w:rsidR="00A658D0" w:rsidRDefault="00A658D0">
      <w:pPr>
        <w:ind w:left="708" w:hanging="282"/>
        <w:jc w:val="both"/>
        <w:rPr>
          <w:rFonts w:ascii="Arial Narrow" w:hAnsi="Arial Narrow"/>
          <w:sz w:val="22"/>
        </w:rPr>
      </w:pPr>
    </w:p>
    <w:p w14:paraId="06B49AF5" w14:textId="77777777" w:rsidR="00A658D0" w:rsidRDefault="00000000">
      <w:pPr>
        <w:ind w:left="708" w:hanging="282"/>
        <w:jc w:val="both"/>
        <w:rPr>
          <w:rFonts w:ascii="Arial Narrow" w:hAnsi="Arial Narrow"/>
          <w:sz w:val="22"/>
        </w:rPr>
      </w:pPr>
      <w:r>
        <w:rPr>
          <w:rFonts w:ascii="Arial Narrow" w:hAnsi="Arial Narrow"/>
          <w:sz w:val="22"/>
        </w:rPr>
        <w:t>2.</w:t>
      </w:r>
      <w:r>
        <w:rPr>
          <w:rFonts w:ascii="Arial Narrow" w:hAnsi="Arial Narrow"/>
          <w:sz w:val="22"/>
        </w:rPr>
        <w:tab/>
        <w:t>Las empresas de seguros y de reaseguros deberán observar las leyes y normas vigentes, así como el marco contable conceptual en la aplicación del presente Plan de Cuentas.</w:t>
      </w:r>
    </w:p>
    <w:p w14:paraId="06B49AF6" w14:textId="77777777" w:rsidR="00A658D0" w:rsidRDefault="00A658D0">
      <w:pPr>
        <w:ind w:left="708"/>
        <w:jc w:val="both"/>
        <w:rPr>
          <w:rFonts w:ascii="Arial Narrow" w:hAnsi="Arial Narrow"/>
          <w:sz w:val="22"/>
        </w:rPr>
      </w:pPr>
    </w:p>
    <w:p w14:paraId="06B49AF7" w14:textId="77777777" w:rsidR="00A658D0" w:rsidRDefault="00000000">
      <w:pPr>
        <w:ind w:left="708"/>
        <w:jc w:val="both"/>
        <w:rPr>
          <w:rFonts w:ascii="Arial Narrow" w:hAnsi="Arial Narrow"/>
          <w:sz w:val="22"/>
        </w:rPr>
      </w:pPr>
      <w:r>
        <w:rPr>
          <w:rFonts w:ascii="Arial Narrow" w:hAnsi="Arial Narrow"/>
          <w:sz w:val="22"/>
        </w:rPr>
        <w:t xml:space="preserve">Asimismo, los estados financieros de las empresas de seguros y de reaseguros, </w:t>
      </w:r>
      <w:proofErr w:type="gramStart"/>
      <w:r>
        <w:rPr>
          <w:rFonts w:ascii="Arial Narrow" w:hAnsi="Arial Narrow"/>
          <w:sz w:val="22"/>
        </w:rPr>
        <w:t>conjuntamente con</w:t>
      </w:r>
      <w:proofErr w:type="gramEnd"/>
      <w:r>
        <w:rPr>
          <w:rFonts w:ascii="Arial Narrow" w:hAnsi="Arial Narrow"/>
          <w:sz w:val="22"/>
        </w:rPr>
        <w:t xml:space="preserve"> las notas a dichos estados financieros, deberán presentarse a la Superintendencia, conforme se establece en las formas incluidas en el presente Plan y en las normas adicionales que emita la Superintendencia.</w:t>
      </w:r>
      <w:r>
        <w:rPr>
          <w:rStyle w:val="Refdenotaalpie"/>
          <w:rFonts w:ascii="Arial Narrow" w:hAnsi="Arial Narrow"/>
          <w:sz w:val="22"/>
        </w:rPr>
        <w:footnoteReference w:id="1"/>
      </w:r>
    </w:p>
    <w:p w14:paraId="06B49AF8" w14:textId="77777777" w:rsidR="00A658D0" w:rsidRDefault="00A658D0">
      <w:pPr>
        <w:ind w:left="708" w:hanging="282"/>
        <w:jc w:val="both"/>
        <w:rPr>
          <w:rFonts w:ascii="Arial Narrow" w:hAnsi="Arial Narrow"/>
          <w:sz w:val="22"/>
        </w:rPr>
      </w:pPr>
    </w:p>
    <w:p w14:paraId="06B49AF9" w14:textId="77777777" w:rsidR="00A658D0" w:rsidRDefault="00000000">
      <w:pPr>
        <w:ind w:left="709" w:hanging="283"/>
        <w:jc w:val="both"/>
        <w:rPr>
          <w:rFonts w:ascii="Arial Narrow" w:hAnsi="Arial Narrow"/>
          <w:sz w:val="22"/>
        </w:rPr>
      </w:pPr>
      <w:r>
        <w:rPr>
          <w:rFonts w:ascii="Arial Narrow" w:hAnsi="Arial Narrow"/>
          <w:sz w:val="22"/>
        </w:rPr>
        <w:t>3.</w:t>
      </w:r>
      <w:r>
        <w:rPr>
          <w:rFonts w:ascii="Arial Narrow" w:hAnsi="Arial Narrow"/>
          <w:sz w:val="22"/>
        </w:rPr>
        <w:tab/>
        <w:t>Las empresas podrán abrir nuevos códigos sin la autorización previa de la Superintendencia, siempre y cuando no exista abierto el nivel de detalle que la empresa requiera, con la finalidad de perfeccionar sus controles contables. Sin embargo, queda establecido que la remisión electrónica de datos a esta Superintendencia deberá efectuarse única y exclusivamente dentro de los niveles predeterminados en el Catálogo de Cuentas. Si la Superintendencia posteriormente requiriera crear códigos dentro de los niveles utilizados unilateralmente por la empresa, esta deberá proceder, bajo responsabilidad del Contador General, a efectuar las reclasificaciones contables del caso, en el más breve plazo.</w:t>
      </w:r>
      <w:r>
        <w:rPr>
          <w:rStyle w:val="Refdenotaalpie"/>
          <w:rFonts w:ascii="Arial Narrow" w:hAnsi="Arial Narrow"/>
          <w:sz w:val="22"/>
        </w:rPr>
        <w:footnoteReference w:id="2"/>
      </w:r>
    </w:p>
    <w:p w14:paraId="06B49AFA" w14:textId="77777777" w:rsidR="00A658D0" w:rsidRDefault="00A658D0">
      <w:pPr>
        <w:ind w:left="708" w:hanging="282"/>
        <w:jc w:val="both"/>
        <w:rPr>
          <w:rFonts w:ascii="Arial Narrow" w:hAnsi="Arial Narrow"/>
          <w:sz w:val="22"/>
        </w:rPr>
      </w:pPr>
    </w:p>
    <w:p w14:paraId="06B49AFB" w14:textId="77777777" w:rsidR="00A658D0" w:rsidRDefault="00000000">
      <w:pPr>
        <w:ind w:left="708" w:hanging="282"/>
        <w:jc w:val="both"/>
        <w:rPr>
          <w:rFonts w:ascii="Arial Narrow" w:hAnsi="Arial Narrow"/>
          <w:sz w:val="22"/>
        </w:rPr>
      </w:pPr>
      <w:r>
        <w:rPr>
          <w:rFonts w:ascii="Arial Narrow" w:hAnsi="Arial Narrow"/>
          <w:sz w:val="22"/>
        </w:rPr>
        <w:t>4.</w:t>
      </w:r>
      <w:r>
        <w:rPr>
          <w:rFonts w:ascii="Arial Narrow" w:hAnsi="Arial Narrow"/>
          <w:sz w:val="22"/>
        </w:rPr>
        <w:tab/>
        <w:t>El Plan de Cuentas contiene cuentas de uso exclusivo de determinadas empresas y su utilización está advertida en la descripción de las cuentas correspondientes.</w:t>
      </w:r>
    </w:p>
    <w:p w14:paraId="06B49AFC" w14:textId="77777777" w:rsidR="00A658D0" w:rsidRDefault="00A658D0">
      <w:pPr>
        <w:ind w:left="708" w:hanging="282"/>
        <w:jc w:val="both"/>
        <w:rPr>
          <w:rFonts w:ascii="Arial Narrow" w:hAnsi="Arial Narrow"/>
          <w:sz w:val="22"/>
        </w:rPr>
      </w:pPr>
    </w:p>
    <w:p w14:paraId="06B49AFD" w14:textId="77777777" w:rsidR="00A658D0" w:rsidRDefault="00000000">
      <w:pPr>
        <w:ind w:left="708" w:hanging="282"/>
        <w:jc w:val="both"/>
        <w:rPr>
          <w:rFonts w:ascii="Arial Narrow" w:hAnsi="Arial Narrow"/>
          <w:sz w:val="22"/>
        </w:rPr>
      </w:pPr>
      <w:r>
        <w:rPr>
          <w:rFonts w:ascii="Arial Narrow" w:hAnsi="Arial Narrow"/>
          <w:sz w:val="22"/>
        </w:rPr>
        <w:tab/>
        <w:t xml:space="preserve">Las empresas deberán tener presente que la indicación de un asterisco en una determinada </w:t>
      </w:r>
      <w:proofErr w:type="gramStart"/>
      <w:r>
        <w:rPr>
          <w:rFonts w:ascii="Arial Narrow" w:hAnsi="Arial Narrow"/>
          <w:sz w:val="22"/>
        </w:rPr>
        <w:t>cuenta,</w:t>
      </w:r>
      <w:proofErr w:type="gramEnd"/>
      <w:r>
        <w:rPr>
          <w:rFonts w:ascii="Arial Narrow" w:hAnsi="Arial Narrow"/>
          <w:sz w:val="22"/>
        </w:rPr>
        <w:t xml:space="preserve"> no implica autorización para realizar las operaciones que con ella se registran, si las leyes o normas vigentes que regulan su funcionamiento no lo especifican. Según sea el caso deberá solicitarse la autorización específica de la Superintendencia.</w:t>
      </w:r>
    </w:p>
    <w:p w14:paraId="06B49AFE" w14:textId="77777777" w:rsidR="00A658D0" w:rsidRDefault="00A658D0">
      <w:pPr>
        <w:ind w:left="708" w:hanging="282"/>
        <w:jc w:val="both"/>
        <w:rPr>
          <w:rFonts w:ascii="Arial Narrow" w:hAnsi="Arial Narrow"/>
          <w:sz w:val="22"/>
        </w:rPr>
      </w:pPr>
    </w:p>
    <w:p w14:paraId="06B49AFF" w14:textId="77777777" w:rsidR="00A658D0" w:rsidRDefault="00000000">
      <w:pPr>
        <w:ind w:left="708" w:hanging="282"/>
        <w:jc w:val="both"/>
        <w:rPr>
          <w:rFonts w:ascii="Arial Narrow" w:hAnsi="Arial Narrow"/>
          <w:i/>
          <w:sz w:val="22"/>
        </w:rPr>
      </w:pPr>
      <w:r>
        <w:rPr>
          <w:rFonts w:ascii="Arial Narrow" w:hAnsi="Arial Narrow"/>
          <w:i/>
          <w:sz w:val="22"/>
        </w:rPr>
        <w:t>5.</w:t>
      </w:r>
      <w:r>
        <w:rPr>
          <w:rFonts w:ascii="Arial Narrow" w:hAnsi="Arial Narrow"/>
          <w:i/>
          <w:sz w:val="22"/>
        </w:rPr>
        <w:tab/>
      </w:r>
      <w:r>
        <w:rPr>
          <w:rFonts w:ascii="Arial Narrow" w:hAnsi="Arial Narrow"/>
          <w:sz w:val="22"/>
        </w:rPr>
        <w:t xml:space="preserve">Las empresas están obligadas a llevar todos los libros de contabilidad y administrativos requeridos de manera general por las leyes y reglamentos aplicables y además los que determine la Superintendencia. Las operaciones que se registren en los libros deberán estar respaldadas con la documentación </w:t>
      </w:r>
      <w:proofErr w:type="spellStart"/>
      <w:r>
        <w:rPr>
          <w:rFonts w:ascii="Arial Narrow" w:hAnsi="Arial Narrow"/>
          <w:sz w:val="22"/>
        </w:rPr>
        <w:t>sustentatoria</w:t>
      </w:r>
      <w:proofErr w:type="spellEnd"/>
      <w:r>
        <w:rPr>
          <w:rFonts w:ascii="Arial Narrow" w:hAnsi="Arial Narrow"/>
          <w:sz w:val="22"/>
        </w:rPr>
        <w:t xml:space="preserve"> correspondiente, a fin de dar cumplimiento a las normas establecidas en el Código de Comercio, Ley General de Sociedades y otras leyes especiales sobre la materia.</w:t>
      </w:r>
    </w:p>
    <w:p w14:paraId="06B49B00" w14:textId="77777777" w:rsidR="00A658D0" w:rsidRDefault="00A658D0">
      <w:pPr>
        <w:ind w:left="708" w:hanging="282"/>
        <w:jc w:val="both"/>
        <w:rPr>
          <w:rFonts w:ascii="Arial Narrow" w:hAnsi="Arial Narrow"/>
          <w:i/>
          <w:sz w:val="22"/>
        </w:rPr>
      </w:pPr>
    </w:p>
    <w:p w14:paraId="06B49B01" w14:textId="77777777" w:rsidR="00A658D0" w:rsidRDefault="00000000">
      <w:pPr>
        <w:ind w:left="708" w:hanging="282"/>
        <w:jc w:val="both"/>
        <w:rPr>
          <w:rFonts w:ascii="Arial Narrow" w:hAnsi="Arial Narrow"/>
          <w:sz w:val="22"/>
        </w:rPr>
      </w:pPr>
      <w:r>
        <w:rPr>
          <w:rFonts w:ascii="Arial Narrow" w:hAnsi="Arial Narrow"/>
          <w:i/>
          <w:sz w:val="22"/>
        </w:rPr>
        <w:tab/>
      </w:r>
      <w:r>
        <w:rPr>
          <w:rFonts w:ascii="Arial Narrow" w:hAnsi="Arial Narrow"/>
          <w:sz w:val="22"/>
        </w:rPr>
        <w:t>Asimismo, deben mantener una contabilidad transparente, concreta e individualizada de todas sus operaciones, aplicando en forma integral las normas y procedimientos establecidos en el presente Plan de Cuentas.</w:t>
      </w:r>
    </w:p>
    <w:p w14:paraId="06B49B02" w14:textId="77777777" w:rsidR="00A658D0" w:rsidRDefault="00A658D0">
      <w:pPr>
        <w:ind w:left="708" w:hanging="282"/>
        <w:jc w:val="both"/>
        <w:rPr>
          <w:rFonts w:ascii="Arial Narrow" w:hAnsi="Arial Narrow"/>
          <w:sz w:val="22"/>
        </w:rPr>
      </w:pPr>
    </w:p>
    <w:p w14:paraId="06B49B03" w14:textId="77777777" w:rsidR="00A658D0" w:rsidRDefault="00000000">
      <w:pPr>
        <w:ind w:left="708"/>
        <w:jc w:val="both"/>
        <w:rPr>
          <w:rFonts w:ascii="Arial Narrow" w:hAnsi="Arial Narrow"/>
          <w:sz w:val="22"/>
        </w:rPr>
      </w:pPr>
      <w:r>
        <w:rPr>
          <w:rFonts w:ascii="Arial Narrow" w:hAnsi="Arial Narrow"/>
          <w:sz w:val="22"/>
        </w:rPr>
        <w:t>Las empresas deberán cerrar su gestión económica-contable al 31 de diciembre de cada año.</w:t>
      </w:r>
    </w:p>
    <w:p w14:paraId="06B49B04" w14:textId="77777777" w:rsidR="00A658D0" w:rsidRDefault="00A658D0">
      <w:pPr>
        <w:ind w:left="708" w:hanging="282"/>
        <w:jc w:val="both"/>
        <w:rPr>
          <w:rFonts w:ascii="Arial Narrow" w:hAnsi="Arial Narrow"/>
          <w:sz w:val="22"/>
        </w:rPr>
      </w:pPr>
    </w:p>
    <w:p w14:paraId="06B49B05" w14:textId="77777777" w:rsidR="00A658D0" w:rsidRDefault="00000000">
      <w:pPr>
        <w:ind w:left="708" w:hanging="282"/>
        <w:jc w:val="both"/>
        <w:rPr>
          <w:rFonts w:ascii="Arial Narrow" w:hAnsi="Arial Narrow"/>
          <w:sz w:val="22"/>
        </w:rPr>
      </w:pPr>
      <w:r>
        <w:rPr>
          <w:rFonts w:ascii="Arial Narrow" w:hAnsi="Arial Narrow"/>
          <w:sz w:val="22"/>
        </w:rPr>
        <w:tab/>
        <w:t xml:space="preserve">Las empresas de seguros deberán preparar mensualmente archivos de los estados financieros básicos y la documentación que los sustenten; incluyendo, además, el balance de </w:t>
      </w:r>
      <w:r>
        <w:rPr>
          <w:rFonts w:ascii="Arial Narrow" w:hAnsi="Arial Narrow"/>
          <w:sz w:val="22"/>
        </w:rPr>
        <w:lastRenderedPageBreak/>
        <w:t>comprobación y los respectivos análisis de cuentas, los que deberán mantenerse a disposición de la Superintendencia.</w:t>
      </w:r>
    </w:p>
    <w:p w14:paraId="06B49B06" w14:textId="77777777" w:rsidR="00A658D0" w:rsidRDefault="00A658D0">
      <w:pPr>
        <w:ind w:left="708" w:hanging="282"/>
        <w:jc w:val="both"/>
        <w:rPr>
          <w:rFonts w:ascii="Arial Narrow" w:hAnsi="Arial Narrow"/>
          <w:sz w:val="22"/>
        </w:rPr>
      </w:pPr>
    </w:p>
    <w:p w14:paraId="06B49B07" w14:textId="77777777" w:rsidR="00A658D0" w:rsidRDefault="00000000">
      <w:pPr>
        <w:ind w:left="709"/>
        <w:jc w:val="both"/>
        <w:rPr>
          <w:rFonts w:ascii="Arial Narrow" w:hAnsi="Arial Narrow"/>
          <w:sz w:val="22"/>
        </w:rPr>
      </w:pPr>
      <w:r>
        <w:rPr>
          <w:rFonts w:ascii="Arial Narrow" w:hAnsi="Arial Narrow"/>
          <w:sz w:val="22"/>
        </w:rPr>
        <w:t xml:space="preserve">Los estados financieros básicos comprenden: </w:t>
      </w:r>
    </w:p>
    <w:p w14:paraId="06B49B08" w14:textId="77777777" w:rsidR="00A658D0" w:rsidRDefault="00000000">
      <w:pPr>
        <w:numPr>
          <w:ilvl w:val="0"/>
          <w:numId w:val="1"/>
        </w:numPr>
        <w:ind w:left="1049" w:hanging="340"/>
        <w:jc w:val="both"/>
        <w:rPr>
          <w:rFonts w:ascii="Arial Narrow" w:hAnsi="Arial Narrow"/>
          <w:sz w:val="22"/>
        </w:rPr>
      </w:pPr>
      <w:r>
        <w:rPr>
          <w:rFonts w:ascii="Arial Narrow" w:hAnsi="Arial Narrow"/>
          <w:sz w:val="22"/>
        </w:rPr>
        <w:t>Estado de Situación Financiera</w:t>
      </w:r>
    </w:p>
    <w:p w14:paraId="06B49B09" w14:textId="77777777" w:rsidR="00A658D0" w:rsidRDefault="00000000">
      <w:pPr>
        <w:numPr>
          <w:ilvl w:val="0"/>
          <w:numId w:val="1"/>
        </w:numPr>
        <w:ind w:left="1049" w:hanging="340"/>
        <w:jc w:val="both"/>
        <w:rPr>
          <w:rFonts w:ascii="Arial Narrow" w:hAnsi="Arial Narrow"/>
          <w:sz w:val="22"/>
        </w:rPr>
      </w:pPr>
      <w:r>
        <w:rPr>
          <w:rFonts w:ascii="Arial Narrow" w:hAnsi="Arial Narrow"/>
          <w:sz w:val="22"/>
        </w:rPr>
        <w:t>Estado del Resultado Integral, conformado por:</w:t>
      </w:r>
    </w:p>
    <w:p w14:paraId="06B49B0A" w14:textId="77777777" w:rsidR="00A658D0" w:rsidRDefault="00000000">
      <w:pPr>
        <w:ind w:left="1134"/>
        <w:jc w:val="both"/>
        <w:rPr>
          <w:rFonts w:ascii="Arial Narrow" w:hAnsi="Arial Narrow"/>
          <w:sz w:val="22"/>
        </w:rPr>
      </w:pPr>
      <w:r>
        <w:rPr>
          <w:rFonts w:ascii="Arial Narrow" w:hAnsi="Arial Narrow"/>
          <w:sz w:val="22"/>
        </w:rPr>
        <w:t>i)   Estado de Resultados; y,</w:t>
      </w:r>
    </w:p>
    <w:p w14:paraId="06B49B0B" w14:textId="77777777" w:rsidR="00A658D0" w:rsidRDefault="00000000">
      <w:pPr>
        <w:ind w:left="1134"/>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Estado de Resultados y Otro Resultado Integral</w:t>
      </w:r>
    </w:p>
    <w:p w14:paraId="06B49B0C" w14:textId="77777777" w:rsidR="00A658D0" w:rsidRDefault="00000000">
      <w:pPr>
        <w:numPr>
          <w:ilvl w:val="0"/>
          <w:numId w:val="1"/>
        </w:numPr>
        <w:ind w:left="1049" w:hanging="340"/>
        <w:jc w:val="both"/>
        <w:rPr>
          <w:rFonts w:ascii="Arial Narrow" w:hAnsi="Arial Narrow"/>
          <w:sz w:val="22"/>
        </w:rPr>
      </w:pPr>
      <w:r>
        <w:rPr>
          <w:rFonts w:ascii="Arial Narrow" w:hAnsi="Arial Narrow"/>
          <w:sz w:val="22"/>
        </w:rPr>
        <w:t xml:space="preserve">Estado de Cambios en el Patrimonio </w:t>
      </w:r>
    </w:p>
    <w:p w14:paraId="06B49B0D" w14:textId="77777777" w:rsidR="00A658D0" w:rsidRDefault="00000000">
      <w:pPr>
        <w:numPr>
          <w:ilvl w:val="0"/>
          <w:numId w:val="1"/>
        </w:numPr>
        <w:ind w:left="1049" w:hanging="340"/>
        <w:jc w:val="both"/>
        <w:rPr>
          <w:rFonts w:ascii="Arial Narrow" w:hAnsi="Arial Narrow"/>
          <w:sz w:val="22"/>
        </w:rPr>
      </w:pPr>
      <w:r>
        <w:rPr>
          <w:rFonts w:ascii="Arial Narrow" w:hAnsi="Arial Narrow"/>
          <w:sz w:val="22"/>
        </w:rPr>
        <w:t>Estado de Flujos de Efectivo</w:t>
      </w:r>
    </w:p>
    <w:p w14:paraId="06B49B0E" w14:textId="77777777" w:rsidR="00A658D0" w:rsidRDefault="00000000">
      <w:pPr>
        <w:numPr>
          <w:ilvl w:val="0"/>
          <w:numId w:val="1"/>
        </w:numPr>
        <w:ind w:left="1049" w:hanging="340"/>
        <w:jc w:val="both"/>
        <w:rPr>
          <w:rFonts w:ascii="Arial Narrow" w:hAnsi="Arial Narrow"/>
          <w:sz w:val="22"/>
        </w:rPr>
      </w:pPr>
      <w:r>
        <w:rPr>
          <w:rFonts w:ascii="Arial Narrow" w:hAnsi="Arial Narrow"/>
          <w:sz w:val="22"/>
        </w:rPr>
        <w:t xml:space="preserve">Notas a los estados financieros </w:t>
      </w:r>
      <w:r>
        <w:rPr>
          <w:rStyle w:val="Refdenotaalpie"/>
          <w:rFonts w:ascii="Arial Narrow" w:hAnsi="Arial Narrow"/>
          <w:sz w:val="22"/>
        </w:rPr>
        <w:footnoteReference w:id="3"/>
      </w:r>
    </w:p>
    <w:p w14:paraId="06B49B0F" w14:textId="77777777" w:rsidR="00A658D0" w:rsidRDefault="00A658D0">
      <w:pPr>
        <w:ind w:left="708" w:hanging="708"/>
        <w:jc w:val="both"/>
        <w:rPr>
          <w:rFonts w:ascii="Arial Narrow" w:hAnsi="Arial Narrow"/>
          <w:sz w:val="22"/>
        </w:rPr>
      </w:pPr>
    </w:p>
    <w:p w14:paraId="06B49B10" w14:textId="77777777" w:rsidR="00A658D0" w:rsidRDefault="00A658D0">
      <w:pPr>
        <w:ind w:left="426" w:hanging="426"/>
        <w:jc w:val="both"/>
        <w:rPr>
          <w:rFonts w:ascii="Arial Narrow" w:hAnsi="Arial Narrow"/>
          <w:sz w:val="22"/>
        </w:rPr>
      </w:pPr>
    </w:p>
    <w:p w14:paraId="06B49B11" w14:textId="77777777" w:rsidR="00A658D0" w:rsidRDefault="00000000">
      <w:pPr>
        <w:ind w:left="426" w:hanging="426"/>
        <w:jc w:val="both"/>
        <w:rPr>
          <w:rFonts w:ascii="Arial Narrow" w:hAnsi="Arial Narrow"/>
          <w:b/>
          <w:sz w:val="22"/>
        </w:rPr>
      </w:pPr>
      <w:r>
        <w:rPr>
          <w:rFonts w:ascii="Arial Narrow" w:hAnsi="Arial Narrow"/>
          <w:b/>
          <w:sz w:val="22"/>
        </w:rPr>
        <w:t>B.</w:t>
      </w:r>
      <w:r>
        <w:rPr>
          <w:rFonts w:ascii="Arial Narrow" w:hAnsi="Arial Narrow"/>
          <w:b/>
          <w:sz w:val="22"/>
        </w:rPr>
        <w:tab/>
        <w:t>ESTRUCTURA</w:t>
      </w:r>
    </w:p>
    <w:p w14:paraId="06B49B12" w14:textId="77777777" w:rsidR="00A658D0" w:rsidRDefault="00A658D0">
      <w:pPr>
        <w:ind w:left="708" w:hanging="708"/>
        <w:jc w:val="both"/>
        <w:rPr>
          <w:rFonts w:ascii="Arial Narrow" w:hAnsi="Arial Narrow"/>
          <w:sz w:val="22"/>
        </w:rPr>
      </w:pPr>
    </w:p>
    <w:p w14:paraId="06B49B13" w14:textId="77777777" w:rsidR="00A658D0" w:rsidRDefault="00000000">
      <w:pPr>
        <w:ind w:left="708" w:hanging="282"/>
        <w:jc w:val="both"/>
        <w:rPr>
          <w:rFonts w:ascii="Arial Narrow" w:hAnsi="Arial Narrow"/>
          <w:i/>
          <w:sz w:val="22"/>
        </w:rPr>
      </w:pPr>
      <w:r>
        <w:rPr>
          <w:rFonts w:ascii="Arial Narrow" w:hAnsi="Arial Narrow"/>
          <w:sz w:val="22"/>
        </w:rPr>
        <w:t>1.</w:t>
      </w:r>
      <w:r>
        <w:rPr>
          <w:rFonts w:ascii="Arial Narrow" w:hAnsi="Arial Narrow"/>
          <w:sz w:val="22"/>
        </w:rPr>
        <w:tab/>
        <w:t>El Plan de Cuentas está representado por el detalle de los riesgos, Cuadro Contable, Catálogo de Cuentas, Descripción y Dinámica, los Estados Financieros y las notas correspondientes. Para la preparación y presentación de la información financiera deberán considerar el Marco Contable Conceptual y las presentes Disposiciones Generales.</w:t>
      </w:r>
      <w:r>
        <w:rPr>
          <w:rStyle w:val="Refdenotaalpie"/>
          <w:rFonts w:ascii="Arial Narrow" w:hAnsi="Arial Narrow"/>
          <w:sz w:val="22"/>
        </w:rPr>
        <w:footnoteReference w:id="4"/>
      </w:r>
    </w:p>
    <w:p w14:paraId="06B49B14" w14:textId="77777777" w:rsidR="00A658D0" w:rsidRDefault="00A658D0">
      <w:pPr>
        <w:ind w:left="708" w:hanging="282"/>
        <w:jc w:val="both"/>
        <w:rPr>
          <w:rFonts w:ascii="Arial Narrow" w:hAnsi="Arial Narrow"/>
          <w:sz w:val="22"/>
        </w:rPr>
      </w:pPr>
    </w:p>
    <w:p w14:paraId="06B49B15" w14:textId="77777777" w:rsidR="00A658D0" w:rsidRDefault="00000000">
      <w:pPr>
        <w:ind w:left="708" w:hanging="282"/>
        <w:jc w:val="both"/>
        <w:rPr>
          <w:rFonts w:ascii="Arial Narrow" w:hAnsi="Arial Narrow"/>
          <w:sz w:val="22"/>
        </w:rPr>
      </w:pPr>
      <w:r>
        <w:rPr>
          <w:rFonts w:ascii="Arial Narrow" w:hAnsi="Arial Narrow"/>
          <w:sz w:val="22"/>
        </w:rPr>
        <w:t>2.</w:t>
      </w:r>
      <w:r>
        <w:rPr>
          <w:rFonts w:ascii="Arial Narrow" w:hAnsi="Arial Narrow"/>
          <w:sz w:val="22"/>
        </w:rPr>
        <w:tab/>
        <w:t>El Plan de Cuentas está estructurado sobre la base de los siguientes niveles:</w:t>
      </w:r>
    </w:p>
    <w:p w14:paraId="06B49B16" w14:textId="77777777" w:rsidR="00A658D0" w:rsidRDefault="00A658D0">
      <w:pPr>
        <w:ind w:left="708" w:hanging="282"/>
        <w:jc w:val="both"/>
        <w:rPr>
          <w:rFonts w:ascii="Arial Narrow" w:hAnsi="Arial Narrow"/>
          <w:sz w:val="22"/>
        </w:rPr>
      </w:pPr>
    </w:p>
    <w:p w14:paraId="06B49B17" w14:textId="77777777" w:rsidR="00A658D0" w:rsidRDefault="00000000">
      <w:pPr>
        <w:ind w:left="708" w:hanging="282"/>
        <w:jc w:val="both"/>
        <w:rPr>
          <w:rFonts w:ascii="Arial Narrow" w:hAnsi="Arial Narrow"/>
          <w:sz w:val="22"/>
        </w:rPr>
      </w:pPr>
      <w:r>
        <w:rPr>
          <w:rFonts w:ascii="Arial Narrow" w:hAnsi="Arial Narrow"/>
          <w:sz w:val="22"/>
        </w:rPr>
        <w:tab/>
        <w:t>Clase</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r>
        <w:rPr>
          <w:rFonts w:ascii="Arial Narrow" w:hAnsi="Arial Narrow"/>
          <w:sz w:val="22"/>
        </w:rPr>
        <w:tab/>
        <w:t>Se identifica con el primer dígito.</w:t>
      </w:r>
    </w:p>
    <w:p w14:paraId="06B49B18" w14:textId="77777777" w:rsidR="00A658D0" w:rsidRDefault="00000000">
      <w:pPr>
        <w:ind w:left="708" w:hanging="282"/>
        <w:jc w:val="both"/>
        <w:rPr>
          <w:rFonts w:ascii="Arial Narrow" w:hAnsi="Arial Narrow"/>
          <w:sz w:val="22"/>
        </w:rPr>
      </w:pPr>
      <w:r>
        <w:rPr>
          <w:rFonts w:ascii="Arial Narrow" w:hAnsi="Arial Narrow"/>
          <w:sz w:val="22"/>
        </w:rPr>
        <w:tab/>
        <w:t>Rubro</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r>
        <w:rPr>
          <w:rFonts w:ascii="Arial Narrow" w:hAnsi="Arial Narrow"/>
          <w:sz w:val="22"/>
        </w:rPr>
        <w:tab/>
        <w:t>Se identifica con los dos primeros dígitos.</w:t>
      </w:r>
    </w:p>
    <w:p w14:paraId="06B49B19" w14:textId="77777777" w:rsidR="00A658D0" w:rsidRDefault="00000000">
      <w:pPr>
        <w:ind w:left="708" w:hanging="282"/>
        <w:jc w:val="both"/>
        <w:rPr>
          <w:rFonts w:ascii="Arial Narrow" w:hAnsi="Arial Narrow"/>
          <w:sz w:val="22"/>
        </w:rPr>
      </w:pPr>
      <w:r>
        <w:rPr>
          <w:rFonts w:ascii="Arial Narrow" w:hAnsi="Arial Narrow"/>
          <w:sz w:val="22"/>
        </w:rPr>
        <w:tab/>
        <w:t>Cuenta</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r>
        <w:rPr>
          <w:rFonts w:ascii="Arial Narrow" w:hAnsi="Arial Narrow"/>
          <w:sz w:val="22"/>
        </w:rPr>
        <w:tab/>
        <w:t>Se identifica con los cuatro primeros dígitos.</w:t>
      </w:r>
    </w:p>
    <w:p w14:paraId="06B49B1A" w14:textId="77777777" w:rsidR="00A658D0" w:rsidRDefault="00000000">
      <w:pPr>
        <w:ind w:left="708" w:hanging="282"/>
        <w:jc w:val="both"/>
        <w:rPr>
          <w:rFonts w:ascii="Arial Narrow" w:hAnsi="Arial Narrow"/>
          <w:sz w:val="22"/>
        </w:rPr>
      </w:pPr>
      <w:r>
        <w:rPr>
          <w:rFonts w:ascii="Arial Narrow" w:hAnsi="Arial Narrow"/>
          <w:sz w:val="22"/>
        </w:rPr>
        <w:tab/>
      </w:r>
      <w:proofErr w:type="spellStart"/>
      <w:r>
        <w:rPr>
          <w:rFonts w:ascii="Arial Narrow" w:hAnsi="Arial Narrow"/>
          <w:sz w:val="22"/>
        </w:rPr>
        <w:t>Sub-cuenta</w:t>
      </w:r>
      <w:proofErr w:type="spellEnd"/>
      <w:r>
        <w:rPr>
          <w:rFonts w:ascii="Arial Narrow" w:hAnsi="Arial Narrow"/>
          <w:sz w:val="22"/>
        </w:rPr>
        <w:tab/>
      </w:r>
      <w:r>
        <w:rPr>
          <w:rFonts w:ascii="Arial Narrow" w:hAnsi="Arial Narrow"/>
          <w:sz w:val="22"/>
        </w:rPr>
        <w:tab/>
      </w:r>
      <w:r>
        <w:rPr>
          <w:rFonts w:ascii="Arial Narrow" w:hAnsi="Arial Narrow"/>
          <w:sz w:val="22"/>
        </w:rPr>
        <w:tab/>
        <w:t>:</w:t>
      </w:r>
      <w:r>
        <w:rPr>
          <w:rFonts w:ascii="Arial Narrow" w:hAnsi="Arial Narrow"/>
          <w:sz w:val="22"/>
        </w:rPr>
        <w:tab/>
        <w:t>Se identifica con los seis primeros dígitos</w:t>
      </w:r>
    </w:p>
    <w:p w14:paraId="06B49B1B" w14:textId="77777777" w:rsidR="00A658D0" w:rsidRDefault="00000000">
      <w:pPr>
        <w:ind w:left="708" w:hanging="282"/>
        <w:jc w:val="both"/>
        <w:rPr>
          <w:rFonts w:ascii="Arial Narrow" w:hAnsi="Arial Narrow"/>
          <w:sz w:val="22"/>
        </w:rPr>
      </w:pPr>
      <w:r>
        <w:rPr>
          <w:rFonts w:ascii="Arial Narrow" w:hAnsi="Arial Narrow"/>
          <w:sz w:val="22"/>
        </w:rPr>
        <w:tab/>
        <w:t>Cuenta Analítica</w:t>
      </w:r>
      <w:r>
        <w:rPr>
          <w:rFonts w:ascii="Arial Narrow" w:hAnsi="Arial Narrow"/>
          <w:sz w:val="22"/>
        </w:rPr>
        <w:tab/>
        <w:t>:</w:t>
      </w:r>
      <w:r>
        <w:rPr>
          <w:rFonts w:ascii="Arial Narrow" w:hAnsi="Arial Narrow"/>
          <w:sz w:val="22"/>
        </w:rPr>
        <w:tab/>
        <w:t>Se identifica con los ocho primeros dígitos.</w:t>
      </w:r>
    </w:p>
    <w:p w14:paraId="06B49B1C" w14:textId="77777777" w:rsidR="00A658D0" w:rsidRDefault="00A658D0">
      <w:pPr>
        <w:ind w:left="708" w:hanging="282"/>
        <w:jc w:val="both"/>
        <w:rPr>
          <w:rFonts w:ascii="Arial Narrow" w:hAnsi="Arial Narrow"/>
          <w:sz w:val="22"/>
        </w:rPr>
      </w:pPr>
    </w:p>
    <w:p w14:paraId="06B49B1D" w14:textId="77777777" w:rsidR="00A658D0" w:rsidRDefault="00000000">
      <w:pPr>
        <w:ind w:left="708" w:hanging="282"/>
        <w:jc w:val="both"/>
        <w:rPr>
          <w:rFonts w:ascii="Arial Narrow" w:hAnsi="Arial Narrow"/>
          <w:sz w:val="22"/>
        </w:rPr>
      </w:pPr>
      <w:r>
        <w:rPr>
          <w:rFonts w:ascii="Arial Narrow" w:hAnsi="Arial Narrow"/>
          <w:sz w:val="22"/>
        </w:rPr>
        <w:t>3.</w:t>
      </w:r>
      <w:r>
        <w:rPr>
          <w:rFonts w:ascii="Arial Narrow" w:hAnsi="Arial Narrow"/>
          <w:sz w:val="22"/>
        </w:rPr>
        <w:tab/>
        <w:t>Clases:</w:t>
      </w:r>
    </w:p>
    <w:p w14:paraId="06B49B1E" w14:textId="77777777" w:rsidR="00A658D0" w:rsidRDefault="00A658D0">
      <w:pPr>
        <w:ind w:left="708" w:hanging="282"/>
        <w:jc w:val="both"/>
        <w:rPr>
          <w:rFonts w:ascii="Arial Narrow" w:hAnsi="Arial Narrow"/>
          <w:sz w:val="22"/>
        </w:rPr>
      </w:pPr>
    </w:p>
    <w:p w14:paraId="06B49B1F" w14:textId="77777777" w:rsidR="00A658D0" w:rsidRDefault="00000000">
      <w:pPr>
        <w:ind w:left="708" w:hanging="282"/>
        <w:jc w:val="both"/>
        <w:rPr>
          <w:rFonts w:ascii="Arial Narrow" w:hAnsi="Arial Narrow"/>
          <w:sz w:val="22"/>
        </w:rPr>
      </w:pPr>
      <w:r>
        <w:rPr>
          <w:rFonts w:ascii="Arial Narrow" w:hAnsi="Arial Narrow"/>
          <w:sz w:val="22"/>
        </w:rPr>
        <w:tab/>
        <w:t>Clase 1</w:t>
      </w:r>
      <w:r>
        <w:rPr>
          <w:rFonts w:ascii="Arial Narrow" w:hAnsi="Arial Narrow"/>
          <w:sz w:val="22"/>
        </w:rPr>
        <w:tab/>
      </w:r>
      <w:r>
        <w:rPr>
          <w:rFonts w:ascii="Arial Narrow" w:hAnsi="Arial Narrow"/>
          <w:sz w:val="22"/>
        </w:rPr>
        <w:tab/>
        <w:t>ACTIVO</w:t>
      </w:r>
    </w:p>
    <w:p w14:paraId="06B49B20" w14:textId="77777777" w:rsidR="00A658D0" w:rsidRDefault="00000000">
      <w:pPr>
        <w:ind w:left="708" w:hanging="282"/>
        <w:jc w:val="both"/>
        <w:rPr>
          <w:rFonts w:ascii="Arial Narrow" w:hAnsi="Arial Narrow"/>
          <w:sz w:val="22"/>
        </w:rPr>
      </w:pPr>
      <w:r>
        <w:rPr>
          <w:rFonts w:ascii="Arial Narrow" w:hAnsi="Arial Narrow"/>
          <w:sz w:val="22"/>
        </w:rPr>
        <w:tab/>
        <w:t>Clase 2</w:t>
      </w:r>
      <w:r>
        <w:rPr>
          <w:rFonts w:ascii="Arial Narrow" w:hAnsi="Arial Narrow"/>
          <w:sz w:val="22"/>
        </w:rPr>
        <w:tab/>
      </w:r>
      <w:r>
        <w:rPr>
          <w:rFonts w:ascii="Arial Narrow" w:hAnsi="Arial Narrow"/>
          <w:sz w:val="22"/>
        </w:rPr>
        <w:tab/>
        <w:t>PASIVO</w:t>
      </w:r>
    </w:p>
    <w:p w14:paraId="06B49B21" w14:textId="77777777" w:rsidR="00A658D0" w:rsidRDefault="00000000">
      <w:pPr>
        <w:ind w:left="708" w:hanging="282"/>
        <w:jc w:val="both"/>
        <w:rPr>
          <w:rFonts w:ascii="Arial Narrow" w:hAnsi="Arial Narrow"/>
          <w:sz w:val="22"/>
        </w:rPr>
      </w:pPr>
      <w:r>
        <w:rPr>
          <w:rFonts w:ascii="Arial Narrow" w:hAnsi="Arial Narrow"/>
          <w:sz w:val="22"/>
        </w:rPr>
        <w:tab/>
        <w:t>Clase 3</w:t>
      </w:r>
      <w:r>
        <w:rPr>
          <w:rFonts w:ascii="Arial Narrow" w:hAnsi="Arial Narrow"/>
          <w:sz w:val="22"/>
        </w:rPr>
        <w:tab/>
      </w:r>
      <w:r>
        <w:rPr>
          <w:rFonts w:ascii="Arial Narrow" w:hAnsi="Arial Narrow"/>
          <w:sz w:val="22"/>
        </w:rPr>
        <w:tab/>
        <w:t>PATRIMONIO</w:t>
      </w:r>
    </w:p>
    <w:p w14:paraId="06B49B22" w14:textId="77777777" w:rsidR="00A658D0" w:rsidRDefault="00000000">
      <w:pPr>
        <w:ind w:left="708" w:hanging="282"/>
        <w:jc w:val="both"/>
        <w:rPr>
          <w:rFonts w:ascii="Arial Narrow" w:hAnsi="Arial Narrow"/>
          <w:sz w:val="22"/>
        </w:rPr>
      </w:pPr>
      <w:r>
        <w:rPr>
          <w:rFonts w:ascii="Arial Narrow" w:hAnsi="Arial Narrow"/>
          <w:sz w:val="22"/>
        </w:rPr>
        <w:tab/>
        <w:t>Clase 4</w:t>
      </w:r>
      <w:r>
        <w:rPr>
          <w:rFonts w:ascii="Arial Narrow" w:hAnsi="Arial Narrow"/>
          <w:sz w:val="22"/>
        </w:rPr>
        <w:tab/>
      </w:r>
      <w:r>
        <w:rPr>
          <w:rFonts w:ascii="Arial Narrow" w:hAnsi="Arial Narrow"/>
          <w:sz w:val="22"/>
        </w:rPr>
        <w:tab/>
        <w:t>EGRESOS</w:t>
      </w:r>
    </w:p>
    <w:p w14:paraId="06B49B23" w14:textId="77777777" w:rsidR="00A658D0" w:rsidRDefault="00000000">
      <w:pPr>
        <w:ind w:left="708" w:hanging="282"/>
        <w:jc w:val="both"/>
        <w:rPr>
          <w:rFonts w:ascii="Arial Narrow" w:hAnsi="Arial Narrow"/>
          <w:sz w:val="22"/>
        </w:rPr>
      </w:pPr>
      <w:r>
        <w:rPr>
          <w:rFonts w:ascii="Arial Narrow" w:hAnsi="Arial Narrow"/>
          <w:sz w:val="22"/>
        </w:rPr>
        <w:tab/>
        <w:t>Clase 5</w:t>
      </w:r>
      <w:r>
        <w:rPr>
          <w:rFonts w:ascii="Arial Narrow" w:hAnsi="Arial Narrow"/>
          <w:sz w:val="22"/>
        </w:rPr>
        <w:tab/>
      </w:r>
      <w:r>
        <w:rPr>
          <w:rFonts w:ascii="Arial Narrow" w:hAnsi="Arial Narrow"/>
          <w:sz w:val="22"/>
        </w:rPr>
        <w:tab/>
        <w:t>INGRESOS</w:t>
      </w:r>
    </w:p>
    <w:p w14:paraId="06B49B24" w14:textId="77777777" w:rsidR="00A658D0" w:rsidRDefault="00000000">
      <w:pPr>
        <w:ind w:left="708" w:hanging="282"/>
        <w:jc w:val="both"/>
        <w:rPr>
          <w:rFonts w:ascii="Arial Narrow" w:hAnsi="Arial Narrow"/>
          <w:sz w:val="22"/>
        </w:rPr>
      </w:pPr>
      <w:r>
        <w:rPr>
          <w:rFonts w:ascii="Arial Narrow" w:hAnsi="Arial Narrow"/>
          <w:sz w:val="22"/>
        </w:rPr>
        <w:tab/>
        <w:t>Clase 6</w:t>
      </w:r>
      <w:r>
        <w:rPr>
          <w:rFonts w:ascii="Arial Narrow" w:hAnsi="Arial Narrow"/>
          <w:sz w:val="22"/>
        </w:rPr>
        <w:tab/>
      </w:r>
      <w:r>
        <w:rPr>
          <w:rFonts w:ascii="Arial Narrow" w:hAnsi="Arial Narrow"/>
          <w:sz w:val="22"/>
        </w:rPr>
        <w:tab/>
        <w:t>OTROS INGRESOS Y EGRESOS</w:t>
      </w:r>
    </w:p>
    <w:p w14:paraId="06B49B25" w14:textId="77777777" w:rsidR="00A658D0" w:rsidRDefault="00000000">
      <w:pPr>
        <w:ind w:left="708" w:hanging="282"/>
        <w:jc w:val="both"/>
        <w:rPr>
          <w:rFonts w:ascii="Arial Narrow" w:hAnsi="Arial Narrow"/>
          <w:sz w:val="22"/>
        </w:rPr>
      </w:pPr>
      <w:r>
        <w:rPr>
          <w:rFonts w:ascii="Arial Narrow" w:hAnsi="Arial Narrow"/>
          <w:sz w:val="22"/>
        </w:rPr>
        <w:tab/>
        <w:t>Clase 7</w:t>
      </w:r>
      <w:r>
        <w:rPr>
          <w:rFonts w:ascii="Arial Narrow" w:hAnsi="Arial Narrow"/>
          <w:sz w:val="22"/>
        </w:rPr>
        <w:tab/>
      </w:r>
      <w:r>
        <w:rPr>
          <w:rFonts w:ascii="Arial Narrow" w:hAnsi="Arial Narrow"/>
          <w:sz w:val="22"/>
        </w:rPr>
        <w:tab/>
        <w:t>CUENTAS CONTINGENTES</w:t>
      </w:r>
    </w:p>
    <w:p w14:paraId="06B49B26" w14:textId="77777777" w:rsidR="00A658D0" w:rsidRDefault="00000000">
      <w:pPr>
        <w:ind w:left="708" w:hanging="282"/>
        <w:jc w:val="both"/>
        <w:rPr>
          <w:rFonts w:ascii="Arial Narrow" w:hAnsi="Arial Narrow"/>
          <w:sz w:val="22"/>
        </w:rPr>
      </w:pPr>
      <w:r>
        <w:rPr>
          <w:rFonts w:ascii="Arial Narrow" w:hAnsi="Arial Narrow"/>
          <w:sz w:val="22"/>
        </w:rPr>
        <w:tab/>
        <w:t>Clase 8</w:t>
      </w:r>
      <w:r>
        <w:rPr>
          <w:rFonts w:ascii="Arial Narrow" w:hAnsi="Arial Narrow"/>
          <w:sz w:val="22"/>
        </w:rPr>
        <w:tab/>
      </w:r>
      <w:r>
        <w:rPr>
          <w:rFonts w:ascii="Arial Narrow" w:hAnsi="Arial Narrow"/>
          <w:sz w:val="22"/>
        </w:rPr>
        <w:tab/>
        <w:t>CUENTAS DE ORDEN</w:t>
      </w:r>
    </w:p>
    <w:p w14:paraId="06B49B27" w14:textId="77777777" w:rsidR="00A658D0" w:rsidRDefault="00000000">
      <w:pPr>
        <w:ind w:left="708" w:hanging="282"/>
        <w:jc w:val="both"/>
        <w:rPr>
          <w:rFonts w:ascii="Arial Narrow" w:hAnsi="Arial Narrow"/>
          <w:sz w:val="22"/>
        </w:rPr>
      </w:pPr>
      <w:r>
        <w:rPr>
          <w:rFonts w:ascii="Arial Narrow" w:hAnsi="Arial Narrow"/>
          <w:sz w:val="22"/>
        </w:rPr>
        <w:tab/>
        <w:t>Clase 9</w:t>
      </w:r>
      <w:r>
        <w:rPr>
          <w:rFonts w:ascii="Arial Narrow" w:hAnsi="Arial Narrow"/>
          <w:sz w:val="22"/>
        </w:rPr>
        <w:tab/>
      </w:r>
      <w:r>
        <w:rPr>
          <w:rFonts w:ascii="Arial Narrow" w:hAnsi="Arial Narrow"/>
          <w:sz w:val="22"/>
        </w:rPr>
        <w:tab/>
        <w:t>CUENTAS DE PRESUPUESTOS Y COSTOS</w:t>
      </w:r>
    </w:p>
    <w:p w14:paraId="06B49B28" w14:textId="77777777" w:rsidR="00A658D0" w:rsidRDefault="00A658D0">
      <w:pPr>
        <w:ind w:left="708" w:hanging="282"/>
        <w:jc w:val="both"/>
        <w:rPr>
          <w:rFonts w:ascii="Arial Narrow" w:hAnsi="Arial Narrow"/>
        </w:rPr>
      </w:pPr>
    </w:p>
    <w:p w14:paraId="06B49B29" w14:textId="77777777" w:rsidR="00A658D0" w:rsidRDefault="00000000">
      <w:pPr>
        <w:ind w:left="708" w:hanging="282"/>
        <w:jc w:val="both"/>
        <w:rPr>
          <w:rFonts w:ascii="Arial Narrow" w:hAnsi="Arial Narrow"/>
          <w:sz w:val="22"/>
        </w:rPr>
      </w:pPr>
      <w:r>
        <w:rPr>
          <w:rFonts w:ascii="Arial Narrow" w:hAnsi="Arial Narrow"/>
          <w:sz w:val="22"/>
        </w:rPr>
        <w:tab/>
        <w:t>Las clases 1, 2 y 3 comprenden las cuentas correspondientes a la situación financiera de la empresa y que conforman el Balance General; las clases 4 y 5 constituyen las cuentas de gestión y con la clase 6 determinan el Estado de Ganancias y Pérdidas; la clase 7 detalla las cuentas contingentes y la 8 las cuentas de orden. La clase 9 comprende a las cuentas de presupuestos y costos que las empresas podrán adoptar según convenga para su mejor control.</w:t>
      </w:r>
    </w:p>
    <w:p w14:paraId="06B49B2A" w14:textId="77777777" w:rsidR="00A658D0" w:rsidRDefault="00A658D0">
      <w:pPr>
        <w:ind w:left="708" w:hanging="282"/>
        <w:jc w:val="both"/>
        <w:rPr>
          <w:rFonts w:ascii="Arial Narrow" w:hAnsi="Arial Narrow"/>
          <w:sz w:val="22"/>
        </w:rPr>
      </w:pPr>
    </w:p>
    <w:p w14:paraId="06B49B2B" w14:textId="77777777" w:rsidR="00A658D0" w:rsidRDefault="00000000">
      <w:pPr>
        <w:ind w:left="708" w:hanging="282"/>
        <w:jc w:val="both"/>
        <w:rPr>
          <w:rFonts w:ascii="Arial Narrow" w:hAnsi="Arial Narrow"/>
          <w:sz w:val="22"/>
        </w:rPr>
      </w:pPr>
      <w:r>
        <w:rPr>
          <w:rFonts w:ascii="Arial Narrow" w:hAnsi="Arial Narrow"/>
          <w:sz w:val="22"/>
        </w:rPr>
        <w:lastRenderedPageBreak/>
        <w:t>4.</w:t>
      </w:r>
      <w:r>
        <w:rPr>
          <w:rFonts w:ascii="Arial Narrow" w:hAnsi="Arial Narrow"/>
          <w:sz w:val="22"/>
        </w:rPr>
        <w:tab/>
        <w:t>La identificación de las cuentas se basa en el sistema de codificación decimal que da prioridad a los siguientes conceptos:</w:t>
      </w:r>
    </w:p>
    <w:p w14:paraId="06B49B2C" w14:textId="77777777" w:rsidR="00A658D0" w:rsidRDefault="00A658D0">
      <w:pPr>
        <w:ind w:left="708" w:hanging="282"/>
        <w:jc w:val="both"/>
        <w:rPr>
          <w:rFonts w:ascii="Arial Narrow" w:hAnsi="Arial Narrow"/>
          <w:sz w:val="22"/>
        </w:rPr>
      </w:pPr>
    </w:p>
    <w:p w14:paraId="06B49B2D" w14:textId="77777777" w:rsidR="00A658D0" w:rsidRDefault="00000000">
      <w:pPr>
        <w:tabs>
          <w:tab w:val="left" w:pos="2127"/>
        </w:tabs>
        <w:ind w:left="2410" w:hanging="1701"/>
        <w:jc w:val="both"/>
        <w:rPr>
          <w:rFonts w:ascii="Arial Narrow" w:hAnsi="Arial Narrow"/>
          <w:sz w:val="22"/>
        </w:rPr>
      </w:pPr>
      <w:r>
        <w:rPr>
          <w:rFonts w:ascii="Arial Narrow" w:hAnsi="Arial Narrow"/>
          <w:sz w:val="22"/>
        </w:rPr>
        <w:t>1° y 2° dígito</w:t>
      </w:r>
      <w:r>
        <w:rPr>
          <w:rFonts w:ascii="Arial Narrow" w:hAnsi="Arial Narrow"/>
          <w:sz w:val="22"/>
        </w:rPr>
        <w:tab/>
        <w:t>:</w:t>
      </w:r>
      <w:r>
        <w:rPr>
          <w:rFonts w:ascii="Arial Narrow" w:hAnsi="Arial Narrow"/>
          <w:sz w:val="22"/>
        </w:rPr>
        <w:tab/>
        <w:t>La denominación genérica de los rubros que normalmente se informan en los estados financieros.</w:t>
      </w:r>
    </w:p>
    <w:p w14:paraId="06B49B2E" w14:textId="77777777" w:rsidR="00A658D0" w:rsidRDefault="00000000">
      <w:pPr>
        <w:tabs>
          <w:tab w:val="left" w:pos="2127"/>
        </w:tabs>
        <w:ind w:left="2410" w:hanging="1701"/>
        <w:jc w:val="both"/>
        <w:rPr>
          <w:rFonts w:ascii="Arial Narrow" w:hAnsi="Arial Narrow"/>
          <w:sz w:val="22"/>
        </w:rPr>
      </w:pPr>
      <w:r>
        <w:rPr>
          <w:rFonts w:ascii="Arial Narrow" w:hAnsi="Arial Narrow"/>
          <w:sz w:val="22"/>
        </w:rPr>
        <w:t>3° dígito</w:t>
      </w:r>
      <w:r>
        <w:rPr>
          <w:rFonts w:ascii="Arial Narrow" w:hAnsi="Arial Narrow"/>
          <w:sz w:val="22"/>
        </w:rPr>
        <w:tab/>
        <w:t>:</w:t>
      </w:r>
      <w:r>
        <w:rPr>
          <w:rFonts w:ascii="Arial Narrow" w:hAnsi="Arial Narrow"/>
          <w:sz w:val="22"/>
        </w:rPr>
        <w:tab/>
        <w:t xml:space="preserve">El indicador monetario o moneda empleada en el registro de las transacciones y los ajustes requeridos para su </w:t>
      </w:r>
      <w:proofErr w:type="spellStart"/>
      <w:r>
        <w:rPr>
          <w:rFonts w:ascii="Arial Narrow" w:hAnsi="Arial Narrow"/>
          <w:sz w:val="22"/>
        </w:rPr>
        <w:t>re-expresión</w:t>
      </w:r>
      <w:proofErr w:type="spellEnd"/>
      <w:r>
        <w:rPr>
          <w:rFonts w:ascii="Arial Narrow" w:hAnsi="Arial Narrow"/>
          <w:sz w:val="22"/>
        </w:rPr>
        <w:t xml:space="preserve"> constante.</w:t>
      </w:r>
    </w:p>
    <w:p w14:paraId="06B49B2F" w14:textId="77777777" w:rsidR="00A658D0" w:rsidRDefault="00000000">
      <w:pPr>
        <w:tabs>
          <w:tab w:val="left" w:pos="2127"/>
        </w:tabs>
        <w:ind w:left="2410" w:hanging="1701"/>
        <w:jc w:val="both"/>
        <w:rPr>
          <w:rFonts w:ascii="Arial Narrow" w:hAnsi="Arial Narrow"/>
          <w:sz w:val="22"/>
        </w:rPr>
      </w:pPr>
      <w:r>
        <w:rPr>
          <w:rFonts w:ascii="Arial Narrow" w:hAnsi="Arial Narrow"/>
          <w:sz w:val="22"/>
        </w:rPr>
        <w:t>4° dígito</w:t>
      </w:r>
      <w:r>
        <w:rPr>
          <w:rFonts w:ascii="Arial Narrow" w:hAnsi="Arial Narrow"/>
          <w:sz w:val="22"/>
        </w:rPr>
        <w:tab/>
        <w:t>:</w:t>
      </w:r>
      <w:r>
        <w:rPr>
          <w:rFonts w:ascii="Arial Narrow" w:hAnsi="Arial Narrow"/>
          <w:sz w:val="22"/>
        </w:rPr>
        <w:tab/>
        <w:t>Las agrupaciones generales o filiación relativa a las transacciones.</w:t>
      </w:r>
    </w:p>
    <w:p w14:paraId="06B49B30" w14:textId="77777777" w:rsidR="00A658D0" w:rsidRDefault="00000000">
      <w:pPr>
        <w:tabs>
          <w:tab w:val="left" w:pos="2127"/>
        </w:tabs>
        <w:ind w:left="2410" w:hanging="1701"/>
        <w:jc w:val="both"/>
        <w:rPr>
          <w:rFonts w:ascii="Arial Narrow" w:hAnsi="Arial Narrow"/>
          <w:sz w:val="22"/>
        </w:rPr>
      </w:pPr>
      <w:r>
        <w:rPr>
          <w:rFonts w:ascii="Arial Narrow" w:hAnsi="Arial Narrow"/>
          <w:sz w:val="22"/>
        </w:rPr>
        <w:t>5° y 6° dígito</w:t>
      </w:r>
      <w:r>
        <w:rPr>
          <w:rFonts w:ascii="Arial Narrow" w:hAnsi="Arial Narrow"/>
          <w:sz w:val="22"/>
        </w:rPr>
        <w:tab/>
        <w:t>:</w:t>
      </w:r>
      <w:r>
        <w:rPr>
          <w:rFonts w:ascii="Arial Narrow" w:hAnsi="Arial Narrow"/>
          <w:sz w:val="22"/>
        </w:rPr>
        <w:tab/>
        <w:t xml:space="preserve">El riesgo o ramo específico al que corresponden las transacciones, o la </w:t>
      </w:r>
      <w:proofErr w:type="spellStart"/>
      <w:r>
        <w:rPr>
          <w:rFonts w:ascii="Arial Narrow" w:hAnsi="Arial Narrow"/>
          <w:sz w:val="22"/>
        </w:rPr>
        <w:t>sub-cuenta</w:t>
      </w:r>
      <w:proofErr w:type="spellEnd"/>
      <w:r>
        <w:rPr>
          <w:rFonts w:ascii="Arial Narrow" w:hAnsi="Arial Narrow"/>
          <w:sz w:val="22"/>
        </w:rPr>
        <w:t xml:space="preserve"> del activo, pasivo, patrimonio y ganancias y pérdidas.</w:t>
      </w:r>
    </w:p>
    <w:p w14:paraId="06B49B31" w14:textId="77777777" w:rsidR="00A658D0" w:rsidRDefault="00000000">
      <w:pPr>
        <w:tabs>
          <w:tab w:val="left" w:pos="2127"/>
        </w:tabs>
        <w:ind w:left="2410" w:hanging="1701"/>
        <w:jc w:val="both"/>
        <w:rPr>
          <w:rFonts w:ascii="Arial Narrow" w:hAnsi="Arial Narrow"/>
          <w:sz w:val="22"/>
        </w:rPr>
      </w:pPr>
      <w:r>
        <w:rPr>
          <w:rFonts w:ascii="Arial Narrow" w:hAnsi="Arial Narrow"/>
          <w:sz w:val="22"/>
        </w:rPr>
        <w:t>7° y 8° dígito</w:t>
      </w:r>
      <w:r>
        <w:rPr>
          <w:rFonts w:ascii="Arial Narrow" w:hAnsi="Arial Narrow"/>
          <w:sz w:val="22"/>
        </w:rPr>
        <w:tab/>
        <w:t>:</w:t>
      </w:r>
      <w:r>
        <w:rPr>
          <w:rFonts w:ascii="Arial Narrow" w:hAnsi="Arial Narrow"/>
          <w:sz w:val="22"/>
        </w:rPr>
        <w:tab/>
        <w:t>Las cuentas analíticas referidas al tipo específico de operación.</w:t>
      </w:r>
    </w:p>
    <w:p w14:paraId="06B49B32" w14:textId="77777777" w:rsidR="00A658D0" w:rsidRDefault="00A658D0">
      <w:pPr>
        <w:ind w:left="708" w:hanging="282"/>
        <w:jc w:val="both"/>
        <w:rPr>
          <w:rFonts w:ascii="Arial Narrow" w:hAnsi="Arial Narrow"/>
          <w:sz w:val="22"/>
        </w:rPr>
      </w:pPr>
    </w:p>
    <w:p w14:paraId="06B49B33" w14:textId="77777777" w:rsidR="00A658D0" w:rsidRDefault="00000000">
      <w:pPr>
        <w:ind w:left="708" w:hanging="282"/>
        <w:jc w:val="both"/>
        <w:rPr>
          <w:rFonts w:ascii="Arial Narrow" w:hAnsi="Arial Narrow"/>
          <w:sz w:val="22"/>
        </w:rPr>
      </w:pPr>
      <w:r>
        <w:rPr>
          <w:rFonts w:ascii="Arial Narrow" w:hAnsi="Arial Narrow"/>
          <w:sz w:val="22"/>
        </w:rPr>
        <w:t>5.</w:t>
      </w:r>
      <w:r>
        <w:rPr>
          <w:rFonts w:ascii="Arial Narrow" w:hAnsi="Arial Narrow"/>
          <w:sz w:val="22"/>
        </w:rPr>
        <w:tab/>
        <w:t>El tercer dígito o indicador monetario tiene el siguiente uso:</w:t>
      </w:r>
    </w:p>
    <w:p w14:paraId="06B49B34" w14:textId="77777777" w:rsidR="00A658D0" w:rsidRDefault="00A658D0">
      <w:pPr>
        <w:ind w:left="708" w:hanging="282"/>
        <w:jc w:val="both"/>
        <w:rPr>
          <w:rFonts w:ascii="Arial Narrow" w:hAnsi="Arial Narrow"/>
          <w:sz w:val="22"/>
        </w:rPr>
      </w:pPr>
    </w:p>
    <w:p w14:paraId="06B49B35" w14:textId="77777777" w:rsidR="00A658D0" w:rsidRDefault="00000000">
      <w:pPr>
        <w:tabs>
          <w:tab w:val="left" w:pos="1701"/>
          <w:tab w:val="left" w:pos="1985"/>
        </w:tabs>
        <w:ind w:left="2013" w:hanging="1304"/>
        <w:jc w:val="both"/>
        <w:rPr>
          <w:rFonts w:ascii="Arial Narrow" w:hAnsi="Arial Narrow"/>
          <w:sz w:val="22"/>
        </w:rPr>
      </w:pPr>
      <w:r>
        <w:rPr>
          <w:rFonts w:ascii="Arial Narrow" w:hAnsi="Arial Narrow"/>
          <w:sz w:val="22"/>
        </w:rPr>
        <w:t>Cero (0)</w:t>
      </w:r>
      <w:r>
        <w:rPr>
          <w:rFonts w:ascii="Arial Narrow" w:hAnsi="Arial Narrow"/>
          <w:sz w:val="22"/>
        </w:rPr>
        <w:tab/>
        <w:t>:</w:t>
      </w:r>
      <w:r>
        <w:rPr>
          <w:rFonts w:ascii="Arial Narrow" w:hAnsi="Arial Narrow"/>
          <w:sz w:val="22"/>
        </w:rPr>
        <w:tab/>
        <w:t>Código integrador, que comprende los saldos totales de las cuentas en moneda nacional, monedas extranjeras y reajustables con valor de actualización constante</w:t>
      </w:r>
    </w:p>
    <w:p w14:paraId="06B49B36" w14:textId="77777777" w:rsidR="00A658D0" w:rsidRDefault="00000000">
      <w:pPr>
        <w:tabs>
          <w:tab w:val="left" w:pos="1701"/>
          <w:tab w:val="left" w:pos="1985"/>
        </w:tabs>
        <w:ind w:left="2013" w:hanging="1304"/>
        <w:jc w:val="both"/>
        <w:rPr>
          <w:rFonts w:ascii="Arial Narrow" w:hAnsi="Arial Narrow"/>
          <w:sz w:val="22"/>
        </w:rPr>
      </w:pPr>
      <w:proofErr w:type="gramStart"/>
      <w:r>
        <w:rPr>
          <w:rFonts w:ascii="Arial Narrow" w:hAnsi="Arial Narrow"/>
          <w:sz w:val="22"/>
        </w:rPr>
        <w:t>Uno  (</w:t>
      </w:r>
      <w:proofErr w:type="gramEnd"/>
      <w:r>
        <w:rPr>
          <w:rFonts w:ascii="Arial Narrow" w:hAnsi="Arial Narrow"/>
          <w:sz w:val="22"/>
        </w:rPr>
        <w:t>1)</w:t>
      </w:r>
      <w:r>
        <w:rPr>
          <w:rFonts w:ascii="Arial Narrow" w:hAnsi="Arial Narrow"/>
          <w:sz w:val="22"/>
        </w:rPr>
        <w:tab/>
        <w:t>:</w:t>
      </w:r>
      <w:r>
        <w:rPr>
          <w:rFonts w:ascii="Arial Narrow" w:hAnsi="Arial Narrow"/>
          <w:sz w:val="22"/>
        </w:rPr>
        <w:tab/>
        <w:t>Operaciones en Moneda Nacional</w:t>
      </w:r>
    </w:p>
    <w:p w14:paraId="06B49B37" w14:textId="77777777" w:rsidR="00A658D0" w:rsidRDefault="00000000">
      <w:pPr>
        <w:tabs>
          <w:tab w:val="left" w:pos="1701"/>
          <w:tab w:val="left" w:pos="1985"/>
        </w:tabs>
        <w:ind w:left="2013" w:hanging="1304"/>
        <w:jc w:val="both"/>
        <w:rPr>
          <w:rFonts w:ascii="Arial Narrow" w:hAnsi="Arial Narrow"/>
          <w:sz w:val="22"/>
        </w:rPr>
      </w:pPr>
      <w:proofErr w:type="gramStart"/>
      <w:r>
        <w:rPr>
          <w:rFonts w:ascii="Arial Narrow" w:hAnsi="Arial Narrow"/>
          <w:sz w:val="22"/>
        </w:rPr>
        <w:t>Dos  (</w:t>
      </w:r>
      <w:proofErr w:type="gramEnd"/>
      <w:r>
        <w:rPr>
          <w:rFonts w:ascii="Arial Narrow" w:hAnsi="Arial Narrow"/>
          <w:sz w:val="22"/>
        </w:rPr>
        <w:t>2)</w:t>
      </w:r>
      <w:r>
        <w:rPr>
          <w:rFonts w:ascii="Arial Narrow" w:hAnsi="Arial Narrow"/>
          <w:sz w:val="22"/>
        </w:rPr>
        <w:tab/>
        <w:t>:</w:t>
      </w:r>
      <w:r>
        <w:rPr>
          <w:rFonts w:ascii="Arial Narrow" w:hAnsi="Arial Narrow"/>
          <w:sz w:val="22"/>
        </w:rPr>
        <w:tab/>
        <w:t>Operaciones en Moneda Extranjera, que comprenden también aquellas operaciones en moneda nacional indexadas al tipo de cambio)</w:t>
      </w:r>
    </w:p>
    <w:p w14:paraId="06B49B38" w14:textId="77777777" w:rsidR="00A658D0" w:rsidRDefault="00000000">
      <w:pPr>
        <w:tabs>
          <w:tab w:val="left" w:pos="1701"/>
          <w:tab w:val="left" w:pos="1985"/>
        </w:tabs>
        <w:ind w:left="2013" w:hanging="1304"/>
        <w:jc w:val="both"/>
        <w:rPr>
          <w:rFonts w:ascii="Arial Narrow" w:hAnsi="Arial Narrow"/>
          <w:sz w:val="22"/>
        </w:rPr>
      </w:pPr>
      <w:r>
        <w:rPr>
          <w:rFonts w:ascii="Arial Narrow" w:hAnsi="Arial Narrow"/>
          <w:sz w:val="22"/>
        </w:rPr>
        <w:t>Tres (3)</w:t>
      </w:r>
      <w:r>
        <w:rPr>
          <w:rFonts w:ascii="Arial Narrow" w:hAnsi="Arial Narrow"/>
          <w:sz w:val="22"/>
        </w:rPr>
        <w:tab/>
        <w:t>:</w:t>
      </w:r>
      <w:r>
        <w:rPr>
          <w:rFonts w:ascii="Arial Narrow" w:hAnsi="Arial Narrow"/>
          <w:sz w:val="22"/>
        </w:rPr>
        <w:tab/>
        <w:t>Operaciones sujetas indexación (valor de actualización constante -VAC-)</w:t>
      </w:r>
      <w:r>
        <w:rPr>
          <w:rStyle w:val="Refdenotaalpie"/>
          <w:rFonts w:ascii="Arial Narrow" w:hAnsi="Arial Narrow"/>
          <w:sz w:val="22"/>
        </w:rPr>
        <w:footnoteReference w:id="5"/>
      </w:r>
    </w:p>
    <w:p w14:paraId="06B49B39" w14:textId="77777777" w:rsidR="00A658D0" w:rsidRDefault="00A658D0">
      <w:pPr>
        <w:ind w:left="708" w:hanging="282"/>
        <w:jc w:val="both"/>
        <w:rPr>
          <w:rFonts w:ascii="Arial Narrow" w:hAnsi="Arial Narrow"/>
          <w:sz w:val="22"/>
        </w:rPr>
      </w:pPr>
    </w:p>
    <w:p w14:paraId="06B49B3A" w14:textId="77777777" w:rsidR="00A658D0" w:rsidRDefault="00000000">
      <w:pPr>
        <w:ind w:left="708" w:hanging="282"/>
        <w:jc w:val="both"/>
        <w:rPr>
          <w:rFonts w:ascii="Arial Narrow" w:hAnsi="Arial Narrow"/>
          <w:sz w:val="22"/>
        </w:rPr>
      </w:pPr>
      <w:r>
        <w:rPr>
          <w:rFonts w:ascii="Arial Narrow" w:hAnsi="Arial Narrow"/>
          <w:sz w:val="22"/>
        </w:rPr>
        <w:t>6.</w:t>
      </w:r>
      <w:r>
        <w:rPr>
          <w:rFonts w:ascii="Arial Narrow" w:hAnsi="Arial Narrow"/>
          <w:sz w:val="22"/>
        </w:rPr>
        <w:tab/>
        <w:t>Las transacciones con compañías afiliadas se indican en la cuarta posición de cada cuenta, con el dígito 8. La utilización del mencionado dígito está desarrollada en el Marco Contable Conceptual.</w:t>
      </w:r>
      <w:r>
        <w:rPr>
          <w:rStyle w:val="Refdenotaalpie"/>
          <w:rFonts w:ascii="Arial Narrow" w:hAnsi="Arial Narrow"/>
          <w:sz w:val="22"/>
        </w:rPr>
        <w:footnoteReference w:id="6"/>
      </w:r>
    </w:p>
    <w:p w14:paraId="06B49B3B" w14:textId="77777777" w:rsidR="00A658D0" w:rsidRDefault="00A658D0">
      <w:pPr>
        <w:ind w:left="708" w:hanging="282"/>
        <w:jc w:val="both"/>
        <w:rPr>
          <w:rFonts w:ascii="Arial Narrow" w:hAnsi="Arial Narrow"/>
          <w:sz w:val="22"/>
        </w:rPr>
      </w:pPr>
    </w:p>
    <w:p w14:paraId="06B49B3C" w14:textId="77777777" w:rsidR="00A658D0" w:rsidRDefault="00000000">
      <w:pPr>
        <w:ind w:left="708" w:hanging="282"/>
        <w:jc w:val="both"/>
        <w:rPr>
          <w:rFonts w:ascii="Arial Narrow" w:hAnsi="Arial Narrow"/>
          <w:sz w:val="22"/>
        </w:rPr>
      </w:pPr>
      <w:r>
        <w:rPr>
          <w:rFonts w:ascii="Arial Narrow" w:hAnsi="Arial Narrow"/>
          <w:sz w:val="22"/>
        </w:rPr>
        <w:t>7.</w:t>
      </w:r>
      <w:r>
        <w:rPr>
          <w:rFonts w:ascii="Arial Narrow" w:hAnsi="Arial Narrow"/>
          <w:sz w:val="22"/>
        </w:rPr>
        <w:tab/>
        <w:t>Ejemplos:</w:t>
      </w:r>
    </w:p>
    <w:p w14:paraId="06B49B3D" w14:textId="77777777" w:rsidR="00A658D0" w:rsidRDefault="00A658D0">
      <w:pPr>
        <w:ind w:left="1134" w:hanging="282"/>
        <w:jc w:val="both"/>
        <w:rPr>
          <w:rFonts w:ascii="Arial Narrow" w:hAnsi="Arial Narrow"/>
          <w:sz w:val="24"/>
        </w:rPr>
      </w:pPr>
    </w:p>
    <w:p w14:paraId="06B49B3E" w14:textId="77777777" w:rsidR="00A658D0" w:rsidRDefault="00000000">
      <w:pPr>
        <w:ind w:left="1134" w:hanging="282"/>
        <w:jc w:val="both"/>
        <w:rPr>
          <w:rFonts w:ascii="Arial Narrow" w:hAnsi="Arial Narrow"/>
          <w:sz w:val="22"/>
        </w:rPr>
      </w:pPr>
      <w:r>
        <w:rPr>
          <w:rFonts w:ascii="Arial Narrow" w:hAnsi="Arial Narrow"/>
          <w:sz w:val="22"/>
        </w:rPr>
        <w:t>a)</w:t>
      </w:r>
      <w:r>
        <w:rPr>
          <w:rFonts w:ascii="Arial Narrow" w:hAnsi="Arial Narrow"/>
          <w:sz w:val="22"/>
        </w:rPr>
        <w:tab/>
        <w:t>Banco X - Cuenta Corriente, plaza: Trujillo, moneda nacional, relacionado</w:t>
      </w:r>
    </w:p>
    <w:p w14:paraId="06B49B3F" w14:textId="77777777" w:rsidR="00A658D0" w:rsidRDefault="00000000">
      <w:pPr>
        <w:ind w:left="1134" w:hanging="282"/>
        <w:jc w:val="both"/>
        <w:rPr>
          <w:rFonts w:ascii="Arial Narrow" w:hAnsi="Arial Narrow"/>
          <w:sz w:val="22"/>
        </w:rPr>
      </w:pPr>
      <w:r>
        <w:rPr>
          <w:rFonts w:ascii="Arial Narrow" w:hAnsi="Arial Narrow"/>
          <w:sz w:val="22"/>
        </w:rPr>
        <w:tab/>
        <w:t>10</w:t>
      </w:r>
      <w:r>
        <w:rPr>
          <w:rFonts w:ascii="Arial Narrow" w:hAnsi="Arial Narrow"/>
          <w:sz w:val="22"/>
        </w:rPr>
        <w:tab/>
      </w:r>
      <w:r>
        <w:rPr>
          <w:rFonts w:ascii="Arial Narrow" w:hAnsi="Arial Narrow"/>
          <w:sz w:val="22"/>
        </w:rPr>
        <w:tab/>
      </w:r>
      <w:proofErr w:type="gramStart"/>
      <w:r>
        <w:rPr>
          <w:rFonts w:ascii="Arial Narrow" w:hAnsi="Arial Narrow"/>
          <w:sz w:val="22"/>
        </w:rPr>
        <w:t>Caja</w:t>
      </w:r>
      <w:proofErr w:type="gramEnd"/>
      <w:r>
        <w:rPr>
          <w:rFonts w:ascii="Arial Narrow" w:hAnsi="Arial Narrow"/>
          <w:sz w:val="22"/>
        </w:rPr>
        <w:t xml:space="preserve"> Bancos</w:t>
      </w:r>
    </w:p>
    <w:p w14:paraId="06B49B40"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1</w:t>
      </w:r>
      <w:r>
        <w:rPr>
          <w:rFonts w:ascii="Arial Narrow" w:hAnsi="Arial Narrow"/>
          <w:sz w:val="22"/>
        </w:rPr>
        <w:tab/>
        <w:t>Moneda Nacional</w:t>
      </w:r>
    </w:p>
    <w:p w14:paraId="06B49B41"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8</w:t>
      </w:r>
      <w:r>
        <w:rPr>
          <w:rFonts w:ascii="Arial Narrow" w:hAnsi="Arial Narrow"/>
          <w:sz w:val="22"/>
        </w:rPr>
        <w:tab/>
      </w:r>
      <w:proofErr w:type="gramStart"/>
      <w:r>
        <w:rPr>
          <w:rFonts w:ascii="Arial Narrow" w:hAnsi="Arial Narrow"/>
          <w:sz w:val="22"/>
        </w:rPr>
        <w:t>Afiliada</w:t>
      </w:r>
      <w:proofErr w:type="gramEnd"/>
    </w:p>
    <w:p w14:paraId="06B49B42"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01 </w:t>
      </w:r>
      <w:proofErr w:type="gramStart"/>
      <w:r>
        <w:rPr>
          <w:rFonts w:ascii="Arial Narrow" w:hAnsi="Arial Narrow"/>
          <w:sz w:val="22"/>
        </w:rPr>
        <w:t>Banco</w:t>
      </w:r>
      <w:proofErr w:type="gramEnd"/>
      <w:r>
        <w:rPr>
          <w:rFonts w:ascii="Arial Narrow" w:hAnsi="Arial Narrow"/>
          <w:sz w:val="22"/>
        </w:rPr>
        <w:t xml:space="preserve"> X</w:t>
      </w:r>
    </w:p>
    <w:p w14:paraId="06B49B43"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01 </w:t>
      </w:r>
      <w:proofErr w:type="gramStart"/>
      <w:r>
        <w:rPr>
          <w:rFonts w:ascii="Arial Narrow" w:hAnsi="Arial Narrow"/>
          <w:sz w:val="22"/>
        </w:rPr>
        <w:t>Cuenta</w:t>
      </w:r>
      <w:proofErr w:type="gramEnd"/>
      <w:r>
        <w:rPr>
          <w:rFonts w:ascii="Arial Narrow" w:hAnsi="Arial Narrow"/>
          <w:sz w:val="22"/>
        </w:rPr>
        <w:t xml:space="preserve"> Corriente - Trujillo</w:t>
      </w:r>
    </w:p>
    <w:p w14:paraId="06B49B44" w14:textId="77777777" w:rsidR="00A658D0" w:rsidRDefault="00A658D0">
      <w:pPr>
        <w:ind w:left="1134" w:hanging="282"/>
        <w:jc w:val="both"/>
        <w:rPr>
          <w:rFonts w:ascii="Arial Narrow" w:hAnsi="Arial Narrow"/>
          <w:sz w:val="22"/>
        </w:rPr>
      </w:pPr>
    </w:p>
    <w:p w14:paraId="06B49B45" w14:textId="77777777" w:rsidR="00A658D0" w:rsidRDefault="00000000">
      <w:pPr>
        <w:ind w:left="1134" w:hanging="282"/>
        <w:jc w:val="both"/>
        <w:rPr>
          <w:rFonts w:ascii="Arial Narrow" w:hAnsi="Arial Narrow"/>
          <w:sz w:val="22"/>
        </w:rPr>
      </w:pPr>
      <w:r>
        <w:rPr>
          <w:rFonts w:ascii="Arial Narrow" w:hAnsi="Arial Narrow"/>
          <w:sz w:val="22"/>
        </w:rPr>
        <w:t>b)</w:t>
      </w:r>
      <w:r>
        <w:rPr>
          <w:rFonts w:ascii="Arial Narrow" w:hAnsi="Arial Narrow"/>
          <w:sz w:val="22"/>
        </w:rPr>
        <w:tab/>
        <w:t>Primas de incendio por cobrar, moneda extranjera, compañía relacionada</w:t>
      </w:r>
    </w:p>
    <w:p w14:paraId="06B49B46" w14:textId="77777777" w:rsidR="00A658D0" w:rsidRDefault="00000000">
      <w:pPr>
        <w:ind w:left="1134" w:hanging="282"/>
        <w:jc w:val="both"/>
        <w:rPr>
          <w:rFonts w:ascii="Arial Narrow" w:hAnsi="Arial Narrow"/>
          <w:sz w:val="22"/>
        </w:rPr>
      </w:pPr>
      <w:r>
        <w:rPr>
          <w:rFonts w:ascii="Arial Narrow" w:hAnsi="Arial Narrow"/>
          <w:sz w:val="22"/>
        </w:rPr>
        <w:tab/>
        <w:t>12</w:t>
      </w:r>
      <w:r>
        <w:rPr>
          <w:rFonts w:ascii="Arial Narrow" w:hAnsi="Arial Narrow"/>
          <w:sz w:val="22"/>
        </w:rPr>
        <w:tab/>
      </w:r>
      <w:proofErr w:type="gramStart"/>
      <w:r>
        <w:rPr>
          <w:rFonts w:ascii="Arial Narrow" w:hAnsi="Arial Narrow"/>
          <w:sz w:val="22"/>
        </w:rPr>
        <w:t>Primas</w:t>
      </w:r>
      <w:proofErr w:type="gramEnd"/>
      <w:r>
        <w:rPr>
          <w:rFonts w:ascii="Arial Narrow" w:hAnsi="Arial Narrow"/>
          <w:sz w:val="22"/>
        </w:rPr>
        <w:t xml:space="preserve"> por cobrar</w:t>
      </w:r>
    </w:p>
    <w:p w14:paraId="06B49B47"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t>2</w:t>
      </w:r>
      <w:r>
        <w:rPr>
          <w:rFonts w:ascii="Arial Narrow" w:hAnsi="Arial Narrow"/>
          <w:sz w:val="22"/>
        </w:rPr>
        <w:tab/>
        <w:t>Moneda Extranjera</w:t>
      </w:r>
    </w:p>
    <w:p w14:paraId="06B49B48"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8</w:t>
      </w:r>
      <w:r>
        <w:rPr>
          <w:rFonts w:ascii="Arial Narrow" w:hAnsi="Arial Narrow"/>
          <w:sz w:val="22"/>
        </w:rPr>
        <w:tab/>
      </w:r>
      <w:proofErr w:type="gramStart"/>
      <w:r>
        <w:rPr>
          <w:rFonts w:ascii="Arial Narrow" w:hAnsi="Arial Narrow"/>
          <w:sz w:val="22"/>
        </w:rPr>
        <w:t>Afiliada</w:t>
      </w:r>
      <w:proofErr w:type="gramEnd"/>
    </w:p>
    <w:p w14:paraId="06B49B49"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01</w:t>
      </w:r>
      <w:r>
        <w:rPr>
          <w:rFonts w:ascii="Arial Narrow" w:hAnsi="Arial Narrow"/>
          <w:sz w:val="22"/>
        </w:rPr>
        <w:tab/>
      </w:r>
      <w:proofErr w:type="gramStart"/>
      <w:r>
        <w:rPr>
          <w:rFonts w:ascii="Arial Narrow" w:hAnsi="Arial Narrow"/>
          <w:sz w:val="22"/>
        </w:rPr>
        <w:t>Incendio</w:t>
      </w:r>
      <w:proofErr w:type="gramEnd"/>
      <w:r>
        <w:rPr>
          <w:rFonts w:ascii="Arial Narrow" w:hAnsi="Arial Narrow"/>
          <w:sz w:val="22"/>
        </w:rPr>
        <w:t xml:space="preserve"> </w:t>
      </w:r>
    </w:p>
    <w:p w14:paraId="06B49B4A" w14:textId="77777777" w:rsidR="00A658D0" w:rsidRDefault="00A658D0">
      <w:pPr>
        <w:ind w:left="1134" w:hanging="282"/>
        <w:jc w:val="both"/>
        <w:rPr>
          <w:rFonts w:ascii="Arial Narrow" w:hAnsi="Arial Narrow"/>
          <w:sz w:val="22"/>
        </w:rPr>
      </w:pPr>
    </w:p>
    <w:p w14:paraId="06B49B4B" w14:textId="77777777" w:rsidR="00A658D0" w:rsidRDefault="00000000">
      <w:pPr>
        <w:ind w:left="1134" w:hanging="282"/>
        <w:jc w:val="both"/>
        <w:rPr>
          <w:rFonts w:ascii="Arial Narrow" w:hAnsi="Arial Narrow"/>
          <w:sz w:val="22"/>
        </w:rPr>
      </w:pPr>
      <w:r>
        <w:rPr>
          <w:rFonts w:ascii="Arial Narrow" w:hAnsi="Arial Narrow"/>
          <w:sz w:val="22"/>
        </w:rPr>
        <w:t>c)</w:t>
      </w:r>
      <w:r>
        <w:rPr>
          <w:rFonts w:ascii="Arial Narrow" w:hAnsi="Arial Narrow"/>
          <w:sz w:val="22"/>
        </w:rPr>
        <w:tab/>
        <w:t>Bonos, moneda extranjera, mercado local</w:t>
      </w:r>
    </w:p>
    <w:p w14:paraId="06B49B4C" w14:textId="77777777" w:rsidR="00A658D0" w:rsidRDefault="00000000">
      <w:pPr>
        <w:ind w:left="1134" w:hanging="282"/>
        <w:jc w:val="both"/>
        <w:rPr>
          <w:rFonts w:ascii="Arial Narrow" w:hAnsi="Arial Narrow"/>
          <w:sz w:val="22"/>
        </w:rPr>
      </w:pPr>
      <w:r>
        <w:rPr>
          <w:rFonts w:ascii="Arial Narrow" w:hAnsi="Arial Narrow"/>
          <w:sz w:val="22"/>
        </w:rPr>
        <w:tab/>
        <w:t xml:space="preserve">17 </w:t>
      </w:r>
      <w:proofErr w:type="gramStart"/>
      <w:r>
        <w:rPr>
          <w:rFonts w:ascii="Arial Narrow" w:hAnsi="Arial Narrow"/>
          <w:sz w:val="22"/>
        </w:rPr>
        <w:t>Inversiones</w:t>
      </w:r>
      <w:proofErr w:type="gramEnd"/>
    </w:p>
    <w:p w14:paraId="06B49B4D"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t>2</w:t>
      </w:r>
      <w:r>
        <w:rPr>
          <w:rFonts w:ascii="Arial Narrow" w:hAnsi="Arial Narrow"/>
          <w:sz w:val="22"/>
        </w:rPr>
        <w:tab/>
        <w:t>Moneda Extranjera</w:t>
      </w:r>
    </w:p>
    <w:p w14:paraId="06B49B4E"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1</w:t>
      </w:r>
      <w:r>
        <w:rPr>
          <w:rFonts w:ascii="Arial Narrow" w:hAnsi="Arial Narrow"/>
          <w:sz w:val="22"/>
        </w:rPr>
        <w:tab/>
      </w:r>
      <w:proofErr w:type="gramStart"/>
      <w:r>
        <w:rPr>
          <w:rFonts w:ascii="Arial Narrow" w:hAnsi="Arial Narrow"/>
          <w:sz w:val="22"/>
        </w:rPr>
        <w:t>Inversiones</w:t>
      </w:r>
      <w:proofErr w:type="gramEnd"/>
      <w:r>
        <w:rPr>
          <w:rFonts w:ascii="Arial Narrow" w:hAnsi="Arial Narrow"/>
          <w:sz w:val="22"/>
        </w:rPr>
        <w:t xml:space="preserve"> Mercado Local</w:t>
      </w:r>
    </w:p>
    <w:p w14:paraId="06B49B4F" w14:textId="77777777" w:rsidR="00A658D0" w:rsidRDefault="00000000">
      <w:pPr>
        <w:ind w:left="1134" w:hanging="282"/>
        <w:jc w:val="both"/>
        <w:rPr>
          <w:rFonts w:ascii="Arial Narrow" w:hAnsi="Arial Narrow"/>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03</w:t>
      </w:r>
      <w:r>
        <w:rPr>
          <w:rFonts w:ascii="Arial Narrow" w:hAnsi="Arial Narrow"/>
          <w:sz w:val="22"/>
        </w:rPr>
        <w:tab/>
      </w:r>
      <w:proofErr w:type="gramStart"/>
      <w:r>
        <w:rPr>
          <w:rFonts w:ascii="Arial Narrow" w:hAnsi="Arial Narrow"/>
          <w:sz w:val="22"/>
        </w:rPr>
        <w:t>Bonos</w:t>
      </w:r>
      <w:proofErr w:type="gramEnd"/>
    </w:p>
    <w:p w14:paraId="06B49B50" w14:textId="77777777" w:rsidR="00A658D0" w:rsidRDefault="00A658D0">
      <w:pPr>
        <w:ind w:left="1134" w:hanging="282"/>
        <w:jc w:val="both"/>
        <w:rPr>
          <w:rFonts w:ascii="Arial Narrow" w:hAnsi="Arial Narrow"/>
          <w:sz w:val="22"/>
        </w:rPr>
      </w:pPr>
    </w:p>
    <w:p w14:paraId="06B49B51" w14:textId="77777777" w:rsidR="00A658D0" w:rsidRDefault="00000000">
      <w:pPr>
        <w:ind w:left="1134" w:hanging="282"/>
        <w:jc w:val="both"/>
        <w:rPr>
          <w:rFonts w:ascii="Arial Narrow" w:hAnsi="Arial Narrow"/>
          <w:sz w:val="22"/>
        </w:rPr>
      </w:pPr>
      <w:r>
        <w:rPr>
          <w:rFonts w:ascii="Arial Narrow" w:hAnsi="Arial Narrow"/>
          <w:sz w:val="22"/>
        </w:rPr>
        <w:t>d)</w:t>
      </w:r>
      <w:r>
        <w:rPr>
          <w:rFonts w:ascii="Arial Narrow" w:hAnsi="Arial Narrow"/>
          <w:sz w:val="22"/>
        </w:rPr>
        <w:tab/>
        <w:t>Primas de incendio, mercado local, compañía no relacionada, moneda nacional</w:t>
      </w:r>
    </w:p>
    <w:p w14:paraId="06B49B52" w14:textId="77777777" w:rsidR="00A658D0" w:rsidRDefault="00000000">
      <w:pPr>
        <w:ind w:left="1134" w:hanging="282"/>
        <w:jc w:val="both"/>
        <w:rPr>
          <w:rFonts w:ascii="Arial Narrow" w:hAnsi="Arial Narrow"/>
          <w:sz w:val="22"/>
        </w:rPr>
      </w:pPr>
      <w:r>
        <w:rPr>
          <w:rFonts w:ascii="Arial Narrow" w:hAnsi="Arial Narrow"/>
          <w:sz w:val="22"/>
        </w:rPr>
        <w:lastRenderedPageBreak/>
        <w:tab/>
        <w:t>50</w:t>
      </w:r>
      <w:r>
        <w:rPr>
          <w:rFonts w:ascii="Arial Narrow" w:hAnsi="Arial Narrow"/>
          <w:sz w:val="22"/>
        </w:rPr>
        <w:tab/>
      </w:r>
      <w:proofErr w:type="gramStart"/>
      <w:r>
        <w:rPr>
          <w:rFonts w:ascii="Arial Narrow" w:hAnsi="Arial Narrow"/>
          <w:sz w:val="22"/>
        </w:rPr>
        <w:t>Primas</w:t>
      </w:r>
      <w:proofErr w:type="gramEnd"/>
      <w:r>
        <w:rPr>
          <w:rFonts w:ascii="Arial Narrow" w:hAnsi="Arial Narrow"/>
          <w:sz w:val="22"/>
        </w:rPr>
        <w:t xml:space="preserve"> de seguros</w:t>
      </w:r>
    </w:p>
    <w:p w14:paraId="06B49B53"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t>1</w:t>
      </w:r>
      <w:r>
        <w:rPr>
          <w:rFonts w:ascii="Arial Narrow" w:hAnsi="Arial Narrow"/>
          <w:sz w:val="22"/>
        </w:rPr>
        <w:tab/>
        <w:t>Moneda Nacional</w:t>
      </w:r>
    </w:p>
    <w:p w14:paraId="06B49B54"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1</w:t>
      </w:r>
      <w:r>
        <w:rPr>
          <w:rFonts w:ascii="Arial Narrow" w:hAnsi="Arial Narrow"/>
          <w:sz w:val="22"/>
        </w:rPr>
        <w:tab/>
      </w:r>
      <w:proofErr w:type="gramStart"/>
      <w:r>
        <w:rPr>
          <w:rFonts w:ascii="Arial Narrow" w:hAnsi="Arial Narrow"/>
          <w:sz w:val="22"/>
        </w:rPr>
        <w:t>Primas</w:t>
      </w:r>
      <w:proofErr w:type="gramEnd"/>
      <w:r>
        <w:rPr>
          <w:rFonts w:ascii="Arial Narrow" w:hAnsi="Arial Narrow"/>
          <w:sz w:val="22"/>
        </w:rPr>
        <w:t xml:space="preserve"> de seguros mercado local</w:t>
      </w:r>
    </w:p>
    <w:p w14:paraId="06B49B55"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01</w:t>
      </w:r>
      <w:r>
        <w:rPr>
          <w:rFonts w:ascii="Arial Narrow" w:hAnsi="Arial Narrow"/>
          <w:sz w:val="22"/>
        </w:rPr>
        <w:tab/>
      </w:r>
      <w:proofErr w:type="gramStart"/>
      <w:r>
        <w:rPr>
          <w:rFonts w:ascii="Arial Narrow" w:hAnsi="Arial Narrow"/>
          <w:sz w:val="22"/>
        </w:rPr>
        <w:t>Incendio</w:t>
      </w:r>
      <w:proofErr w:type="gramEnd"/>
    </w:p>
    <w:p w14:paraId="06B49B56" w14:textId="77777777" w:rsidR="00A658D0" w:rsidRDefault="00A658D0">
      <w:pPr>
        <w:ind w:left="1134" w:hanging="282"/>
        <w:jc w:val="both"/>
        <w:rPr>
          <w:rFonts w:ascii="Arial Narrow" w:hAnsi="Arial Narrow"/>
          <w:sz w:val="22"/>
        </w:rPr>
      </w:pPr>
    </w:p>
    <w:p w14:paraId="06B49B57" w14:textId="77777777" w:rsidR="00A658D0" w:rsidRDefault="00000000">
      <w:pPr>
        <w:ind w:left="1134" w:hanging="282"/>
        <w:jc w:val="both"/>
        <w:rPr>
          <w:rFonts w:ascii="Arial Narrow" w:hAnsi="Arial Narrow"/>
          <w:sz w:val="22"/>
        </w:rPr>
      </w:pPr>
      <w:r>
        <w:rPr>
          <w:rFonts w:ascii="Arial Narrow" w:hAnsi="Arial Narrow"/>
          <w:sz w:val="22"/>
        </w:rPr>
        <w:t>e)</w:t>
      </w:r>
      <w:r>
        <w:rPr>
          <w:rFonts w:ascii="Arial Narrow" w:hAnsi="Arial Narrow"/>
          <w:sz w:val="22"/>
        </w:rPr>
        <w:tab/>
        <w:t>Reaseguro aceptado de incendio, reaseguradora relacionada, moneda nacional</w:t>
      </w:r>
    </w:p>
    <w:p w14:paraId="06B49B58" w14:textId="77777777" w:rsidR="00A658D0" w:rsidRDefault="00000000">
      <w:pPr>
        <w:ind w:left="1134" w:hanging="282"/>
        <w:jc w:val="both"/>
        <w:rPr>
          <w:rFonts w:ascii="Arial Narrow" w:hAnsi="Arial Narrow"/>
          <w:sz w:val="22"/>
        </w:rPr>
      </w:pPr>
      <w:r>
        <w:rPr>
          <w:rFonts w:ascii="Arial Narrow" w:hAnsi="Arial Narrow"/>
          <w:sz w:val="22"/>
        </w:rPr>
        <w:tab/>
        <w:t xml:space="preserve">50 </w:t>
      </w:r>
      <w:proofErr w:type="gramStart"/>
      <w:r>
        <w:rPr>
          <w:rFonts w:ascii="Arial Narrow" w:hAnsi="Arial Narrow"/>
          <w:sz w:val="22"/>
        </w:rPr>
        <w:t>Primas</w:t>
      </w:r>
      <w:proofErr w:type="gramEnd"/>
      <w:r>
        <w:rPr>
          <w:rFonts w:ascii="Arial Narrow" w:hAnsi="Arial Narrow"/>
          <w:sz w:val="22"/>
        </w:rPr>
        <w:t xml:space="preserve"> de seguros</w:t>
      </w:r>
    </w:p>
    <w:p w14:paraId="06B49B59"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t>1</w:t>
      </w:r>
      <w:r>
        <w:rPr>
          <w:rFonts w:ascii="Arial Narrow" w:hAnsi="Arial Narrow"/>
          <w:sz w:val="22"/>
        </w:rPr>
        <w:tab/>
        <w:t>Moneda nacional</w:t>
      </w:r>
    </w:p>
    <w:p w14:paraId="06B49B5A"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8</w:t>
      </w:r>
      <w:r>
        <w:rPr>
          <w:rFonts w:ascii="Arial Narrow" w:hAnsi="Arial Narrow"/>
          <w:sz w:val="22"/>
        </w:rPr>
        <w:tab/>
      </w:r>
      <w:proofErr w:type="gramStart"/>
      <w:r>
        <w:rPr>
          <w:rFonts w:ascii="Arial Narrow" w:hAnsi="Arial Narrow"/>
          <w:sz w:val="22"/>
        </w:rPr>
        <w:t>Afiliada</w:t>
      </w:r>
      <w:proofErr w:type="gramEnd"/>
    </w:p>
    <w:p w14:paraId="06B49B5B"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01</w:t>
      </w:r>
      <w:r>
        <w:rPr>
          <w:rFonts w:ascii="Arial Narrow" w:hAnsi="Arial Narrow"/>
          <w:sz w:val="22"/>
        </w:rPr>
        <w:tab/>
      </w:r>
      <w:proofErr w:type="gramStart"/>
      <w:r>
        <w:rPr>
          <w:rFonts w:ascii="Arial Narrow" w:hAnsi="Arial Narrow"/>
          <w:sz w:val="22"/>
        </w:rPr>
        <w:t>Incendio</w:t>
      </w:r>
      <w:proofErr w:type="gramEnd"/>
    </w:p>
    <w:p w14:paraId="06B49B5C" w14:textId="77777777" w:rsidR="00A658D0" w:rsidRDefault="00000000">
      <w:pPr>
        <w:ind w:left="1134" w:hanging="282"/>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02</w:t>
      </w:r>
      <w:r>
        <w:rPr>
          <w:rFonts w:ascii="Arial Narrow" w:hAnsi="Arial Narrow"/>
          <w:sz w:val="22"/>
        </w:rPr>
        <w:tab/>
      </w:r>
      <w:proofErr w:type="gramStart"/>
      <w:r>
        <w:rPr>
          <w:rFonts w:ascii="Arial Narrow" w:hAnsi="Arial Narrow"/>
          <w:sz w:val="22"/>
        </w:rPr>
        <w:t>Reaseguro</w:t>
      </w:r>
      <w:proofErr w:type="gramEnd"/>
      <w:r>
        <w:rPr>
          <w:rFonts w:ascii="Arial Narrow" w:hAnsi="Arial Narrow"/>
          <w:sz w:val="22"/>
        </w:rPr>
        <w:t xml:space="preserve"> aceptado</w:t>
      </w:r>
    </w:p>
    <w:p w14:paraId="06B49B5D" w14:textId="77777777" w:rsidR="00A658D0" w:rsidRDefault="00A658D0">
      <w:pPr>
        <w:ind w:left="1134" w:hanging="282"/>
        <w:jc w:val="both"/>
        <w:rPr>
          <w:rFonts w:ascii="Arial Narrow" w:hAnsi="Arial Narrow"/>
          <w:sz w:val="22"/>
        </w:rPr>
      </w:pPr>
    </w:p>
    <w:p w14:paraId="06B49B5E" w14:textId="77777777" w:rsidR="00A658D0" w:rsidRDefault="00000000">
      <w:pPr>
        <w:ind w:left="708" w:hanging="282"/>
        <w:jc w:val="both"/>
        <w:rPr>
          <w:rFonts w:ascii="Arial Narrow" w:hAnsi="Arial Narrow"/>
          <w:sz w:val="22"/>
        </w:rPr>
      </w:pPr>
      <w:r>
        <w:rPr>
          <w:rFonts w:ascii="Arial Narrow" w:hAnsi="Arial Narrow"/>
          <w:sz w:val="22"/>
        </w:rPr>
        <w:t>8.</w:t>
      </w:r>
      <w:r>
        <w:rPr>
          <w:rFonts w:ascii="Arial Narrow" w:hAnsi="Arial Narrow"/>
          <w:sz w:val="22"/>
        </w:rPr>
        <w:tab/>
        <w:t xml:space="preserve">Aplicabilidad de las cuentas </w:t>
      </w:r>
      <w:proofErr w:type="gramStart"/>
      <w:r>
        <w:rPr>
          <w:rFonts w:ascii="Arial Narrow" w:hAnsi="Arial Narrow"/>
          <w:sz w:val="22"/>
        </w:rPr>
        <w:t>de acuerdo al</w:t>
      </w:r>
      <w:proofErr w:type="gramEnd"/>
      <w:r>
        <w:rPr>
          <w:rFonts w:ascii="Arial Narrow" w:hAnsi="Arial Narrow"/>
          <w:sz w:val="22"/>
        </w:rPr>
        <w:t xml:space="preserve"> tipo de Empresa</w:t>
      </w:r>
    </w:p>
    <w:p w14:paraId="06B49B5F" w14:textId="77777777" w:rsidR="00A658D0" w:rsidRDefault="00A658D0">
      <w:pPr>
        <w:ind w:left="708" w:hanging="282"/>
        <w:jc w:val="both"/>
        <w:rPr>
          <w:rFonts w:ascii="Arial Narrow" w:hAnsi="Arial Narrow"/>
          <w:sz w:val="22"/>
        </w:rPr>
      </w:pPr>
    </w:p>
    <w:p w14:paraId="06B49B60" w14:textId="77777777" w:rsidR="00A658D0" w:rsidRDefault="00000000">
      <w:pPr>
        <w:ind w:left="708" w:hanging="282"/>
        <w:jc w:val="both"/>
        <w:rPr>
          <w:rFonts w:ascii="Arial Narrow" w:hAnsi="Arial Narrow"/>
          <w:sz w:val="22"/>
        </w:rPr>
      </w:pPr>
      <w:r>
        <w:rPr>
          <w:rFonts w:ascii="Arial Narrow" w:hAnsi="Arial Narrow"/>
          <w:sz w:val="22"/>
        </w:rPr>
        <w:tab/>
        <w:t>S</w:t>
      </w:r>
      <w:r>
        <w:rPr>
          <w:rFonts w:ascii="Arial Narrow" w:hAnsi="Arial Narrow"/>
          <w:sz w:val="22"/>
        </w:rPr>
        <w:tab/>
      </w:r>
      <w:r>
        <w:rPr>
          <w:rFonts w:ascii="Arial Narrow" w:hAnsi="Arial Narrow"/>
          <w:sz w:val="22"/>
        </w:rPr>
        <w:tab/>
        <w:t>=</w:t>
      </w:r>
      <w:r>
        <w:rPr>
          <w:rFonts w:ascii="Arial Narrow" w:hAnsi="Arial Narrow"/>
          <w:sz w:val="22"/>
        </w:rPr>
        <w:tab/>
      </w:r>
      <w:r>
        <w:rPr>
          <w:rFonts w:ascii="Arial Narrow" w:hAnsi="Arial Narrow"/>
          <w:sz w:val="22"/>
        </w:rPr>
        <w:tab/>
        <w:t>Compañías de Seguros y de Reaseguros</w:t>
      </w:r>
    </w:p>
    <w:p w14:paraId="06B49B61" w14:textId="77777777" w:rsidR="00A658D0" w:rsidRDefault="00000000">
      <w:pPr>
        <w:ind w:left="708" w:hanging="282"/>
        <w:jc w:val="both"/>
        <w:rPr>
          <w:rFonts w:ascii="Arial Narrow" w:hAnsi="Arial Narrow"/>
          <w:sz w:val="22"/>
        </w:rPr>
      </w:pPr>
      <w:r>
        <w:rPr>
          <w:rFonts w:ascii="Arial Narrow" w:hAnsi="Arial Narrow"/>
          <w:sz w:val="22"/>
        </w:rPr>
        <w:tab/>
        <w:t>I</w:t>
      </w:r>
      <w:r>
        <w:rPr>
          <w:rFonts w:ascii="Arial Narrow" w:hAnsi="Arial Narrow"/>
          <w:sz w:val="22"/>
        </w:rPr>
        <w:tab/>
      </w:r>
      <w:r>
        <w:rPr>
          <w:rFonts w:ascii="Arial Narrow" w:hAnsi="Arial Narrow"/>
          <w:sz w:val="22"/>
        </w:rPr>
        <w:tab/>
        <w:t>=</w:t>
      </w:r>
      <w:r>
        <w:rPr>
          <w:rFonts w:ascii="Arial Narrow" w:hAnsi="Arial Narrow"/>
          <w:sz w:val="22"/>
        </w:rPr>
        <w:tab/>
      </w:r>
      <w:r>
        <w:rPr>
          <w:rFonts w:ascii="Arial Narrow" w:hAnsi="Arial Narrow"/>
          <w:sz w:val="22"/>
        </w:rPr>
        <w:tab/>
        <w:t>Intermediarios de Seguros y de Reaseguros</w:t>
      </w:r>
    </w:p>
    <w:p w14:paraId="06B49B62" w14:textId="77777777" w:rsidR="00A658D0" w:rsidRDefault="00000000">
      <w:pPr>
        <w:ind w:left="708" w:hanging="282"/>
        <w:jc w:val="both"/>
        <w:rPr>
          <w:rFonts w:ascii="Arial Narrow" w:hAnsi="Arial Narrow"/>
          <w:sz w:val="22"/>
        </w:rPr>
      </w:pPr>
      <w:r>
        <w:rPr>
          <w:rFonts w:ascii="Arial Narrow" w:hAnsi="Arial Narrow"/>
          <w:sz w:val="22"/>
        </w:rPr>
        <w:tab/>
        <w:t>A</w:t>
      </w:r>
      <w:r>
        <w:rPr>
          <w:rFonts w:ascii="Arial Narrow" w:hAnsi="Arial Narrow"/>
          <w:sz w:val="22"/>
        </w:rPr>
        <w:tab/>
      </w:r>
      <w:r>
        <w:rPr>
          <w:rFonts w:ascii="Arial Narrow" w:hAnsi="Arial Narrow"/>
          <w:sz w:val="22"/>
        </w:rPr>
        <w:tab/>
        <w:t>=</w:t>
      </w:r>
      <w:r>
        <w:rPr>
          <w:rFonts w:ascii="Arial Narrow" w:hAnsi="Arial Narrow"/>
          <w:sz w:val="22"/>
        </w:rPr>
        <w:tab/>
      </w:r>
      <w:r>
        <w:rPr>
          <w:rFonts w:ascii="Arial Narrow" w:hAnsi="Arial Narrow"/>
          <w:sz w:val="22"/>
        </w:rPr>
        <w:tab/>
        <w:t xml:space="preserve">Auxiliares de Seguros </w:t>
      </w:r>
    </w:p>
    <w:p w14:paraId="06B49B63" w14:textId="77777777" w:rsidR="00A658D0" w:rsidRDefault="00A658D0">
      <w:pPr>
        <w:ind w:left="708" w:hanging="282"/>
        <w:jc w:val="both"/>
        <w:rPr>
          <w:rFonts w:ascii="Arial Narrow" w:hAnsi="Arial Narrow"/>
          <w:sz w:val="22"/>
        </w:rPr>
      </w:pPr>
    </w:p>
    <w:p w14:paraId="06B49B64" w14:textId="77777777" w:rsidR="00A658D0" w:rsidRDefault="00000000">
      <w:pPr>
        <w:ind w:left="708" w:hanging="282"/>
        <w:jc w:val="both"/>
        <w:rPr>
          <w:rFonts w:ascii="Arial Narrow" w:hAnsi="Arial Narrow"/>
          <w:sz w:val="22"/>
        </w:rPr>
      </w:pPr>
      <w:r>
        <w:rPr>
          <w:rFonts w:ascii="Arial Narrow" w:hAnsi="Arial Narrow"/>
          <w:sz w:val="22"/>
        </w:rPr>
        <w:tab/>
        <w:t>Un asterisco en la columna respectiva indica su aplicabilidad para el tipo de entidad autorizada por la Superintendencia.</w:t>
      </w:r>
    </w:p>
    <w:p w14:paraId="06B49B65" w14:textId="77777777" w:rsidR="00A658D0" w:rsidRDefault="00A658D0">
      <w:pPr>
        <w:ind w:left="708" w:hanging="708"/>
        <w:jc w:val="both"/>
        <w:rPr>
          <w:rFonts w:ascii="Arial Narrow" w:hAnsi="Arial Narrow"/>
          <w:sz w:val="22"/>
        </w:rPr>
      </w:pPr>
    </w:p>
    <w:p w14:paraId="06B49B66" w14:textId="77777777" w:rsidR="00A658D0" w:rsidRDefault="00000000">
      <w:pPr>
        <w:ind w:left="426" w:hanging="426"/>
        <w:jc w:val="both"/>
        <w:rPr>
          <w:rFonts w:ascii="Arial Narrow" w:hAnsi="Arial Narrow"/>
          <w:b/>
          <w:sz w:val="22"/>
        </w:rPr>
      </w:pPr>
      <w:r>
        <w:rPr>
          <w:rFonts w:ascii="Arial Narrow" w:hAnsi="Arial Narrow"/>
          <w:b/>
          <w:sz w:val="22"/>
        </w:rPr>
        <w:t>C.</w:t>
      </w:r>
      <w:r>
        <w:rPr>
          <w:rFonts w:ascii="Arial Narrow" w:hAnsi="Arial Narrow"/>
          <w:b/>
          <w:sz w:val="22"/>
        </w:rPr>
        <w:tab/>
        <w:t xml:space="preserve">REPORTES </w:t>
      </w:r>
      <w:r>
        <w:rPr>
          <w:rStyle w:val="Refdenotaalpie"/>
          <w:rFonts w:ascii="Arial Narrow" w:hAnsi="Arial Narrow"/>
          <w:b/>
          <w:sz w:val="22"/>
        </w:rPr>
        <w:footnoteReference w:id="7"/>
      </w:r>
    </w:p>
    <w:p w14:paraId="06B49B67" w14:textId="77777777" w:rsidR="00A658D0" w:rsidRDefault="00A658D0">
      <w:pPr>
        <w:ind w:left="708" w:hanging="708"/>
        <w:jc w:val="both"/>
        <w:rPr>
          <w:rFonts w:ascii="Arial Narrow" w:hAnsi="Arial Narrow"/>
          <w:sz w:val="22"/>
        </w:rPr>
      </w:pPr>
    </w:p>
    <w:p w14:paraId="06B49B68" w14:textId="77777777" w:rsidR="00A658D0" w:rsidRDefault="00000000">
      <w:pPr>
        <w:pStyle w:val="Sangradetextonormal"/>
        <w:rPr>
          <w:rFonts w:ascii="Arial Narrow" w:hAnsi="Arial Narrow"/>
          <w:sz w:val="22"/>
        </w:rPr>
      </w:pPr>
      <w:r>
        <w:rPr>
          <w:rFonts w:ascii="Arial Narrow" w:hAnsi="Arial Narrow"/>
          <w:sz w:val="22"/>
        </w:rPr>
        <w:t>1.</w:t>
      </w:r>
      <w:r>
        <w:rPr>
          <w:rFonts w:ascii="Arial Narrow" w:hAnsi="Arial Narrow"/>
          <w:sz w:val="22"/>
        </w:rPr>
        <w:tab/>
        <w:t>Las empresas de seguros y de reaseguros presentarán los estados financieros y la información anual requeridos por esta Superintendencia, dentro de los treinta (30) días calendarios siguientes al cierre del ejercicio económico.</w:t>
      </w:r>
    </w:p>
    <w:p w14:paraId="06B49B69" w14:textId="77777777" w:rsidR="00A658D0" w:rsidRDefault="00A658D0">
      <w:pPr>
        <w:pStyle w:val="Sangradetextonormal"/>
        <w:rPr>
          <w:rFonts w:ascii="Arial Narrow" w:hAnsi="Arial Narrow"/>
          <w:sz w:val="22"/>
        </w:rPr>
      </w:pPr>
    </w:p>
    <w:p w14:paraId="06B49B6A" w14:textId="77777777" w:rsidR="00A658D0" w:rsidRDefault="00000000">
      <w:pPr>
        <w:ind w:left="708" w:hanging="282"/>
        <w:jc w:val="both"/>
        <w:rPr>
          <w:rFonts w:ascii="Arial Narrow" w:hAnsi="Arial Narrow"/>
          <w:sz w:val="22"/>
        </w:rPr>
      </w:pPr>
      <w:r>
        <w:rPr>
          <w:rFonts w:ascii="Arial Narrow" w:hAnsi="Arial Narrow"/>
          <w:sz w:val="22"/>
        </w:rPr>
        <w:tab/>
        <w:t xml:space="preserve">De acuerdo con los artículos 221° y 226° de la Ley General de Sociedades, el informe de los auditores externos, </w:t>
      </w:r>
      <w:proofErr w:type="gramStart"/>
      <w:r>
        <w:rPr>
          <w:rFonts w:ascii="Arial Narrow" w:hAnsi="Arial Narrow"/>
          <w:sz w:val="22"/>
        </w:rPr>
        <w:t>conjuntamente con</w:t>
      </w:r>
      <w:proofErr w:type="gramEnd"/>
      <w:r>
        <w:rPr>
          <w:rFonts w:ascii="Arial Narrow" w:hAnsi="Arial Narrow"/>
          <w:sz w:val="22"/>
        </w:rPr>
        <w:t xml:space="preserve"> los estados financieros auditados, correspondientes al cierre del ejercicio económico anual, deben ser puestos a disposición de los accionistas con la debida antelación para ser sometidos a la Junta General de Accionistas u órgano equivalente, para su aprobación. Asimismo, en atención a los citados dispositivos legales, se debe considerar que los resultados obtenidos en el ejercicio se refieren al resultado del ejercicio reportado en el Estado de Resultados (Forma B-1).</w:t>
      </w:r>
    </w:p>
    <w:p w14:paraId="06B49B6B" w14:textId="77777777" w:rsidR="00A658D0" w:rsidRDefault="00A658D0">
      <w:pPr>
        <w:ind w:left="708" w:hanging="282"/>
        <w:jc w:val="both"/>
        <w:rPr>
          <w:rFonts w:ascii="Arial Narrow" w:hAnsi="Arial Narrow"/>
          <w:sz w:val="22"/>
        </w:rPr>
      </w:pPr>
    </w:p>
    <w:p w14:paraId="06B49B6C" w14:textId="77777777" w:rsidR="00A658D0" w:rsidRDefault="00000000">
      <w:pPr>
        <w:ind w:left="708" w:hanging="282"/>
        <w:jc w:val="both"/>
        <w:rPr>
          <w:rFonts w:ascii="Arial Narrow" w:hAnsi="Arial Narrow"/>
          <w:sz w:val="22"/>
        </w:rPr>
      </w:pPr>
      <w:r>
        <w:rPr>
          <w:rFonts w:ascii="Arial Narrow" w:hAnsi="Arial Narrow"/>
          <w:sz w:val="22"/>
        </w:rPr>
        <w:tab/>
        <w:t xml:space="preserve"> En caso de existir observaciones, estas deberán ser informadas de inmediato a la Superintendencia.</w:t>
      </w:r>
    </w:p>
    <w:p w14:paraId="06B49B6D" w14:textId="77777777" w:rsidR="00A658D0" w:rsidRDefault="00A658D0">
      <w:pPr>
        <w:ind w:left="708" w:hanging="282"/>
        <w:jc w:val="both"/>
        <w:rPr>
          <w:rFonts w:ascii="Arial Narrow" w:hAnsi="Arial Narrow"/>
          <w:sz w:val="22"/>
        </w:rPr>
      </w:pPr>
    </w:p>
    <w:p w14:paraId="06B49B6E" w14:textId="77777777" w:rsidR="00A658D0" w:rsidRDefault="00000000">
      <w:pPr>
        <w:pStyle w:val="Sangradetextonormal"/>
        <w:rPr>
          <w:rFonts w:ascii="Arial Narrow" w:hAnsi="Arial Narrow"/>
          <w:sz w:val="22"/>
        </w:rPr>
      </w:pPr>
      <w:r>
        <w:rPr>
          <w:rFonts w:ascii="Arial Narrow" w:hAnsi="Arial Narrow"/>
          <w:sz w:val="22"/>
        </w:rPr>
        <w:tab/>
        <w:t>La fecha de la aprobación de los estados financieros por la Junta General de Accionistas se supeditará a los plazos establecidos en la Ley General de Sociedades. Las empresas deberán remitir una copia certificada del acta de la Junta General de Accionistas en que conste la aprobación de los estados financieros de diciembre de cada año dentro de los diez (10) días calendarios siguientes de celebrada.</w:t>
      </w:r>
    </w:p>
    <w:p w14:paraId="06B49B6F" w14:textId="77777777" w:rsidR="00A658D0" w:rsidRDefault="00A658D0">
      <w:pPr>
        <w:pStyle w:val="Sangradetextonormal"/>
        <w:rPr>
          <w:rFonts w:ascii="Arial Narrow" w:hAnsi="Arial Narrow"/>
          <w:sz w:val="22"/>
        </w:rPr>
      </w:pPr>
    </w:p>
    <w:p w14:paraId="06B49B70" w14:textId="77777777" w:rsidR="00A658D0" w:rsidRDefault="00000000">
      <w:pPr>
        <w:ind w:left="708" w:hanging="282"/>
        <w:jc w:val="both"/>
        <w:rPr>
          <w:rFonts w:ascii="Arial Narrow" w:hAnsi="Arial Narrow"/>
          <w:sz w:val="22"/>
        </w:rPr>
      </w:pPr>
      <w:r>
        <w:rPr>
          <w:rFonts w:ascii="Arial Narrow" w:hAnsi="Arial Narrow"/>
          <w:sz w:val="22"/>
        </w:rPr>
        <w:t>2.</w:t>
      </w:r>
      <w:r>
        <w:rPr>
          <w:rFonts w:ascii="Arial Narrow" w:hAnsi="Arial Narrow"/>
          <w:sz w:val="22"/>
        </w:rPr>
        <w:tab/>
        <w:t>Las empresas de seguros y de reaseguros presentarán los estados financieros y la información mensual requerida por esta Superintendencia, dentro de los quince (15) días calendarios siguientes al mes que corresponda la información, con excepción de lo señalado en el numeral anterior.</w:t>
      </w:r>
    </w:p>
    <w:p w14:paraId="06B49B71" w14:textId="77777777" w:rsidR="00A658D0" w:rsidRDefault="00000000">
      <w:pPr>
        <w:ind w:left="708" w:hanging="282"/>
        <w:jc w:val="both"/>
        <w:rPr>
          <w:rFonts w:ascii="Arial Narrow" w:hAnsi="Arial Narrow"/>
          <w:sz w:val="22"/>
        </w:rPr>
      </w:pPr>
      <w:r>
        <w:rPr>
          <w:rFonts w:ascii="Arial Narrow" w:hAnsi="Arial Narrow"/>
          <w:sz w:val="22"/>
        </w:rPr>
        <w:lastRenderedPageBreak/>
        <w:tab/>
      </w:r>
    </w:p>
    <w:p w14:paraId="06B49B72" w14:textId="77777777" w:rsidR="00A658D0" w:rsidRDefault="00000000">
      <w:pPr>
        <w:ind w:left="708"/>
        <w:jc w:val="both"/>
        <w:rPr>
          <w:rFonts w:ascii="Arial Narrow" w:hAnsi="Arial Narrow"/>
          <w:sz w:val="22"/>
        </w:rPr>
      </w:pPr>
      <w:r>
        <w:rPr>
          <w:rFonts w:ascii="Arial Narrow" w:hAnsi="Arial Narrow"/>
          <w:sz w:val="22"/>
        </w:rPr>
        <w:t>En caso el día de presentación de la información no sea laborables, la presentación se hará el primer día hábil siguiente.</w:t>
      </w:r>
    </w:p>
    <w:p w14:paraId="06B49B73" w14:textId="77777777" w:rsidR="00A658D0" w:rsidRDefault="00000000">
      <w:pPr>
        <w:ind w:left="708"/>
        <w:jc w:val="both"/>
        <w:rPr>
          <w:rFonts w:ascii="Arial Narrow" w:hAnsi="Arial Narrow"/>
          <w:sz w:val="22"/>
        </w:rPr>
      </w:pPr>
      <w:r>
        <w:rPr>
          <w:rFonts w:ascii="Arial Narrow" w:hAnsi="Arial Narrow"/>
          <w:sz w:val="22"/>
        </w:rPr>
        <w:t xml:space="preserve"> </w:t>
      </w:r>
    </w:p>
    <w:p w14:paraId="06B49B74" w14:textId="77777777" w:rsidR="00A658D0" w:rsidRDefault="00000000">
      <w:pPr>
        <w:ind w:left="708" w:hanging="282"/>
        <w:jc w:val="both"/>
        <w:rPr>
          <w:rFonts w:ascii="Arial Narrow" w:hAnsi="Arial Narrow"/>
          <w:sz w:val="22"/>
        </w:rPr>
      </w:pPr>
      <w:r>
        <w:rPr>
          <w:rFonts w:ascii="Arial Narrow" w:hAnsi="Arial Narrow"/>
          <w:sz w:val="22"/>
        </w:rPr>
        <w:t>3.</w:t>
      </w:r>
      <w:r>
        <w:rPr>
          <w:rFonts w:ascii="Arial Narrow" w:hAnsi="Arial Narrow"/>
          <w:sz w:val="22"/>
        </w:rPr>
        <w:tab/>
        <w:t>Las empresas de seguros y de reaseguros presentarán el Balance de Comprobación de saldos mensual por todos los dígitos utilizados a nivel de indicador monetario, es decir, a nivel de código integrador (0), las operaciones en moneda nacional (1), en moneda extranjera (2) y las sujetas a indexación (3).</w:t>
      </w:r>
    </w:p>
    <w:p w14:paraId="06B49B75" w14:textId="77777777" w:rsidR="00A658D0" w:rsidRDefault="00A658D0">
      <w:pPr>
        <w:ind w:left="708" w:hanging="282"/>
        <w:jc w:val="both"/>
        <w:rPr>
          <w:rFonts w:ascii="Arial Narrow" w:hAnsi="Arial Narrow"/>
          <w:sz w:val="22"/>
        </w:rPr>
      </w:pPr>
    </w:p>
    <w:p w14:paraId="06B49B76" w14:textId="77777777" w:rsidR="00A658D0" w:rsidRDefault="00000000">
      <w:pPr>
        <w:ind w:left="708" w:hanging="282"/>
        <w:jc w:val="both"/>
        <w:rPr>
          <w:rFonts w:ascii="Arial Narrow" w:hAnsi="Arial Narrow"/>
          <w:sz w:val="22"/>
        </w:rPr>
      </w:pPr>
      <w:r>
        <w:rPr>
          <w:rFonts w:ascii="Arial Narrow" w:hAnsi="Arial Narrow"/>
          <w:sz w:val="22"/>
        </w:rPr>
        <w:tab/>
        <w:t xml:space="preserve">Las empresas, al preparar su balance de comprobación de saldos, deberán observar la estructura de cuentas prevista en el presente plan. Dicho balance servirá de base para la formulación de los estados financieros básicos, los que </w:t>
      </w:r>
      <w:proofErr w:type="gramStart"/>
      <w:r>
        <w:rPr>
          <w:rFonts w:ascii="Arial Narrow" w:hAnsi="Arial Narrow"/>
          <w:sz w:val="22"/>
        </w:rPr>
        <w:t>conjuntamente con</w:t>
      </w:r>
      <w:proofErr w:type="gramEnd"/>
      <w:r>
        <w:rPr>
          <w:rFonts w:ascii="Arial Narrow" w:hAnsi="Arial Narrow"/>
          <w:sz w:val="22"/>
        </w:rPr>
        <w:t xml:space="preserve"> las notas a los estados financieros e información complementaria, proporcionan la transparencia necesaria sobre la situación económica y financiera de las empresas de seguros y reaseguros, permitiendo visualizar los rendimientos y costos de </w:t>
      </w:r>
      <w:proofErr w:type="gramStart"/>
      <w:r>
        <w:rPr>
          <w:rFonts w:ascii="Arial Narrow" w:hAnsi="Arial Narrow"/>
          <w:sz w:val="22"/>
        </w:rPr>
        <w:t>las mismas</w:t>
      </w:r>
      <w:proofErr w:type="gramEnd"/>
      <w:r>
        <w:rPr>
          <w:rFonts w:ascii="Arial Narrow" w:hAnsi="Arial Narrow"/>
          <w:sz w:val="22"/>
        </w:rPr>
        <w:t>.</w:t>
      </w:r>
    </w:p>
    <w:p w14:paraId="06B49B77" w14:textId="77777777" w:rsidR="00A658D0" w:rsidRDefault="00A658D0">
      <w:pPr>
        <w:ind w:left="708" w:hanging="282"/>
        <w:jc w:val="both"/>
        <w:rPr>
          <w:rFonts w:ascii="Arial Narrow" w:hAnsi="Arial Narrow"/>
          <w:sz w:val="22"/>
        </w:rPr>
      </w:pPr>
    </w:p>
    <w:p w14:paraId="06B49B78" w14:textId="77777777" w:rsidR="00A658D0" w:rsidRDefault="00000000">
      <w:pPr>
        <w:ind w:left="708"/>
        <w:jc w:val="both"/>
        <w:rPr>
          <w:rFonts w:ascii="Arial Narrow" w:hAnsi="Arial Narrow"/>
          <w:sz w:val="22"/>
        </w:rPr>
      </w:pPr>
      <w:r>
        <w:rPr>
          <w:rFonts w:ascii="Arial Narrow" w:hAnsi="Arial Narrow"/>
          <w:sz w:val="22"/>
        </w:rPr>
        <w:t xml:space="preserve">Tratándose del Estado del Resultado Integral, </w:t>
      </w:r>
      <w:proofErr w:type="gramStart"/>
      <w:r>
        <w:rPr>
          <w:rFonts w:ascii="Arial Narrow" w:hAnsi="Arial Narrow"/>
          <w:sz w:val="22"/>
        </w:rPr>
        <w:t>de acuerdo a</w:t>
      </w:r>
      <w:proofErr w:type="gramEnd"/>
      <w:r>
        <w:rPr>
          <w:rFonts w:ascii="Arial Narrow" w:hAnsi="Arial Narrow"/>
          <w:sz w:val="22"/>
        </w:rPr>
        <w:t xml:space="preserve"> la NIC 1, se ha optado por el modelo de dos estados:</w:t>
      </w:r>
    </w:p>
    <w:p w14:paraId="06B49B79" w14:textId="77777777" w:rsidR="00A658D0" w:rsidRDefault="00000000">
      <w:pPr>
        <w:numPr>
          <w:ilvl w:val="0"/>
          <w:numId w:val="2"/>
        </w:numPr>
        <w:ind w:left="1066" w:hanging="357"/>
        <w:jc w:val="both"/>
        <w:rPr>
          <w:rFonts w:ascii="Arial Narrow" w:hAnsi="Arial Narrow"/>
          <w:sz w:val="22"/>
        </w:rPr>
      </w:pPr>
      <w:r>
        <w:rPr>
          <w:rFonts w:ascii="Arial Narrow" w:hAnsi="Arial Narrow"/>
          <w:sz w:val="22"/>
        </w:rPr>
        <w:t>Estado de Resultados, que muestre los componentes del resultado del periodo; y,</w:t>
      </w:r>
    </w:p>
    <w:p w14:paraId="06B49B7A" w14:textId="77777777" w:rsidR="00A658D0" w:rsidRDefault="00000000">
      <w:pPr>
        <w:numPr>
          <w:ilvl w:val="0"/>
          <w:numId w:val="2"/>
        </w:numPr>
        <w:ind w:left="1066" w:hanging="357"/>
        <w:jc w:val="both"/>
        <w:rPr>
          <w:rFonts w:ascii="Arial Narrow" w:hAnsi="Arial Narrow"/>
          <w:sz w:val="22"/>
        </w:rPr>
      </w:pPr>
      <w:r>
        <w:rPr>
          <w:rFonts w:ascii="Arial Narrow" w:hAnsi="Arial Narrow"/>
          <w:sz w:val="22"/>
        </w:rPr>
        <w:t>Estado de Resultados y Otro Resultado Integral, que comience con el resultado del periodo y muestre los componentes del Otro Resultado Integral.</w:t>
      </w:r>
    </w:p>
    <w:p w14:paraId="06B49B7B" w14:textId="77777777" w:rsidR="00A658D0" w:rsidRDefault="00A658D0">
      <w:pPr>
        <w:ind w:left="708" w:hanging="282"/>
        <w:jc w:val="both"/>
        <w:rPr>
          <w:rFonts w:ascii="Arial Narrow" w:hAnsi="Arial Narrow"/>
          <w:sz w:val="22"/>
        </w:rPr>
      </w:pPr>
    </w:p>
    <w:p w14:paraId="06B49B7C" w14:textId="77777777" w:rsidR="00A658D0" w:rsidRDefault="00000000">
      <w:pPr>
        <w:ind w:left="708" w:hanging="282"/>
        <w:jc w:val="both"/>
        <w:rPr>
          <w:rFonts w:ascii="Arial Narrow" w:hAnsi="Arial Narrow"/>
          <w:sz w:val="22"/>
        </w:rPr>
      </w:pPr>
      <w:r>
        <w:rPr>
          <w:rFonts w:ascii="Arial Narrow" w:hAnsi="Arial Narrow"/>
          <w:sz w:val="22"/>
        </w:rPr>
        <w:t>4.</w:t>
      </w:r>
      <w:r>
        <w:rPr>
          <w:rFonts w:ascii="Arial Narrow" w:hAnsi="Arial Narrow"/>
          <w:sz w:val="22"/>
        </w:rPr>
        <w:tab/>
        <w:t>Las empresas de seguros y de reaseguros deberán reportar su información utilizando transferencias electrónicas u otros mecanismos que disponga la Superintendencia.</w:t>
      </w:r>
      <w:r>
        <w:rPr>
          <w:rStyle w:val="Refdenotaalpie"/>
          <w:rFonts w:ascii="Arial Narrow" w:hAnsi="Arial Narrow"/>
          <w:sz w:val="22"/>
        </w:rPr>
        <w:t xml:space="preserve"> </w:t>
      </w:r>
      <w:r>
        <w:rPr>
          <w:rStyle w:val="Refdenotaalpie"/>
          <w:rFonts w:ascii="Arial Narrow" w:hAnsi="Arial Narrow"/>
          <w:sz w:val="22"/>
        </w:rPr>
        <w:footnoteReference w:id="8"/>
      </w:r>
      <w:r>
        <w:rPr>
          <w:rStyle w:val="Refdenotaalpie"/>
          <w:rFonts w:ascii="Arial Narrow" w:hAnsi="Arial Narrow"/>
          <w:sz w:val="22"/>
        </w:rPr>
        <w:t xml:space="preserve"> </w:t>
      </w:r>
    </w:p>
    <w:p w14:paraId="06B49B7D" w14:textId="77777777" w:rsidR="00A658D0" w:rsidRDefault="00A658D0">
      <w:pPr>
        <w:ind w:left="708"/>
        <w:jc w:val="both"/>
        <w:rPr>
          <w:rFonts w:ascii="Arial Narrow" w:hAnsi="Arial Narrow"/>
          <w:sz w:val="22"/>
        </w:rPr>
      </w:pPr>
    </w:p>
    <w:p w14:paraId="06B49B7E" w14:textId="77777777" w:rsidR="00A658D0" w:rsidRDefault="00000000">
      <w:pPr>
        <w:ind w:left="708"/>
        <w:jc w:val="both"/>
        <w:rPr>
          <w:rFonts w:ascii="Arial Narrow" w:hAnsi="Arial Narrow"/>
        </w:rPr>
      </w:pPr>
      <w:r>
        <w:rPr>
          <w:rFonts w:ascii="Arial Narrow" w:hAnsi="Arial Narrow"/>
          <w:sz w:val="22"/>
        </w:rPr>
        <w:t>Los Estados Financieros y Balance de Comprobación que las empresas de seguros y reaseguros presenten a la Superintendencia deberán ceñirse a la frecuencia y plazos siguientes:</w:t>
      </w:r>
      <w:r>
        <w:rPr>
          <w:rStyle w:val="Refdenotaalpie"/>
          <w:rFonts w:ascii="Arial Narrow" w:hAnsi="Arial Narrow"/>
        </w:rPr>
        <w:t xml:space="preserve"> </w:t>
      </w:r>
    </w:p>
    <w:p w14:paraId="06B49B7F" w14:textId="77777777" w:rsidR="00A658D0" w:rsidRDefault="00A658D0">
      <w:pPr>
        <w:ind w:left="708" w:hanging="282"/>
        <w:jc w:val="both"/>
        <w:rPr>
          <w:rFonts w:ascii="Arial Narrow" w:hAnsi="Arial Narrow"/>
          <w:i/>
        </w:rPr>
      </w:pPr>
    </w:p>
    <w:tbl>
      <w:tblPr>
        <w:tblW w:w="764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2"/>
        <w:gridCol w:w="850"/>
        <w:gridCol w:w="1418"/>
        <w:gridCol w:w="3544"/>
      </w:tblGrid>
      <w:tr w:rsidR="00A658D0" w14:paraId="06B49B84" w14:textId="77777777">
        <w:trPr>
          <w:trHeight w:val="750"/>
        </w:trPr>
        <w:tc>
          <w:tcPr>
            <w:tcW w:w="1832" w:type="dxa"/>
            <w:vAlign w:val="center"/>
          </w:tcPr>
          <w:p w14:paraId="06B49B80" w14:textId="77777777" w:rsidR="00A658D0" w:rsidRDefault="00000000">
            <w:pPr>
              <w:ind w:left="110"/>
              <w:jc w:val="center"/>
              <w:rPr>
                <w:rFonts w:ascii="Arial Narrow" w:hAnsi="Arial Narrow" w:cs="Arial"/>
                <w:b/>
                <w:sz w:val="22"/>
                <w:szCs w:val="22"/>
              </w:rPr>
            </w:pPr>
            <w:r>
              <w:rPr>
                <w:rFonts w:ascii="Arial Narrow" w:hAnsi="Arial Narrow" w:cs="Arial"/>
                <w:b/>
                <w:sz w:val="22"/>
                <w:szCs w:val="22"/>
              </w:rPr>
              <w:t>ESTADOS FINANCIEROS Y BALANCE DE COMPROBACIÓN</w:t>
            </w:r>
          </w:p>
        </w:tc>
        <w:tc>
          <w:tcPr>
            <w:tcW w:w="850" w:type="dxa"/>
            <w:vAlign w:val="center"/>
          </w:tcPr>
          <w:p w14:paraId="06B49B81" w14:textId="77777777" w:rsidR="00A658D0" w:rsidRDefault="00000000">
            <w:pPr>
              <w:jc w:val="center"/>
              <w:rPr>
                <w:rFonts w:ascii="Arial Narrow" w:hAnsi="Arial Narrow" w:cs="Arial"/>
                <w:b/>
                <w:sz w:val="22"/>
                <w:szCs w:val="22"/>
              </w:rPr>
            </w:pPr>
            <w:r>
              <w:rPr>
                <w:rFonts w:ascii="Arial Narrow" w:hAnsi="Arial Narrow" w:cs="Arial"/>
                <w:b/>
                <w:sz w:val="22"/>
                <w:szCs w:val="22"/>
              </w:rPr>
              <w:t>FORMA</w:t>
            </w:r>
          </w:p>
        </w:tc>
        <w:tc>
          <w:tcPr>
            <w:tcW w:w="1418" w:type="dxa"/>
            <w:vAlign w:val="center"/>
          </w:tcPr>
          <w:p w14:paraId="06B49B82" w14:textId="77777777" w:rsidR="00A658D0" w:rsidRDefault="00000000">
            <w:pPr>
              <w:jc w:val="center"/>
              <w:rPr>
                <w:rFonts w:ascii="Arial Narrow" w:hAnsi="Arial Narrow" w:cs="Arial"/>
                <w:b/>
                <w:sz w:val="22"/>
                <w:szCs w:val="22"/>
              </w:rPr>
            </w:pPr>
            <w:r>
              <w:rPr>
                <w:rFonts w:ascii="Arial Narrow" w:hAnsi="Arial Narrow" w:cs="Arial"/>
                <w:b/>
                <w:sz w:val="22"/>
                <w:szCs w:val="22"/>
              </w:rPr>
              <w:t>FRECUENCIA</w:t>
            </w:r>
          </w:p>
        </w:tc>
        <w:tc>
          <w:tcPr>
            <w:tcW w:w="3544" w:type="dxa"/>
            <w:vAlign w:val="center"/>
          </w:tcPr>
          <w:p w14:paraId="06B49B83" w14:textId="77777777" w:rsidR="00A658D0" w:rsidRDefault="00000000">
            <w:pPr>
              <w:jc w:val="center"/>
              <w:rPr>
                <w:rFonts w:ascii="Arial Narrow" w:hAnsi="Arial Narrow" w:cs="Arial"/>
                <w:b/>
                <w:sz w:val="22"/>
                <w:szCs w:val="22"/>
              </w:rPr>
            </w:pPr>
            <w:r>
              <w:rPr>
                <w:rFonts w:ascii="Arial Narrow" w:hAnsi="Arial Narrow" w:cs="Arial"/>
                <w:b/>
                <w:sz w:val="22"/>
                <w:szCs w:val="22"/>
              </w:rPr>
              <w:t>PLAZO MÁXIMO DE PRESENTACIÓN</w:t>
            </w:r>
          </w:p>
        </w:tc>
      </w:tr>
      <w:tr w:rsidR="00A658D0" w14:paraId="06B49B8A" w14:textId="77777777">
        <w:trPr>
          <w:trHeight w:val="418"/>
        </w:trPr>
        <w:tc>
          <w:tcPr>
            <w:tcW w:w="1832" w:type="dxa"/>
          </w:tcPr>
          <w:p w14:paraId="06B49B85" w14:textId="77777777" w:rsidR="00A658D0" w:rsidRDefault="00000000">
            <w:pPr>
              <w:jc w:val="both"/>
              <w:rPr>
                <w:rFonts w:ascii="Arial Narrow" w:hAnsi="Arial Narrow" w:cs="Arial"/>
                <w:sz w:val="22"/>
                <w:szCs w:val="22"/>
              </w:rPr>
            </w:pPr>
            <w:r>
              <w:rPr>
                <w:rFonts w:ascii="Arial Narrow" w:hAnsi="Arial Narrow" w:cs="Arial"/>
                <w:sz w:val="22"/>
                <w:szCs w:val="22"/>
              </w:rPr>
              <w:t>Estado de Situación Financiera</w:t>
            </w:r>
          </w:p>
        </w:tc>
        <w:tc>
          <w:tcPr>
            <w:tcW w:w="850" w:type="dxa"/>
          </w:tcPr>
          <w:p w14:paraId="06B49B86" w14:textId="77777777" w:rsidR="00A658D0" w:rsidRDefault="00000000">
            <w:pPr>
              <w:jc w:val="center"/>
              <w:rPr>
                <w:rFonts w:ascii="Arial Narrow" w:hAnsi="Arial Narrow" w:cs="Arial"/>
                <w:sz w:val="22"/>
                <w:szCs w:val="22"/>
              </w:rPr>
            </w:pPr>
            <w:r>
              <w:rPr>
                <w:rFonts w:ascii="Arial Narrow" w:hAnsi="Arial Narrow" w:cs="Arial"/>
                <w:sz w:val="22"/>
                <w:szCs w:val="22"/>
              </w:rPr>
              <w:t>A</w:t>
            </w:r>
          </w:p>
        </w:tc>
        <w:tc>
          <w:tcPr>
            <w:tcW w:w="1418" w:type="dxa"/>
          </w:tcPr>
          <w:p w14:paraId="06B49B87" w14:textId="77777777" w:rsidR="00A658D0" w:rsidRDefault="00000000">
            <w:pPr>
              <w:jc w:val="center"/>
              <w:rPr>
                <w:rFonts w:ascii="Arial Narrow" w:hAnsi="Arial Narrow" w:cs="Arial"/>
                <w:sz w:val="22"/>
                <w:szCs w:val="22"/>
              </w:rPr>
            </w:pPr>
            <w:r>
              <w:rPr>
                <w:rFonts w:ascii="Arial Narrow" w:hAnsi="Arial Narrow" w:cs="Arial"/>
                <w:sz w:val="22"/>
                <w:szCs w:val="22"/>
              </w:rPr>
              <w:t>Mensual</w:t>
            </w:r>
          </w:p>
        </w:tc>
        <w:tc>
          <w:tcPr>
            <w:tcW w:w="3544" w:type="dxa"/>
          </w:tcPr>
          <w:p w14:paraId="06B49B88" w14:textId="77777777" w:rsidR="00A658D0" w:rsidRDefault="00000000">
            <w:pPr>
              <w:jc w:val="both"/>
              <w:rPr>
                <w:rFonts w:ascii="Arial Narrow" w:hAnsi="Arial Narrow" w:cs="Arial"/>
                <w:sz w:val="22"/>
                <w:szCs w:val="22"/>
              </w:rPr>
            </w:pPr>
            <w:r>
              <w:rPr>
                <w:rFonts w:ascii="Arial Narrow" w:hAnsi="Arial Narrow" w:cs="Arial"/>
                <w:sz w:val="22"/>
                <w:szCs w:val="22"/>
              </w:rPr>
              <w:t>En el caso de la información mensual y trimestral: 15 días calendario siguientes al cierre.</w:t>
            </w:r>
          </w:p>
          <w:p w14:paraId="06B49B89" w14:textId="77777777" w:rsidR="00A658D0" w:rsidRDefault="00000000">
            <w:pPr>
              <w:jc w:val="both"/>
              <w:rPr>
                <w:rFonts w:ascii="Arial Narrow" w:hAnsi="Arial Narrow" w:cs="Arial"/>
                <w:sz w:val="22"/>
                <w:szCs w:val="22"/>
              </w:rPr>
            </w:pPr>
            <w:r>
              <w:rPr>
                <w:rFonts w:ascii="Arial Narrow" w:hAnsi="Arial Narrow" w:cs="Arial"/>
                <w:sz w:val="22"/>
                <w:szCs w:val="22"/>
              </w:rPr>
              <w:t>Tratándose de la información anual: 30 días calendario siguientes al cierre.</w:t>
            </w:r>
          </w:p>
        </w:tc>
      </w:tr>
      <w:tr w:rsidR="00A658D0" w14:paraId="06B49B92" w14:textId="77777777">
        <w:trPr>
          <w:trHeight w:val="521"/>
        </w:trPr>
        <w:tc>
          <w:tcPr>
            <w:tcW w:w="1832" w:type="dxa"/>
          </w:tcPr>
          <w:p w14:paraId="06B49B8B" w14:textId="77777777" w:rsidR="00A658D0" w:rsidRDefault="00000000">
            <w:pPr>
              <w:jc w:val="both"/>
              <w:rPr>
                <w:rFonts w:ascii="Arial Narrow" w:hAnsi="Arial Narrow" w:cs="Arial"/>
                <w:sz w:val="22"/>
                <w:szCs w:val="22"/>
              </w:rPr>
            </w:pPr>
            <w:r>
              <w:rPr>
                <w:rFonts w:ascii="Arial Narrow" w:hAnsi="Arial Narrow" w:cs="Arial"/>
                <w:sz w:val="22"/>
                <w:szCs w:val="22"/>
              </w:rPr>
              <w:t>Estado de Resultados</w:t>
            </w:r>
          </w:p>
          <w:p w14:paraId="06B49B8C" w14:textId="77777777" w:rsidR="00A658D0" w:rsidRDefault="00A658D0">
            <w:pPr>
              <w:ind w:left="110"/>
              <w:jc w:val="both"/>
              <w:rPr>
                <w:rFonts w:ascii="Arial Narrow" w:hAnsi="Arial Narrow" w:cs="Arial"/>
                <w:sz w:val="22"/>
                <w:szCs w:val="22"/>
              </w:rPr>
            </w:pPr>
          </w:p>
        </w:tc>
        <w:tc>
          <w:tcPr>
            <w:tcW w:w="850" w:type="dxa"/>
          </w:tcPr>
          <w:p w14:paraId="06B49B8D" w14:textId="77777777" w:rsidR="00A658D0" w:rsidRDefault="00000000">
            <w:pPr>
              <w:jc w:val="center"/>
              <w:rPr>
                <w:rFonts w:ascii="Arial Narrow" w:hAnsi="Arial Narrow" w:cs="Arial"/>
                <w:sz w:val="22"/>
                <w:szCs w:val="22"/>
              </w:rPr>
            </w:pPr>
            <w:r>
              <w:rPr>
                <w:rFonts w:ascii="Arial Narrow" w:hAnsi="Arial Narrow" w:cs="Arial"/>
                <w:sz w:val="22"/>
                <w:szCs w:val="22"/>
              </w:rPr>
              <w:t>B-1</w:t>
            </w:r>
          </w:p>
          <w:p w14:paraId="06B49B8E" w14:textId="77777777" w:rsidR="00A658D0" w:rsidRDefault="00A658D0">
            <w:pPr>
              <w:jc w:val="center"/>
              <w:rPr>
                <w:rFonts w:ascii="Arial Narrow" w:hAnsi="Arial Narrow" w:cs="Arial"/>
                <w:sz w:val="22"/>
                <w:szCs w:val="22"/>
              </w:rPr>
            </w:pPr>
          </w:p>
        </w:tc>
        <w:tc>
          <w:tcPr>
            <w:tcW w:w="1418" w:type="dxa"/>
          </w:tcPr>
          <w:p w14:paraId="06B49B8F" w14:textId="77777777" w:rsidR="00A658D0" w:rsidRDefault="00000000">
            <w:pPr>
              <w:jc w:val="center"/>
              <w:rPr>
                <w:rFonts w:ascii="Arial Narrow" w:hAnsi="Arial Narrow" w:cs="Arial"/>
                <w:sz w:val="22"/>
                <w:szCs w:val="22"/>
              </w:rPr>
            </w:pPr>
            <w:r>
              <w:rPr>
                <w:rFonts w:ascii="Arial Narrow" w:hAnsi="Arial Narrow" w:cs="Arial"/>
                <w:sz w:val="22"/>
                <w:szCs w:val="22"/>
              </w:rPr>
              <w:t>Mensual</w:t>
            </w:r>
          </w:p>
        </w:tc>
        <w:tc>
          <w:tcPr>
            <w:tcW w:w="3544" w:type="dxa"/>
          </w:tcPr>
          <w:p w14:paraId="06B49B90" w14:textId="77777777" w:rsidR="00A658D0" w:rsidRDefault="00000000">
            <w:pPr>
              <w:jc w:val="both"/>
              <w:rPr>
                <w:rFonts w:ascii="Arial Narrow" w:hAnsi="Arial Narrow" w:cs="Arial"/>
                <w:sz w:val="22"/>
                <w:szCs w:val="22"/>
              </w:rPr>
            </w:pPr>
            <w:r>
              <w:rPr>
                <w:rFonts w:ascii="Arial Narrow" w:hAnsi="Arial Narrow" w:cs="Arial"/>
                <w:sz w:val="22"/>
                <w:szCs w:val="22"/>
              </w:rPr>
              <w:t>En el caso de la información mensual y trimestral: 15 días calendario siguientes al cierre.</w:t>
            </w:r>
          </w:p>
          <w:p w14:paraId="06B49B91" w14:textId="77777777" w:rsidR="00A658D0" w:rsidRDefault="00000000">
            <w:pPr>
              <w:jc w:val="both"/>
              <w:rPr>
                <w:rFonts w:ascii="Arial Narrow" w:hAnsi="Arial Narrow" w:cs="Arial"/>
                <w:sz w:val="22"/>
                <w:szCs w:val="22"/>
              </w:rPr>
            </w:pPr>
            <w:r>
              <w:rPr>
                <w:rFonts w:ascii="Arial Narrow" w:hAnsi="Arial Narrow" w:cs="Arial"/>
                <w:sz w:val="22"/>
                <w:szCs w:val="22"/>
              </w:rPr>
              <w:t>Tratándose de la información anual: 30 días calendario siguientes al cierre.</w:t>
            </w:r>
          </w:p>
        </w:tc>
      </w:tr>
      <w:tr w:rsidR="00A658D0" w14:paraId="06B49B9A" w14:textId="77777777">
        <w:trPr>
          <w:trHeight w:val="915"/>
        </w:trPr>
        <w:tc>
          <w:tcPr>
            <w:tcW w:w="1832" w:type="dxa"/>
          </w:tcPr>
          <w:p w14:paraId="06B49B93" w14:textId="77777777" w:rsidR="00A658D0" w:rsidRDefault="00000000">
            <w:pPr>
              <w:jc w:val="both"/>
              <w:rPr>
                <w:rFonts w:ascii="Arial Narrow" w:hAnsi="Arial Narrow" w:cs="Arial"/>
                <w:sz w:val="22"/>
                <w:szCs w:val="22"/>
              </w:rPr>
            </w:pPr>
            <w:r>
              <w:rPr>
                <w:rFonts w:ascii="Arial Narrow" w:hAnsi="Arial Narrow" w:cs="Arial"/>
                <w:sz w:val="22"/>
                <w:szCs w:val="22"/>
              </w:rPr>
              <w:t>Estado de Resultados y Otro Resultado Integral</w:t>
            </w:r>
          </w:p>
          <w:p w14:paraId="06B49B94" w14:textId="77777777" w:rsidR="00A658D0" w:rsidRDefault="00A658D0">
            <w:pPr>
              <w:pStyle w:val="normalFormatoAAA"/>
              <w:tabs>
                <w:tab w:val="clear" w:pos="708"/>
                <w:tab w:val="clear" w:pos="1020"/>
                <w:tab w:val="left" w:pos="344"/>
                <w:tab w:val="left" w:pos="770"/>
                <w:tab w:val="center" w:pos="7655"/>
              </w:tabs>
              <w:spacing w:after="0"/>
              <w:ind w:left="344" w:right="142" w:firstLine="0"/>
              <w:rPr>
                <w:rFonts w:ascii="Arial Narrow" w:hAnsi="Arial Narrow" w:cs="Arial"/>
                <w:sz w:val="22"/>
                <w:szCs w:val="22"/>
              </w:rPr>
            </w:pPr>
          </w:p>
        </w:tc>
        <w:tc>
          <w:tcPr>
            <w:tcW w:w="850" w:type="dxa"/>
          </w:tcPr>
          <w:p w14:paraId="06B49B95" w14:textId="77777777" w:rsidR="00A658D0" w:rsidRDefault="00000000">
            <w:pPr>
              <w:jc w:val="center"/>
              <w:rPr>
                <w:rFonts w:ascii="Arial Narrow" w:hAnsi="Arial Narrow" w:cs="Arial"/>
                <w:sz w:val="22"/>
                <w:szCs w:val="22"/>
              </w:rPr>
            </w:pPr>
            <w:r>
              <w:rPr>
                <w:rFonts w:ascii="Arial Narrow" w:hAnsi="Arial Narrow" w:cs="Arial"/>
                <w:sz w:val="22"/>
                <w:szCs w:val="22"/>
              </w:rPr>
              <w:t>B-2</w:t>
            </w:r>
          </w:p>
          <w:p w14:paraId="06B49B96" w14:textId="77777777" w:rsidR="00A658D0" w:rsidRDefault="00A658D0">
            <w:pPr>
              <w:jc w:val="center"/>
              <w:rPr>
                <w:rFonts w:ascii="Arial Narrow" w:hAnsi="Arial Narrow" w:cs="Arial"/>
                <w:sz w:val="22"/>
                <w:szCs w:val="22"/>
              </w:rPr>
            </w:pPr>
          </w:p>
        </w:tc>
        <w:tc>
          <w:tcPr>
            <w:tcW w:w="1418" w:type="dxa"/>
          </w:tcPr>
          <w:p w14:paraId="06B49B97" w14:textId="77777777" w:rsidR="00A658D0" w:rsidRDefault="00000000">
            <w:pPr>
              <w:jc w:val="center"/>
              <w:rPr>
                <w:rFonts w:ascii="Arial Narrow" w:hAnsi="Arial Narrow" w:cs="Arial"/>
                <w:sz w:val="22"/>
                <w:szCs w:val="22"/>
              </w:rPr>
            </w:pPr>
            <w:r>
              <w:rPr>
                <w:rFonts w:ascii="Arial Narrow" w:hAnsi="Arial Narrow" w:cs="Arial"/>
                <w:sz w:val="22"/>
                <w:szCs w:val="22"/>
              </w:rPr>
              <w:t xml:space="preserve">Trimestral </w:t>
            </w:r>
            <w:r>
              <w:rPr>
                <w:rStyle w:val="Refdenotaalpie"/>
                <w:rFonts w:ascii="Arial Narrow" w:hAnsi="Arial Narrow" w:cs="Arial"/>
                <w:sz w:val="22"/>
                <w:szCs w:val="22"/>
              </w:rPr>
              <w:footnoteReference w:id="9"/>
            </w:r>
          </w:p>
        </w:tc>
        <w:tc>
          <w:tcPr>
            <w:tcW w:w="3544" w:type="dxa"/>
          </w:tcPr>
          <w:p w14:paraId="06B49B98" w14:textId="77777777" w:rsidR="00A658D0" w:rsidRDefault="00000000">
            <w:pPr>
              <w:pStyle w:val="normalFormatoAAA"/>
              <w:tabs>
                <w:tab w:val="clear" w:pos="708"/>
                <w:tab w:val="clear" w:pos="1020"/>
                <w:tab w:val="clear" w:pos="1417"/>
                <w:tab w:val="clear" w:pos="2154"/>
                <w:tab w:val="clear" w:pos="2832"/>
              </w:tabs>
              <w:spacing w:after="0"/>
              <w:ind w:left="0" w:firstLine="0"/>
              <w:rPr>
                <w:rFonts w:ascii="Arial Narrow" w:hAnsi="Arial Narrow" w:cs="Arial"/>
                <w:sz w:val="22"/>
                <w:szCs w:val="22"/>
              </w:rPr>
            </w:pPr>
            <w:r>
              <w:rPr>
                <w:rFonts w:ascii="Arial Narrow" w:hAnsi="Arial Narrow" w:cs="Arial"/>
                <w:sz w:val="22"/>
                <w:szCs w:val="22"/>
              </w:rPr>
              <w:t>En el caso de la información trimestral: 15 días calendario siguientes al cierre.</w:t>
            </w:r>
          </w:p>
          <w:p w14:paraId="06B49B99" w14:textId="77777777" w:rsidR="00A658D0" w:rsidRDefault="00000000">
            <w:pPr>
              <w:jc w:val="both"/>
              <w:rPr>
                <w:rFonts w:ascii="Arial Narrow" w:hAnsi="Arial Narrow" w:cs="Arial"/>
                <w:sz w:val="22"/>
                <w:szCs w:val="22"/>
              </w:rPr>
            </w:pPr>
            <w:r>
              <w:rPr>
                <w:rFonts w:ascii="Arial Narrow" w:hAnsi="Arial Narrow" w:cs="Arial"/>
                <w:sz w:val="22"/>
                <w:szCs w:val="22"/>
              </w:rPr>
              <w:lastRenderedPageBreak/>
              <w:t>Tratándose de la información anual: 30 días calendario siguientes al cierre.</w:t>
            </w:r>
            <w:r>
              <w:rPr>
                <w:rStyle w:val="Refdenotaalpie"/>
                <w:rFonts w:ascii="Arial Narrow" w:hAnsi="Arial Narrow" w:cs="Arial"/>
                <w:sz w:val="22"/>
                <w:szCs w:val="22"/>
              </w:rPr>
              <w:footnoteReference w:id="10"/>
            </w:r>
          </w:p>
        </w:tc>
      </w:tr>
      <w:tr w:rsidR="00A658D0" w14:paraId="06B49B9F" w14:textId="77777777">
        <w:tc>
          <w:tcPr>
            <w:tcW w:w="1832" w:type="dxa"/>
          </w:tcPr>
          <w:p w14:paraId="06B49B9B" w14:textId="77777777" w:rsidR="00A658D0" w:rsidRDefault="00000000">
            <w:pPr>
              <w:jc w:val="both"/>
              <w:rPr>
                <w:rFonts w:ascii="Arial Narrow" w:hAnsi="Arial Narrow" w:cs="Arial"/>
                <w:sz w:val="22"/>
                <w:szCs w:val="22"/>
              </w:rPr>
            </w:pPr>
            <w:r>
              <w:rPr>
                <w:rFonts w:ascii="Arial Narrow" w:hAnsi="Arial Narrow" w:cs="Arial"/>
                <w:sz w:val="22"/>
                <w:szCs w:val="22"/>
              </w:rPr>
              <w:lastRenderedPageBreak/>
              <w:t>Estado de Flujos de Efectivo</w:t>
            </w:r>
          </w:p>
        </w:tc>
        <w:tc>
          <w:tcPr>
            <w:tcW w:w="850" w:type="dxa"/>
          </w:tcPr>
          <w:p w14:paraId="06B49B9C" w14:textId="77777777" w:rsidR="00A658D0" w:rsidRDefault="00000000">
            <w:pPr>
              <w:jc w:val="center"/>
              <w:rPr>
                <w:rFonts w:ascii="Arial Narrow" w:hAnsi="Arial Narrow" w:cs="Arial"/>
                <w:sz w:val="22"/>
                <w:szCs w:val="22"/>
              </w:rPr>
            </w:pPr>
            <w:r>
              <w:rPr>
                <w:rFonts w:ascii="Arial Narrow" w:hAnsi="Arial Narrow" w:cs="Arial"/>
                <w:sz w:val="22"/>
                <w:szCs w:val="22"/>
              </w:rPr>
              <w:t>C</w:t>
            </w:r>
          </w:p>
        </w:tc>
        <w:tc>
          <w:tcPr>
            <w:tcW w:w="1418" w:type="dxa"/>
          </w:tcPr>
          <w:p w14:paraId="06B49B9D" w14:textId="77777777" w:rsidR="00A658D0" w:rsidRDefault="00000000">
            <w:pPr>
              <w:jc w:val="center"/>
              <w:rPr>
                <w:rFonts w:ascii="Arial Narrow" w:hAnsi="Arial Narrow" w:cs="Arial"/>
                <w:sz w:val="22"/>
                <w:szCs w:val="22"/>
              </w:rPr>
            </w:pPr>
            <w:r>
              <w:rPr>
                <w:rFonts w:ascii="Arial Narrow" w:hAnsi="Arial Narrow" w:cs="Arial"/>
                <w:sz w:val="22"/>
                <w:szCs w:val="22"/>
              </w:rPr>
              <w:t>Anual</w:t>
            </w:r>
          </w:p>
        </w:tc>
        <w:tc>
          <w:tcPr>
            <w:tcW w:w="3544" w:type="dxa"/>
          </w:tcPr>
          <w:p w14:paraId="06B49B9E" w14:textId="77777777" w:rsidR="00A658D0" w:rsidRDefault="00000000">
            <w:pPr>
              <w:jc w:val="both"/>
              <w:rPr>
                <w:rFonts w:ascii="Arial Narrow" w:hAnsi="Arial Narrow" w:cs="Arial"/>
                <w:sz w:val="22"/>
                <w:szCs w:val="22"/>
              </w:rPr>
            </w:pPr>
            <w:r>
              <w:rPr>
                <w:rFonts w:ascii="Arial Narrow" w:hAnsi="Arial Narrow" w:cs="Arial"/>
                <w:sz w:val="22"/>
                <w:szCs w:val="22"/>
              </w:rPr>
              <w:t>30 días calendario siguientes al cierre</w:t>
            </w:r>
          </w:p>
        </w:tc>
      </w:tr>
      <w:tr w:rsidR="00A658D0" w14:paraId="06B49BA4" w14:textId="77777777">
        <w:tc>
          <w:tcPr>
            <w:tcW w:w="1832" w:type="dxa"/>
          </w:tcPr>
          <w:p w14:paraId="06B49BA0" w14:textId="77777777" w:rsidR="00A658D0" w:rsidRDefault="00000000">
            <w:pPr>
              <w:jc w:val="both"/>
              <w:rPr>
                <w:rFonts w:ascii="Arial Narrow" w:hAnsi="Arial Narrow" w:cs="Arial"/>
                <w:sz w:val="22"/>
                <w:szCs w:val="22"/>
              </w:rPr>
            </w:pPr>
            <w:r>
              <w:rPr>
                <w:rFonts w:ascii="Arial Narrow" w:hAnsi="Arial Narrow" w:cs="Arial"/>
                <w:sz w:val="22"/>
                <w:szCs w:val="22"/>
              </w:rPr>
              <w:t>Estado de Cambios en el Patrimonio</w:t>
            </w:r>
          </w:p>
        </w:tc>
        <w:tc>
          <w:tcPr>
            <w:tcW w:w="850" w:type="dxa"/>
          </w:tcPr>
          <w:p w14:paraId="06B49BA1" w14:textId="77777777" w:rsidR="00A658D0" w:rsidRDefault="00000000">
            <w:pPr>
              <w:jc w:val="center"/>
              <w:rPr>
                <w:rFonts w:ascii="Arial Narrow" w:hAnsi="Arial Narrow" w:cs="Arial"/>
                <w:sz w:val="22"/>
                <w:szCs w:val="22"/>
              </w:rPr>
            </w:pPr>
            <w:r>
              <w:rPr>
                <w:rFonts w:ascii="Arial Narrow" w:hAnsi="Arial Narrow" w:cs="Arial"/>
                <w:sz w:val="22"/>
                <w:szCs w:val="22"/>
              </w:rPr>
              <w:t>D</w:t>
            </w:r>
          </w:p>
        </w:tc>
        <w:tc>
          <w:tcPr>
            <w:tcW w:w="1418" w:type="dxa"/>
          </w:tcPr>
          <w:p w14:paraId="06B49BA2" w14:textId="77777777" w:rsidR="00A658D0" w:rsidRDefault="00000000">
            <w:pPr>
              <w:jc w:val="center"/>
              <w:rPr>
                <w:rFonts w:ascii="Arial Narrow" w:hAnsi="Arial Narrow" w:cs="Arial"/>
                <w:sz w:val="22"/>
                <w:szCs w:val="22"/>
              </w:rPr>
            </w:pPr>
            <w:r>
              <w:rPr>
                <w:rFonts w:ascii="Arial Narrow" w:hAnsi="Arial Narrow" w:cs="Arial"/>
                <w:sz w:val="22"/>
                <w:szCs w:val="22"/>
              </w:rPr>
              <w:t>Anual</w:t>
            </w:r>
          </w:p>
        </w:tc>
        <w:tc>
          <w:tcPr>
            <w:tcW w:w="3544" w:type="dxa"/>
          </w:tcPr>
          <w:p w14:paraId="06B49BA3" w14:textId="77777777" w:rsidR="00A658D0" w:rsidRDefault="00000000">
            <w:pPr>
              <w:jc w:val="both"/>
              <w:rPr>
                <w:rFonts w:ascii="Arial Narrow" w:hAnsi="Arial Narrow" w:cs="Arial"/>
                <w:sz w:val="22"/>
                <w:szCs w:val="22"/>
              </w:rPr>
            </w:pPr>
            <w:r>
              <w:rPr>
                <w:rFonts w:ascii="Arial Narrow" w:hAnsi="Arial Narrow" w:cs="Arial"/>
                <w:sz w:val="22"/>
                <w:szCs w:val="22"/>
              </w:rPr>
              <w:t>30 días calendario siguientes al cierre</w:t>
            </w:r>
          </w:p>
        </w:tc>
      </w:tr>
      <w:tr w:rsidR="00A658D0" w14:paraId="06B49BAA" w14:textId="77777777">
        <w:tc>
          <w:tcPr>
            <w:tcW w:w="1832" w:type="dxa"/>
          </w:tcPr>
          <w:p w14:paraId="06B49BA5" w14:textId="77777777" w:rsidR="00A658D0" w:rsidRDefault="00000000">
            <w:pPr>
              <w:jc w:val="both"/>
              <w:rPr>
                <w:rFonts w:ascii="Arial Narrow" w:hAnsi="Arial Narrow" w:cs="Arial"/>
                <w:sz w:val="22"/>
                <w:szCs w:val="22"/>
              </w:rPr>
            </w:pPr>
            <w:r>
              <w:rPr>
                <w:rFonts w:ascii="Arial Narrow" w:hAnsi="Arial Narrow" w:cs="Arial"/>
                <w:sz w:val="22"/>
                <w:szCs w:val="22"/>
              </w:rPr>
              <w:t>Balance de Comprobación de Saldos</w:t>
            </w:r>
          </w:p>
        </w:tc>
        <w:tc>
          <w:tcPr>
            <w:tcW w:w="850" w:type="dxa"/>
          </w:tcPr>
          <w:p w14:paraId="06B49BA6" w14:textId="77777777" w:rsidR="00A658D0" w:rsidRDefault="00A658D0">
            <w:pPr>
              <w:jc w:val="center"/>
              <w:rPr>
                <w:rFonts w:ascii="Arial Narrow" w:hAnsi="Arial Narrow" w:cs="Arial"/>
                <w:sz w:val="22"/>
                <w:szCs w:val="22"/>
              </w:rPr>
            </w:pPr>
          </w:p>
        </w:tc>
        <w:tc>
          <w:tcPr>
            <w:tcW w:w="1418" w:type="dxa"/>
          </w:tcPr>
          <w:p w14:paraId="06B49BA7" w14:textId="77777777" w:rsidR="00A658D0" w:rsidRDefault="00000000">
            <w:pPr>
              <w:jc w:val="center"/>
              <w:rPr>
                <w:rFonts w:ascii="Arial Narrow" w:hAnsi="Arial Narrow" w:cs="Arial"/>
                <w:sz w:val="22"/>
                <w:szCs w:val="22"/>
              </w:rPr>
            </w:pPr>
            <w:r>
              <w:rPr>
                <w:rFonts w:ascii="Arial Narrow" w:hAnsi="Arial Narrow" w:cs="Arial"/>
                <w:sz w:val="22"/>
                <w:szCs w:val="22"/>
              </w:rPr>
              <w:t>Mensual</w:t>
            </w:r>
          </w:p>
        </w:tc>
        <w:tc>
          <w:tcPr>
            <w:tcW w:w="3544" w:type="dxa"/>
          </w:tcPr>
          <w:p w14:paraId="06B49BA8" w14:textId="77777777" w:rsidR="00A658D0" w:rsidRDefault="00000000">
            <w:pPr>
              <w:jc w:val="both"/>
              <w:rPr>
                <w:rFonts w:ascii="Arial Narrow" w:hAnsi="Arial Narrow" w:cs="Arial"/>
                <w:sz w:val="22"/>
                <w:szCs w:val="22"/>
              </w:rPr>
            </w:pPr>
            <w:r>
              <w:rPr>
                <w:rFonts w:ascii="Arial Narrow" w:hAnsi="Arial Narrow" w:cs="Arial"/>
                <w:sz w:val="22"/>
                <w:szCs w:val="22"/>
              </w:rPr>
              <w:t>15 días calendario siguientes al cierre.</w:t>
            </w:r>
          </w:p>
          <w:p w14:paraId="06B49BA9" w14:textId="77777777" w:rsidR="00A658D0" w:rsidRDefault="00000000">
            <w:pPr>
              <w:jc w:val="both"/>
              <w:rPr>
                <w:rFonts w:ascii="Arial Narrow" w:hAnsi="Arial Narrow" w:cs="Arial"/>
                <w:color w:val="FF0000"/>
                <w:sz w:val="22"/>
                <w:szCs w:val="22"/>
              </w:rPr>
            </w:pPr>
            <w:r>
              <w:rPr>
                <w:rFonts w:ascii="Arial Narrow" w:hAnsi="Arial Narrow" w:cs="Arial"/>
                <w:sz w:val="22"/>
                <w:szCs w:val="22"/>
              </w:rPr>
              <w:t>Tratándose de la información anual: 30 días calendario siguientes al cierre.</w:t>
            </w:r>
          </w:p>
        </w:tc>
      </w:tr>
    </w:tbl>
    <w:p w14:paraId="06B49BAB" w14:textId="77777777" w:rsidR="00A658D0" w:rsidRDefault="00A658D0">
      <w:pPr>
        <w:pStyle w:val="normalsangr2"/>
        <w:tabs>
          <w:tab w:val="clear" w:pos="567"/>
          <w:tab w:val="clear" w:pos="709"/>
          <w:tab w:val="clear" w:pos="1417"/>
          <w:tab w:val="clear" w:pos="2154"/>
          <w:tab w:val="clear" w:pos="2832"/>
        </w:tabs>
        <w:spacing w:after="0"/>
        <w:ind w:firstLine="0"/>
        <w:rPr>
          <w:rFonts w:ascii="Arial Narrow" w:hAnsi="Arial Narrow" w:cs="Arial"/>
          <w:sz w:val="22"/>
          <w:lang w:val="es-PE"/>
        </w:rPr>
      </w:pPr>
    </w:p>
    <w:p w14:paraId="06B49BAC" w14:textId="77777777" w:rsidR="00A658D0" w:rsidRDefault="00000000">
      <w:pPr>
        <w:pStyle w:val="normalsangr2"/>
        <w:tabs>
          <w:tab w:val="clear" w:pos="567"/>
          <w:tab w:val="clear" w:pos="709"/>
          <w:tab w:val="clear" w:pos="1417"/>
          <w:tab w:val="clear" w:pos="2154"/>
          <w:tab w:val="clear" w:pos="2832"/>
        </w:tabs>
        <w:spacing w:after="0"/>
        <w:ind w:left="709" w:firstLine="0"/>
        <w:rPr>
          <w:rFonts w:ascii="Arial Narrow" w:hAnsi="Arial Narrow" w:cs="Arial"/>
          <w:lang w:val="es-PE"/>
        </w:rPr>
      </w:pPr>
      <w:r>
        <w:rPr>
          <w:rFonts w:ascii="Arial Narrow" w:hAnsi="Arial Narrow" w:cs="Arial"/>
          <w:sz w:val="22"/>
          <w:lang w:val="es-PE"/>
        </w:rPr>
        <w:t xml:space="preserve">Las empresas de seguros y reaseguros deben remitir por medios físicos y/o a través del software </w:t>
      </w:r>
      <w:r>
        <w:rPr>
          <w:rFonts w:ascii="Arial Narrow" w:hAnsi="Arial Narrow" w:cs="Arial"/>
          <w:iCs/>
          <w:sz w:val="22"/>
          <w:lang w:val="es-PE"/>
        </w:rPr>
        <w:t xml:space="preserve">Submódulo de Captura y Validación Externa- SUCAVE, los estados financieros, </w:t>
      </w:r>
      <w:r>
        <w:rPr>
          <w:rFonts w:ascii="Arial Narrow" w:hAnsi="Arial Narrow" w:cs="Arial"/>
          <w:sz w:val="22"/>
          <w:lang w:val="es-PE"/>
        </w:rPr>
        <w:t>bajo los formatos establecidos en el Capítulo V</w:t>
      </w:r>
      <w:r>
        <w:rPr>
          <w:rFonts w:ascii="Arial Narrow" w:hAnsi="Arial Narrow" w:cs="Arial"/>
          <w:lang w:val="es-PE"/>
        </w:rPr>
        <w:t>.</w:t>
      </w:r>
    </w:p>
    <w:p w14:paraId="06B49BAD" w14:textId="77777777" w:rsidR="00A658D0" w:rsidRDefault="00A658D0">
      <w:pPr>
        <w:pStyle w:val="normalsangr2"/>
        <w:tabs>
          <w:tab w:val="clear" w:pos="567"/>
          <w:tab w:val="clear" w:pos="709"/>
          <w:tab w:val="clear" w:pos="1417"/>
          <w:tab w:val="clear" w:pos="2154"/>
          <w:tab w:val="clear" w:pos="2832"/>
        </w:tabs>
        <w:spacing w:after="0"/>
        <w:ind w:left="709" w:firstLine="0"/>
        <w:rPr>
          <w:rFonts w:ascii="Arial Narrow" w:hAnsi="Arial Narrow" w:cs="Arial"/>
          <w:iCs/>
          <w:lang w:val="es-PE"/>
        </w:rPr>
      </w:pPr>
    </w:p>
    <w:p w14:paraId="06B49BAE" w14:textId="77777777" w:rsidR="00A658D0" w:rsidRDefault="00000000">
      <w:pPr>
        <w:pStyle w:val="normalsangr2"/>
        <w:tabs>
          <w:tab w:val="clear" w:pos="567"/>
          <w:tab w:val="clear" w:pos="709"/>
          <w:tab w:val="clear" w:pos="1417"/>
          <w:tab w:val="clear" w:pos="2154"/>
          <w:tab w:val="clear" w:pos="2832"/>
        </w:tabs>
        <w:spacing w:after="0"/>
        <w:ind w:left="709" w:firstLine="0"/>
        <w:rPr>
          <w:rFonts w:ascii="Arial Narrow" w:hAnsi="Arial Narrow" w:cs="Arial"/>
          <w:sz w:val="22"/>
          <w:lang w:val="es-PE"/>
        </w:rPr>
      </w:pPr>
      <w:r>
        <w:rPr>
          <w:rFonts w:ascii="Arial Narrow" w:hAnsi="Arial Narrow" w:cs="Arial"/>
          <w:iCs/>
          <w:sz w:val="22"/>
          <w:lang w:val="es-PE"/>
        </w:rPr>
        <w:t>El Balance de Comprobación de Saldos se remitirá solo por medio del software SUCAVE.</w:t>
      </w:r>
    </w:p>
    <w:p w14:paraId="06B49BAF" w14:textId="77777777" w:rsidR="00A658D0" w:rsidRDefault="00000000">
      <w:pPr>
        <w:pStyle w:val="normalsangr2"/>
        <w:tabs>
          <w:tab w:val="clear" w:pos="1417"/>
          <w:tab w:val="left" w:pos="851"/>
        </w:tabs>
        <w:spacing w:after="0"/>
        <w:ind w:left="709" w:firstLine="0"/>
        <w:rPr>
          <w:rFonts w:ascii="Arial Narrow" w:hAnsi="Arial Narrow" w:cs="Arial"/>
          <w:sz w:val="22"/>
          <w:lang w:val="es-PE"/>
        </w:rPr>
      </w:pPr>
      <w:r>
        <w:rPr>
          <w:rFonts w:ascii="Arial Narrow" w:hAnsi="Arial Narrow" w:cs="Arial"/>
          <w:sz w:val="22"/>
          <w:lang w:val="es-PE"/>
        </w:rPr>
        <w:t xml:space="preserve">Las empresas que hayan suscrito el convenio denominado “Convenio de responsabilidad sobre información remitida mediante el aplicativo SUCAVE” (Convenio-SUCAVE), aprobado por Resolución SBS </w:t>
      </w:r>
      <w:proofErr w:type="spellStart"/>
      <w:r>
        <w:rPr>
          <w:rFonts w:ascii="Arial Narrow" w:hAnsi="Arial Narrow" w:cs="Arial"/>
          <w:sz w:val="22"/>
          <w:lang w:val="es-PE"/>
        </w:rPr>
        <w:t>N°</w:t>
      </w:r>
      <w:proofErr w:type="spellEnd"/>
      <w:r>
        <w:rPr>
          <w:rFonts w:ascii="Arial Narrow" w:hAnsi="Arial Narrow" w:cs="Arial"/>
          <w:sz w:val="22"/>
          <w:lang w:val="es-PE"/>
        </w:rPr>
        <w:t xml:space="preserve"> 1270-2007 de fecha 21.09.2007, enviarán </w:t>
      </w:r>
      <w:r>
        <w:rPr>
          <w:rFonts w:ascii="Arial Narrow" w:hAnsi="Arial Narrow" w:cs="Arial"/>
          <w:iCs/>
          <w:sz w:val="22"/>
          <w:lang w:val="es-PE"/>
        </w:rPr>
        <w:t xml:space="preserve">los estados financieros </w:t>
      </w:r>
      <w:r>
        <w:rPr>
          <w:rFonts w:ascii="Arial Narrow" w:hAnsi="Arial Narrow" w:cs="Arial"/>
          <w:sz w:val="22"/>
          <w:lang w:val="es-PE"/>
        </w:rPr>
        <w:t xml:space="preserve">únicamente a través del SUCAVE, sin necesidad de enviar la citada información en medios físicos. Este tratamiento no es aplicable a las Formas A, B-1 y B-2, que también serán enviadas en medios físicos.  </w:t>
      </w:r>
    </w:p>
    <w:p w14:paraId="06B49BB0" w14:textId="77777777" w:rsidR="00A658D0" w:rsidRDefault="00A658D0">
      <w:pPr>
        <w:pStyle w:val="normalsangr2"/>
        <w:tabs>
          <w:tab w:val="clear" w:pos="567"/>
          <w:tab w:val="clear" w:pos="709"/>
          <w:tab w:val="clear" w:pos="1417"/>
          <w:tab w:val="clear" w:pos="2154"/>
          <w:tab w:val="clear" w:pos="2832"/>
        </w:tabs>
        <w:spacing w:after="0"/>
        <w:ind w:left="709" w:firstLine="0"/>
        <w:rPr>
          <w:rFonts w:ascii="Arial Narrow" w:hAnsi="Arial Narrow" w:cs="Arial"/>
          <w:sz w:val="22"/>
          <w:lang w:val="es-PE"/>
        </w:rPr>
      </w:pPr>
    </w:p>
    <w:p w14:paraId="06B49BB1" w14:textId="77777777" w:rsidR="00A658D0" w:rsidRDefault="00000000">
      <w:pPr>
        <w:pStyle w:val="normalsangr2"/>
        <w:tabs>
          <w:tab w:val="clear" w:pos="567"/>
          <w:tab w:val="clear" w:pos="709"/>
          <w:tab w:val="clear" w:pos="1417"/>
          <w:tab w:val="clear" w:pos="2154"/>
          <w:tab w:val="clear" w:pos="2832"/>
        </w:tabs>
        <w:spacing w:after="0"/>
        <w:ind w:left="709" w:firstLine="0"/>
        <w:rPr>
          <w:rFonts w:ascii="Arial Narrow" w:hAnsi="Arial Narrow" w:cs="Arial"/>
          <w:sz w:val="22"/>
          <w:lang w:val="es-PE"/>
        </w:rPr>
      </w:pPr>
      <w:r>
        <w:rPr>
          <w:rFonts w:ascii="Arial Narrow" w:hAnsi="Arial Narrow" w:cs="Arial"/>
          <w:sz w:val="22"/>
          <w:lang w:val="es-PE"/>
        </w:rPr>
        <w:t>De acuerdo con lo anterior, la forma de remisión del Balance de Comprobación de Saldos y los Estados Financieros es la siguiente:</w:t>
      </w:r>
    </w:p>
    <w:p w14:paraId="06B49BB2" w14:textId="77777777" w:rsidR="00A658D0" w:rsidRDefault="00A658D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1959"/>
        <w:gridCol w:w="1960"/>
      </w:tblGrid>
      <w:tr w:rsidR="00A658D0" w14:paraId="06B49BB6" w14:textId="77777777">
        <w:tc>
          <w:tcPr>
            <w:tcW w:w="3544" w:type="dxa"/>
            <w:vMerge w:val="restart"/>
          </w:tcPr>
          <w:p w14:paraId="06B49BB3" w14:textId="77777777" w:rsidR="00A658D0" w:rsidRDefault="00A658D0">
            <w:pPr>
              <w:jc w:val="both"/>
              <w:rPr>
                <w:rFonts w:ascii="Arial Narrow" w:hAnsi="Arial Narrow"/>
                <w:b/>
                <w:sz w:val="22"/>
                <w:szCs w:val="22"/>
              </w:rPr>
            </w:pPr>
          </w:p>
          <w:p w14:paraId="06B49BB4" w14:textId="77777777" w:rsidR="00A658D0" w:rsidRDefault="00000000">
            <w:pPr>
              <w:jc w:val="center"/>
              <w:rPr>
                <w:rFonts w:ascii="Arial Narrow" w:hAnsi="Arial Narrow"/>
                <w:b/>
                <w:sz w:val="22"/>
                <w:szCs w:val="22"/>
              </w:rPr>
            </w:pPr>
            <w:r>
              <w:rPr>
                <w:rFonts w:ascii="Arial Narrow" w:hAnsi="Arial Narrow"/>
                <w:b/>
                <w:sz w:val="22"/>
                <w:szCs w:val="22"/>
              </w:rPr>
              <w:t>INFORMACIÓN</w:t>
            </w:r>
          </w:p>
        </w:tc>
        <w:tc>
          <w:tcPr>
            <w:tcW w:w="3969" w:type="dxa"/>
            <w:gridSpan w:val="2"/>
          </w:tcPr>
          <w:p w14:paraId="06B49BB5" w14:textId="77777777" w:rsidR="00A658D0" w:rsidRDefault="00000000">
            <w:pPr>
              <w:jc w:val="center"/>
              <w:rPr>
                <w:rFonts w:ascii="Arial Narrow" w:hAnsi="Arial Narrow"/>
                <w:b/>
                <w:sz w:val="22"/>
                <w:szCs w:val="22"/>
              </w:rPr>
            </w:pPr>
            <w:r>
              <w:rPr>
                <w:rFonts w:ascii="Arial Narrow" w:hAnsi="Arial Narrow"/>
                <w:b/>
                <w:sz w:val="22"/>
                <w:szCs w:val="22"/>
              </w:rPr>
              <w:t>FORMA DE REMISIÓN</w:t>
            </w:r>
          </w:p>
        </w:tc>
      </w:tr>
      <w:tr w:rsidR="00A658D0" w14:paraId="06B49BBA" w14:textId="77777777">
        <w:tc>
          <w:tcPr>
            <w:tcW w:w="3544" w:type="dxa"/>
            <w:vMerge/>
          </w:tcPr>
          <w:p w14:paraId="06B49BB7" w14:textId="77777777" w:rsidR="00A658D0" w:rsidRDefault="00A658D0">
            <w:pPr>
              <w:jc w:val="both"/>
              <w:rPr>
                <w:rFonts w:ascii="Arial Narrow" w:hAnsi="Arial Narrow"/>
                <w:b/>
                <w:kern w:val="28"/>
                <w:sz w:val="22"/>
                <w:szCs w:val="22"/>
              </w:rPr>
            </w:pPr>
          </w:p>
        </w:tc>
        <w:tc>
          <w:tcPr>
            <w:tcW w:w="1984" w:type="dxa"/>
          </w:tcPr>
          <w:p w14:paraId="06B49BB8" w14:textId="77777777" w:rsidR="00A658D0" w:rsidRDefault="00000000">
            <w:pPr>
              <w:jc w:val="both"/>
              <w:rPr>
                <w:rFonts w:ascii="Arial Narrow" w:hAnsi="Arial Narrow"/>
                <w:b/>
                <w:sz w:val="22"/>
                <w:szCs w:val="22"/>
              </w:rPr>
            </w:pPr>
            <w:r>
              <w:rPr>
                <w:rFonts w:ascii="Arial Narrow" w:hAnsi="Arial Narrow"/>
                <w:b/>
                <w:sz w:val="22"/>
                <w:szCs w:val="22"/>
              </w:rPr>
              <w:t xml:space="preserve">Sin suscripción del Convenio-SUCAVE </w:t>
            </w:r>
          </w:p>
        </w:tc>
        <w:tc>
          <w:tcPr>
            <w:tcW w:w="1985" w:type="dxa"/>
          </w:tcPr>
          <w:p w14:paraId="06B49BB9" w14:textId="77777777" w:rsidR="00A658D0" w:rsidRDefault="00000000">
            <w:pPr>
              <w:jc w:val="both"/>
              <w:rPr>
                <w:rFonts w:ascii="Arial Narrow" w:hAnsi="Arial Narrow"/>
                <w:b/>
                <w:sz w:val="22"/>
                <w:szCs w:val="22"/>
              </w:rPr>
            </w:pPr>
            <w:r>
              <w:rPr>
                <w:rFonts w:ascii="Arial Narrow" w:hAnsi="Arial Narrow"/>
                <w:b/>
                <w:sz w:val="22"/>
                <w:szCs w:val="22"/>
              </w:rPr>
              <w:t>Con suscripción del Convenio-SUCAVE</w:t>
            </w:r>
          </w:p>
        </w:tc>
      </w:tr>
      <w:tr w:rsidR="00A658D0" w14:paraId="06B49BBE" w14:textId="77777777">
        <w:tc>
          <w:tcPr>
            <w:tcW w:w="3544" w:type="dxa"/>
          </w:tcPr>
          <w:p w14:paraId="06B49BBB" w14:textId="77777777" w:rsidR="00A658D0" w:rsidRDefault="00000000">
            <w:pPr>
              <w:jc w:val="both"/>
              <w:rPr>
                <w:rFonts w:ascii="Arial Narrow" w:hAnsi="Arial Narrow"/>
                <w:sz w:val="22"/>
                <w:szCs w:val="22"/>
              </w:rPr>
            </w:pPr>
            <w:r>
              <w:rPr>
                <w:rFonts w:ascii="Arial Narrow" w:hAnsi="Arial Narrow"/>
                <w:sz w:val="22"/>
                <w:szCs w:val="22"/>
              </w:rPr>
              <w:t>Balance de Comprobación de Saldos</w:t>
            </w:r>
          </w:p>
        </w:tc>
        <w:tc>
          <w:tcPr>
            <w:tcW w:w="1984" w:type="dxa"/>
          </w:tcPr>
          <w:p w14:paraId="06B49BBC" w14:textId="77777777" w:rsidR="00A658D0" w:rsidRDefault="00000000">
            <w:pPr>
              <w:jc w:val="both"/>
              <w:rPr>
                <w:rFonts w:ascii="Arial Narrow" w:hAnsi="Arial Narrow"/>
                <w:sz w:val="22"/>
                <w:szCs w:val="22"/>
              </w:rPr>
            </w:pPr>
            <w:r>
              <w:rPr>
                <w:rFonts w:ascii="Arial Narrow" w:hAnsi="Arial Narrow"/>
                <w:sz w:val="22"/>
                <w:szCs w:val="22"/>
              </w:rPr>
              <w:t xml:space="preserve">SUCAVE </w:t>
            </w:r>
          </w:p>
        </w:tc>
        <w:tc>
          <w:tcPr>
            <w:tcW w:w="1985" w:type="dxa"/>
          </w:tcPr>
          <w:p w14:paraId="06B49BBD" w14:textId="77777777" w:rsidR="00A658D0" w:rsidRDefault="00000000">
            <w:pPr>
              <w:jc w:val="both"/>
              <w:rPr>
                <w:rFonts w:ascii="Arial Narrow" w:hAnsi="Arial Narrow"/>
                <w:sz w:val="22"/>
                <w:szCs w:val="22"/>
              </w:rPr>
            </w:pPr>
            <w:r>
              <w:rPr>
                <w:rFonts w:ascii="Arial Narrow" w:hAnsi="Arial Narrow"/>
                <w:sz w:val="22"/>
                <w:szCs w:val="22"/>
              </w:rPr>
              <w:t>SUCAVE</w:t>
            </w:r>
          </w:p>
        </w:tc>
      </w:tr>
      <w:tr w:rsidR="00A658D0" w14:paraId="06B49BC2" w14:textId="77777777">
        <w:trPr>
          <w:trHeight w:val="1127"/>
        </w:trPr>
        <w:tc>
          <w:tcPr>
            <w:tcW w:w="3544" w:type="dxa"/>
          </w:tcPr>
          <w:p w14:paraId="06B49BBF" w14:textId="77777777" w:rsidR="00A658D0" w:rsidRDefault="00000000">
            <w:pPr>
              <w:jc w:val="both"/>
              <w:rPr>
                <w:rFonts w:ascii="Arial Narrow" w:hAnsi="Arial Narrow"/>
                <w:sz w:val="22"/>
                <w:szCs w:val="22"/>
              </w:rPr>
            </w:pPr>
            <w:r>
              <w:rPr>
                <w:rFonts w:ascii="Arial Narrow" w:hAnsi="Arial Narrow"/>
                <w:sz w:val="22"/>
                <w:szCs w:val="22"/>
              </w:rPr>
              <w:t>Estado de Situación Financiera (Forma A), Estado de Resultados (Forma B-1) y Estado de Resultados y Otro Resultado Integral (Forma B-2) (*)</w:t>
            </w:r>
          </w:p>
        </w:tc>
        <w:tc>
          <w:tcPr>
            <w:tcW w:w="1984" w:type="dxa"/>
          </w:tcPr>
          <w:p w14:paraId="06B49BC0" w14:textId="77777777" w:rsidR="00A658D0" w:rsidRDefault="00000000">
            <w:pPr>
              <w:jc w:val="both"/>
              <w:rPr>
                <w:rFonts w:ascii="Arial Narrow" w:hAnsi="Arial Narrow"/>
                <w:sz w:val="22"/>
                <w:szCs w:val="22"/>
              </w:rPr>
            </w:pPr>
            <w:r>
              <w:rPr>
                <w:rFonts w:ascii="Arial Narrow" w:hAnsi="Arial Narrow"/>
                <w:sz w:val="22"/>
                <w:szCs w:val="22"/>
              </w:rPr>
              <w:t>Físico y SUCAVE</w:t>
            </w:r>
            <w:r>
              <w:rPr>
                <w:rStyle w:val="Refdenotaalpie"/>
                <w:rFonts w:ascii="Arial Narrow" w:hAnsi="Arial Narrow"/>
                <w:sz w:val="22"/>
                <w:szCs w:val="22"/>
              </w:rPr>
              <w:footnoteReference w:id="11"/>
            </w:r>
          </w:p>
        </w:tc>
        <w:tc>
          <w:tcPr>
            <w:tcW w:w="1985" w:type="dxa"/>
          </w:tcPr>
          <w:p w14:paraId="06B49BC1" w14:textId="77777777" w:rsidR="00A658D0" w:rsidRDefault="00000000">
            <w:pPr>
              <w:jc w:val="both"/>
              <w:rPr>
                <w:rFonts w:ascii="Arial Narrow" w:hAnsi="Arial Narrow"/>
                <w:sz w:val="22"/>
                <w:szCs w:val="22"/>
              </w:rPr>
            </w:pPr>
            <w:r>
              <w:rPr>
                <w:rFonts w:ascii="Arial Narrow" w:hAnsi="Arial Narrow"/>
                <w:sz w:val="22"/>
                <w:szCs w:val="22"/>
              </w:rPr>
              <w:t>Físico y SUCAVE</w:t>
            </w:r>
            <w:r>
              <w:rPr>
                <w:rStyle w:val="Refdenotaalpie"/>
                <w:rFonts w:ascii="Arial Narrow" w:hAnsi="Arial Narrow"/>
                <w:sz w:val="22"/>
                <w:szCs w:val="22"/>
              </w:rPr>
              <w:footnoteReference w:id="12"/>
            </w:r>
          </w:p>
        </w:tc>
      </w:tr>
      <w:tr w:rsidR="00A658D0" w14:paraId="06B49BC6" w14:textId="77777777">
        <w:tc>
          <w:tcPr>
            <w:tcW w:w="3544" w:type="dxa"/>
          </w:tcPr>
          <w:p w14:paraId="06B49BC3" w14:textId="77777777" w:rsidR="00A658D0" w:rsidRDefault="00000000">
            <w:pPr>
              <w:jc w:val="both"/>
              <w:rPr>
                <w:rFonts w:ascii="Arial Narrow" w:hAnsi="Arial Narrow"/>
                <w:sz w:val="22"/>
                <w:szCs w:val="22"/>
              </w:rPr>
            </w:pPr>
            <w:r>
              <w:rPr>
                <w:rFonts w:ascii="Arial Narrow" w:hAnsi="Arial Narrow"/>
                <w:sz w:val="22"/>
                <w:szCs w:val="22"/>
              </w:rPr>
              <w:t>Estado de Flujo de Efectivo (Forma C)</w:t>
            </w:r>
          </w:p>
        </w:tc>
        <w:tc>
          <w:tcPr>
            <w:tcW w:w="1984" w:type="dxa"/>
          </w:tcPr>
          <w:p w14:paraId="06B49BC4" w14:textId="77777777" w:rsidR="00A658D0" w:rsidRDefault="00000000">
            <w:pPr>
              <w:jc w:val="both"/>
              <w:rPr>
                <w:rFonts w:ascii="Arial Narrow" w:hAnsi="Arial Narrow"/>
                <w:sz w:val="22"/>
                <w:szCs w:val="22"/>
              </w:rPr>
            </w:pPr>
            <w:r>
              <w:rPr>
                <w:rFonts w:ascii="Arial Narrow" w:hAnsi="Arial Narrow"/>
                <w:sz w:val="22"/>
                <w:szCs w:val="22"/>
              </w:rPr>
              <w:t>Físico</w:t>
            </w:r>
          </w:p>
        </w:tc>
        <w:tc>
          <w:tcPr>
            <w:tcW w:w="1985" w:type="dxa"/>
          </w:tcPr>
          <w:p w14:paraId="06B49BC5" w14:textId="77777777" w:rsidR="00A658D0" w:rsidRDefault="00000000">
            <w:pPr>
              <w:jc w:val="both"/>
              <w:rPr>
                <w:rFonts w:ascii="Arial Narrow" w:hAnsi="Arial Narrow"/>
                <w:sz w:val="22"/>
                <w:szCs w:val="22"/>
              </w:rPr>
            </w:pPr>
            <w:r>
              <w:rPr>
                <w:rFonts w:ascii="Arial Narrow" w:hAnsi="Arial Narrow"/>
                <w:sz w:val="22"/>
                <w:szCs w:val="22"/>
              </w:rPr>
              <w:t>Físico</w:t>
            </w:r>
          </w:p>
        </w:tc>
      </w:tr>
      <w:tr w:rsidR="00A658D0" w14:paraId="06B49BCA" w14:textId="77777777">
        <w:tc>
          <w:tcPr>
            <w:tcW w:w="3544" w:type="dxa"/>
          </w:tcPr>
          <w:p w14:paraId="06B49BC7" w14:textId="77777777" w:rsidR="00A658D0" w:rsidRDefault="00000000">
            <w:pPr>
              <w:jc w:val="both"/>
              <w:rPr>
                <w:rFonts w:ascii="Arial Narrow" w:hAnsi="Arial Narrow"/>
                <w:sz w:val="22"/>
                <w:szCs w:val="22"/>
              </w:rPr>
            </w:pPr>
            <w:r>
              <w:rPr>
                <w:rFonts w:ascii="Arial Narrow" w:hAnsi="Arial Narrow"/>
                <w:sz w:val="22"/>
                <w:szCs w:val="22"/>
              </w:rPr>
              <w:t>Estado de Cambios en el Patrimonio Neto (Forma D)</w:t>
            </w:r>
          </w:p>
        </w:tc>
        <w:tc>
          <w:tcPr>
            <w:tcW w:w="1984" w:type="dxa"/>
          </w:tcPr>
          <w:p w14:paraId="06B49BC8" w14:textId="77777777" w:rsidR="00A658D0" w:rsidRDefault="00000000">
            <w:pPr>
              <w:jc w:val="both"/>
              <w:rPr>
                <w:rFonts w:ascii="Arial Narrow" w:hAnsi="Arial Narrow"/>
                <w:sz w:val="22"/>
                <w:szCs w:val="22"/>
              </w:rPr>
            </w:pPr>
            <w:r>
              <w:rPr>
                <w:rFonts w:ascii="Arial Narrow" w:hAnsi="Arial Narrow"/>
                <w:sz w:val="22"/>
                <w:szCs w:val="22"/>
              </w:rPr>
              <w:t>Físico</w:t>
            </w:r>
          </w:p>
        </w:tc>
        <w:tc>
          <w:tcPr>
            <w:tcW w:w="1985" w:type="dxa"/>
          </w:tcPr>
          <w:p w14:paraId="06B49BC9" w14:textId="77777777" w:rsidR="00A658D0" w:rsidRDefault="00000000">
            <w:pPr>
              <w:jc w:val="both"/>
              <w:rPr>
                <w:rFonts w:ascii="Arial Narrow" w:hAnsi="Arial Narrow"/>
                <w:sz w:val="22"/>
                <w:szCs w:val="22"/>
              </w:rPr>
            </w:pPr>
            <w:r>
              <w:rPr>
                <w:rFonts w:ascii="Arial Narrow" w:hAnsi="Arial Narrow"/>
                <w:sz w:val="22"/>
                <w:szCs w:val="22"/>
              </w:rPr>
              <w:t>Físico</w:t>
            </w:r>
          </w:p>
        </w:tc>
      </w:tr>
    </w:tbl>
    <w:p w14:paraId="06B49BCB" w14:textId="77777777" w:rsidR="00A658D0" w:rsidRDefault="00000000">
      <w:pPr>
        <w:pStyle w:val="Sangra2detindependiente"/>
        <w:ind w:left="737" w:firstLine="0"/>
        <w:rPr>
          <w:rFonts w:ascii="Arial Narrow" w:hAnsi="Arial Narrow"/>
          <w:szCs w:val="18"/>
        </w:rPr>
      </w:pPr>
      <w:r>
        <w:rPr>
          <w:rFonts w:ascii="Arial Narrow" w:hAnsi="Arial Narrow"/>
          <w:szCs w:val="18"/>
        </w:rPr>
        <w:t>(*) En el caso de las empresas de seguros que operen de manera conjunta en ramos generales y en ramos de vida, las formas deben ser enviadas separadas por cada ramo.</w:t>
      </w:r>
      <w:r>
        <w:rPr>
          <w:rStyle w:val="Refdenotaalpie"/>
          <w:rFonts w:ascii="Arial Narrow" w:hAnsi="Arial Narrow"/>
          <w:szCs w:val="18"/>
        </w:rPr>
        <w:footnoteReference w:id="13"/>
      </w:r>
    </w:p>
    <w:p w14:paraId="06B49BCC" w14:textId="77777777" w:rsidR="00A658D0" w:rsidRDefault="00A658D0">
      <w:pPr>
        <w:ind w:left="708" w:hanging="282"/>
        <w:jc w:val="both"/>
        <w:rPr>
          <w:rFonts w:ascii="Arial Narrow" w:hAnsi="Arial Narrow"/>
          <w:sz w:val="22"/>
        </w:rPr>
      </w:pPr>
    </w:p>
    <w:p w14:paraId="06B49BCD" w14:textId="77777777" w:rsidR="00A658D0" w:rsidRDefault="00000000">
      <w:pPr>
        <w:ind w:left="708" w:hanging="282"/>
        <w:jc w:val="both"/>
        <w:rPr>
          <w:rFonts w:ascii="Arial Narrow" w:hAnsi="Arial Narrow"/>
          <w:sz w:val="22"/>
        </w:rPr>
      </w:pPr>
      <w:r>
        <w:rPr>
          <w:rFonts w:ascii="Arial Narrow" w:hAnsi="Arial Narrow"/>
          <w:sz w:val="22"/>
        </w:rPr>
        <w:t>5.</w:t>
      </w:r>
      <w:r>
        <w:rPr>
          <w:rFonts w:ascii="Arial Narrow" w:hAnsi="Arial Narrow"/>
          <w:sz w:val="22"/>
        </w:rPr>
        <w:tab/>
        <w:t xml:space="preserve">Los estados financieros y demás información complementaria de periodicidad mensual, trimestral, semestral y anual, que las empresas deban remitir en físico, deberán contener las firmas del Gerente General o quien haga sus veces y la del Contador Público Colegiado de la </w:t>
      </w:r>
      <w:r>
        <w:rPr>
          <w:rFonts w:ascii="Arial Narrow" w:hAnsi="Arial Narrow"/>
          <w:sz w:val="22"/>
        </w:rPr>
        <w:lastRenderedPageBreak/>
        <w:t>empresa. Los estados financieros anuales deben contener, además, las firmas de dos directores.</w:t>
      </w:r>
      <w:r>
        <w:rPr>
          <w:rStyle w:val="Refdenotaalpie"/>
          <w:rFonts w:ascii="Arial Narrow" w:hAnsi="Arial Narrow"/>
          <w:sz w:val="22"/>
        </w:rPr>
        <w:footnoteReference w:id="14"/>
      </w:r>
    </w:p>
    <w:p w14:paraId="06B49BCE" w14:textId="77777777" w:rsidR="00A658D0" w:rsidRDefault="00A658D0">
      <w:pPr>
        <w:ind w:left="708" w:hanging="282"/>
        <w:jc w:val="both"/>
        <w:rPr>
          <w:rFonts w:ascii="Arial Narrow" w:hAnsi="Arial Narrow"/>
          <w:sz w:val="22"/>
        </w:rPr>
      </w:pPr>
    </w:p>
    <w:p w14:paraId="06B49BCF" w14:textId="77777777" w:rsidR="00A658D0" w:rsidRDefault="00000000">
      <w:pPr>
        <w:ind w:left="708" w:hanging="282"/>
        <w:jc w:val="both"/>
        <w:rPr>
          <w:rFonts w:ascii="Arial Narrow" w:hAnsi="Arial Narrow"/>
          <w:sz w:val="22"/>
        </w:rPr>
      </w:pPr>
      <w:r>
        <w:rPr>
          <w:rFonts w:ascii="Arial Narrow" w:hAnsi="Arial Narrow"/>
          <w:sz w:val="22"/>
        </w:rPr>
        <w:t>6.</w:t>
      </w:r>
      <w:r>
        <w:rPr>
          <w:rFonts w:ascii="Arial Narrow" w:hAnsi="Arial Narrow"/>
          <w:sz w:val="22"/>
        </w:rPr>
        <w:tab/>
        <w:t xml:space="preserve">Las empresas señaladas en literal D del artículo 16 de la Ley General del Sistema Financiero y del Sistema de Seguros y Orgánica de la Superintendencia de Banca y Seguros - Ley </w:t>
      </w:r>
      <w:proofErr w:type="spellStart"/>
      <w:r>
        <w:rPr>
          <w:rFonts w:ascii="Arial Narrow" w:hAnsi="Arial Narrow"/>
          <w:sz w:val="22"/>
        </w:rPr>
        <w:t>N°</w:t>
      </w:r>
      <w:proofErr w:type="spellEnd"/>
      <w:r>
        <w:rPr>
          <w:rFonts w:ascii="Arial Narrow" w:hAnsi="Arial Narrow"/>
          <w:sz w:val="22"/>
        </w:rPr>
        <w:t xml:space="preserve"> 26702 y sus modificatorias, en adelante Ley General, deben publicar en su página web oficial, sus estados financieros de cierre de ejercicio anual auditados y el dictamen que contenga la opinión de la Sociedad de Auditoría Externa sobre la razonabilidad de los estados financieros, dentro de los siete (07) días hábiles de aprobado por la Junta General de Accionistas, y deben mantenerlos disponibles de manera continua para el público.</w:t>
      </w:r>
      <w:r>
        <w:rPr>
          <w:rStyle w:val="Refdenotaalpie"/>
          <w:rFonts w:ascii="Arial Narrow" w:hAnsi="Arial Narrow"/>
          <w:sz w:val="22"/>
        </w:rPr>
        <w:footnoteReference w:id="15"/>
      </w:r>
      <w:r>
        <w:rPr>
          <w:rFonts w:ascii="Arial Narrow" w:hAnsi="Arial Narrow"/>
          <w:sz w:val="22"/>
        </w:rPr>
        <w:t xml:space="preserve"> </w:t>
      </w:r>
    </w:p>
    <w:p w14:paraId="06B49BD0" w14:textId="77777777" w:rsidR="00A658D0" w:rsidRDefault="00A658D0">
      <w:pPr>
        <w:ind w:left="708" w:hanging="282"/>
        <w:jc w:val="both"/>
        <w:rPr>
          <w:rFonts w:ascii="Arial Narrow" w:hAnsi="Arial Narrow"/>
          <w:sz w:val="22"/>
        </w:rPr>
      </w:pPr>
    </w:p>
    <w:p w14:paraId="06B49BD1" w14:textId="77777777" w:rsidR="00A658D0" w:rsidRDefault="00000000">
      <w:pPr>
        <w:ind w:left="708"/>
        <w:jc w:val="both"/>
        <w:rPr>
          <w:rFonts w:ascii="Arial Narrow" w:hAnsi="Arial Narrow"/>
          <w:sz w:val="22"/>
        </w:rPr>
      </w:pPr>
      <w:r>
        <w:rPr>
          <w:rFonts w:ascii="Arial Narrow" w:hAnsi="Arial Narrow"/>
          <w:sz w:val="22"/>
        </w:rPr>
        <w:t xml:space="preserve">Los formatos de los estados financieros auditados deben corresponder a lo establecido en el Reglamento de Auditoría Externa. </w:t>
      </w:r>
    </w:p>
    <w:p w14:paraId="06B49BD2" w14:textId="77777777" w:rsidR="00A658D0" w:rsidRDefault="00A658D0">
      <w:pPr>
        <w:ind w:left="708"/>
        <w:jc w:val="both"/>
        <w:rPr>
          <w:rFonts w:ascii="Arial Narrow" w:hAnsi="Arial Narrow"/>
          <w:sz w:val="22"/>
        </w:rPr>
      </w:pPr>
    </w:p>
    <w:p w14:paraId="06B49BD3" w14:textId="77777777" w:rsidR="00A658D0" w:rsidRDefault="00000000">
      <w:pPr>
        <w:ind w:left="708"/>
        <w:jc w:val="both"/>
        <w:rPr>
          <w:rFonts w:ascii="Arial Narrow" w:hAnsi="Arial Narrow"/>
          <w:sz w:val="22"/>
        </w:rPr>
      </w:pPr>
      <w:r>
        <w:rPr>
          <w:rFonts w:ascii="Arial Narrow" w:hAnsi="Arial Narrow"/>
          <w:sz w:val="22"/>
        </w:rPr>
        <w:t>La publicación en la página web oficial de la empresa debe realizarse sin referir a un hipervínculo o enlace a otra página web externa a la de la empresa.</w:t>
      </w:r>
    </w:p>
    <w:p w14:paraId="06B49BD4" w14:textId="77777777" w:rsidR="00A658D0" w:rsidRDefault="00A658D0">
      <w:pPr>
        <w:ind w:left="708" w:hanging="282"/>
        <w:jc w:val="both"/>
        <w:rPr>
          <w:rFonts w:ascii="Arial Narrow" w:hAnsi="Arial Narrow"/>
          <w:sz w:val="22"/>
        </w:rPr>
      </w:pPr>
    </w:p>
    <w:p w14:paraId="06B49BD5" w14:textId="77777777" w:rsidR="00A658D0" w:rsidRDefault="00000000">
      <w:pPr>
        <w:ind w:left="708" w:hanging="282"/>
        <w:jc w:val="both"/>
        <w:rPr>
          <w:rFonts w:ascii="Arial Narrow" w:hAnsi="Arial Narrow"/>
          <w:sz w:val="22"/>
        </w:rPr>
      </w:pPr>
      <w:r>
        <w:rPr>
          <w:rFonts w:ascii="Arial Narrow" w:hAnsi="Arial Narrow"/>
          <w:sz w:val="22"/>
        </w:rPr>
        <w:t>7.</w:t>
      </w:r>
      <w:r>
        <w:rPr>
          <w:rFonts w:ascii="Arial Narrow" w:hAnsi="Arial Narrow"/>
          <w:sz w:val="22"/>
        </w:rPr>
        <w:tab/>
        <w:t xml:space="preserve">La memoria anual de las empresas señaladas en literal D del artículo 16 de la Ley General, debe estar a disposición de los accionistas, junto con la documentación </w:t>
      </w:r>
      <w:proofErr w:type="spellStart"/>
      <w:r>
        <w:rPr>
          <w:rFonts w:ascii="Arial Narrow" w:hAnsi="Arial Narrow"/>
          <w:sz w:val="22"/>
        </w:rPr>
        <w:t>sustentatoria</w:t>
      </w:r>
      <w:proofErr w:type="spellEnd"/>
      <w:r>
        <w:rPr>
          <w:rFonts w:ascii="Arial Narrow" w:hAnsi="Arial Narrow"/>
          <w:sz w:val="22"/>
        </w:rPr>
        <w:t xml:space="preserve"> pertinente, por lo menos diez (10) días hábiles antes de la realización de la Junta General de Accionistas para su aprobación. El plazo límite para su aprobación es el 31 de marzo de cada año. Aprobada la memoria, el Directorio u órgano equivalente procederá a autorizar la divulgación respectiva, la cual debe realizarse dentro del plazo estipulado por las normas sobre la materia.</w:t>
      </w:r>
      <w:r>
        <w:rPr>
          <w:rStyle w:val="Refdenotaalpie"/>
          <w:rFonts w:ascii="Arial Narrow" w:hAnsi="Arial Narrow"/>
          <w:sz w:val="22"/>
        </w:rPr>
        <w:footnoteReference w:id="16"/>
      </w:r>
    </w:p>
    <w:p w14:paraId="06B49BD6" w14:textId="77777777" w:rsidR="00A658D0" w:rsidRDefault="00A658D0">
      <w:pPr>
        <w:ind w:left="709"/>
        <w:jc w:val="both"/>
        <w:rPr>
          <w:rFonts w:ascii="Arial Narrow" w:hAnsi="Arial Narrow"/>
          <w:sz w:val="24"/>
        </w:rPr>
      </w:pPr>
    </w:p>
    <w:p w14:paraId="06B49BD7" w14:textId="77777777" w:rsidR="00A658D0" w:rsidRDefault="00000000">
      <w:pPr>
        <w:ind w:left="709"/>
        <w:jc w:val="both"/>
        <w:rPr>
          <w:rFonts w:ascii="Arial Narrow" w:hAnsi="Arial Narrow"/>
          <w:sz w:val="22"/>
        </w:rPr>
      </w:pPr>
      <w:r>
        <w:rPr>
          <w:rFonts w:ascii="Arial Narrow" w:hAnsi="Arial Narrow"/>
          <w:sz w:val="22"/>
        </w:rPr>
        <w:t>La memoria anual deberá contener, por lo menos:</w:t>
      </w:r>
    </w:p>
    <w:p w14:paraId="06B49BD8" w14:textId="77777777" w:rsidR="00A658D0" w:rsidRDefault="00000000">
      <w:pPr>
        <w:numPr>
          <w:ilvl w:val="0"/>
          <w:numId w:val="3"/>
        </w:numPr>
        <w:ind w:left="1049" w:hanging="340"/>
        <w:jc w:val="both"/>
        <w:rPr>
          <w:rFonts w:ascii="Arial Narrow" w:hAnsi="Arial Narrow"/>
          <w:sz w:val="22"/>
        </w:rPr>
      </w:pPr>
      <w:r>
        <w:rPr>
          <w:rFonts w:ascii="Arial Narrow" w:hAnsi="Arial Narrow"/>
          <w:sz w:val="22"/>
        </w:rPr>
        <w:t xml:space="preserve">Descripción de las principales cifras de los estados financieros al cierre del ejercicio, señalando las variaciones más relevantes, en caso </w:t>
      </w:r>
      <w:proofErr w:type="gramStart"/>
      <w:r>
        <w:rPr>
          <w:rFonts w:ascii="Arial Narrow" w:hAnsi="Arial Narrow"/>
          <w:sz w:val="22"/>
        </w:rPr>
        <w:t>corresponda..</w:t>
      </w:r>
      <w:proofErr w:type="gramEnd"/>
      <w:r>
        <w:rPr>
          <w:rStyle w:val="Refdenotaalpie"/>
          <w:rFonts w:ascii="Arial Narrow" w:hAnsi="Arial Narrow"/>
          <w:sz w:val="22"/>
        </w:rPr>
        <w:footnoteReference w:id="17"/>
      </w:r>
    </w:p>
    <w:p w14:paraId="06B49BD9" w14:textId="77777777" w:rsidR="00A658D0" w:rsidRDefault="00000000">
      <w:pPr>
        <w:numPr>
          <w:ilvl w:val="0"/>
          <w:numId w:val="3"/>
        </w:numPr>
        <w:ind w:left="1049" w:hanging="340"/>
        <w:jc w:val="both"/>
        <w:rPr>
          <w:rFonts w:ascii="Arial Narrow" w:hAnsi="Arial Narrow"/>
          <w:sz w:val="22"/>
        </w:rPr>
      </w:pPr>
      <w:r>
        <w:rPr>
          <w:rFonts w:ascii="Arial Narrow" w:hAnsi="Arial Narrow"/>
          <w:sz w:val="22"/>
        </w:rPr>
        <w:t>Una exposición de la situación económica y financiera de la empresa, así como una evaluación resumida de cada uno de los eventos más importantes ocurridos en el período y hechos subsecuentes, de modo que permita al accionista contar con una visión clara de la gestión.</w:t>
      </w:r>
      <w:r>
        <w:rPr>
          <w:rStyle w:val="Refdenotaalpie"/>
          <w:rFonts w:ascii="Arial Narrow" w:hAnsi="Arial Narrow"/>
          <w:sz w:val="22"/>
        </w:rPr>
        <w:footnoteReference w:id="18"/>
      </w:r>
    </w:p>
    <w:p w14:paraId="06B49BDA" w14:textId="77777777" w:rsidR="00A658D0" w:rsidRDefault="00000000">
      <w:pPr>
        <w:numPr>
          <w:ilvl w:val="0"/>
          <w:numId w:val="3"/>
        </w:numPr>
        <w:ind w:left="1049" w:hanging="340"/>
        <w:jc w:val="both"/>
        <w:rPr>
          <w:rFonts w:ascii="Arial Narrow" w:hAnsi="Arial Narrow"/>
          <w:sz w:val="22"/>
        </w:rPr>
      </w:pPr>
      <w:r>
        <w:rPr>
          <w:rFonts w:ascii="Arial Narrow" w:hAnsi="Arial Narrow"/>
          <w:sz w:val="22"/>
        </w:rPr>
        <w:t xml:space="preserve">Descripción general de las principales características de la Gestión Integral de Riesgos de la </w:t>
      </w:r>
      <w:proofErr w:type="gramStart"/>
      <w:r>
        <w:rPr>
          <w:rFonts w:ascii="Arial Narrow" w:hAnsi="Arial Narrow"/>
          <w:sz w:val="22"/>
        </w:rPr>
        <w:t>entidad..</w:t>
      </w:r>
      <w:proofErr w:type="gramEnd"/>
      <w:r>
        <w:rPr>
          <w:rStyle w:val="Refdenotaalpie"/>
          <w:rFonts w:ascii="Arial Narrow" w:hAnsi="Arial Narrow"/>
          <w:sz w:val="22"/>
        </w:rPr>
        <w:footnoteReference w:id="19"/>
      </w:r>
    </w:p>
    <w:p w14:paraId="06B49BDB" w14:textId="77777777" w:rsidR="00A658D0" w:rsidRDefault="00000000">
      <w:pPr>
        <w:numPr>
          <w:ilvl w:val="0"/>
          <w:numId w:val="3"/>
        </w:numPr>
        <w:ind w:left="1049" w:hanging="340"/>
        <w:jc w:val="both"/>
        <w:rPr>
          <w:rFonts w:ascii="Arial Narrow" w:hAnsi="Arial Narrow"/>
          <w:sz w:val="22"/>
        </w:rPr>
      </w:pPr>
      <w:r>
        <w:rPr>
          <w:rFonts w:ascii="Arial Narrow" w:hAnsi="Arial Narrow"/>
          <w:sz w:val="22"/>
        </w:rPr>
        <w:t>.</w:t>
      </w:r>
      <w:r>
        <w:rPr>
          <w:rStyle w:val="Refdenotaalpie"/>
          <w:rFonts w:ascii="Arial Narrow" w:hAnsi="Arial Narrow"/>
          <w:sz w:val="22"/>
        </w:rPr>
        <w:footnoteReference w:id="20"/>
      </w:r>
    </w:p>
    <w:p w14:paraId="06B49BDC" w14:textId="77777777" w:rsidR="00A658D0" w:rsidRDefault="00000000">
      <w:pPr>
        <w:numPr>
          <w:ilvl w:val="0"/>
          <w:numId w:val="3"/>
        </w:numPr>
        <w:ind w:left="1049" w:hanging="340"/>
        <w:jc w:val="both"/>
        <w:rPr>
          <w:rFonts w:ascii="Arial Narrow" w:hAnsi="Arial Narrow"/>
          <w:sz w:val="22"/>
        </w:rPr>
      </w:pPr>
      <w:r>
        <w:rPr>
          <w:rStyle w:val="Refdenotaalpie"/>
          <w:rFonts w:ascii="Arial Narrow" w:hAnsi="Arial Narrow"/>
          <w:sz w:val="22"/>
        </w:rPr>
        <w:footnoteReference w:id="21"/>
      </w:r>
    </w:p>
    <w:p w14:paraId="06B49BDD" w14:textId="77777777" w:rsidR="00A658D0" w:rsidRDefault="00000000">
      <w:pPr>
        <w:numPr>
          <w:ilvl w:val="0"/>
          <w:numId w:val="3"/>
        </w:numPr>
        <w:ind w:left="1049" w:hanging="340"/>
        <w:jc w:val="both"/>
        <w:rPr>
          <w:rFonts w:ascii="Arial Narrow" w:hAnsi="Arial Narrow"/>
          <w:sz w:val="22"/>
        </w:rPr>
      </w:pPr>
      <w:r>
        <w:rPr>
          <w:rFonts w:ascii="Arial Narrow" w:hAnsi="Arial Narrow"/>
          <w:sz w:val="22"/>
        </w:rPr>
        <w:t xml:space="preserve">    </w:t>
      </w:r>
      <w:r>
        <w:rPr>
          <w:rStyle w:val="Refdenotaalpie"/>
          <w:rFonts w:ascii="Arial Narrow" w:hAnsi="Arial Narrow"/>
          <w:sz w:val="22"/>
        </w:rPr>
        <w:footnoteReference w:id="22"/>
      </w:r>
    </w:p>
    <w:p w14:paraId="06B49BDE" w14:textId="77777777" w:rsidR="00A658D0" w:rsidRDefault="00000000">
      <w:pPr>
        <w:numPr>
          <w:ilvl w:val="0"/>
          <w:numId w:val="3"/>
        </w:numPr>
        <w:ind w:left="1049" w:hanging="340"/>
        <w:jc w:val="both"/>
        <w:rPr>
          <w:rFonts w:ascii="Arial Narrow" w:hAnsi="Arial Narrow"/>
          <w:sz w:val="22"/>
        </w:rPr>
      </w:pPr>
      <w:r>
        <w:rPr>
          <w:rStyle w:val="Refdenotaalpie"/>
          <w:rFonts w:ascii="Arial Narrow" w:hAnsi="Arial Narrow"/>
          <w:sz w:val="22"/>
        </w:rPr>
        <w:footnoteReference w:id="23"/>
      </w:r>
    </w:p>
    <w:p w14:paraId="06B49BDF" w14:textId="77777777" w:rsidR="00A658D0" w:rsidRDefault="00000000">
      <w:pPr>
        <w:numPr>
          <w:ilvl w:val="0"/>
          <w:numId w:val="3"/>
        </w:numPr>
        <w:ind w:left="1049" w:hanging="340"/>
        <w:jc w:val="both"/>
        <w:rPr>
          <w:rFonts w:ascii="Arial Narrow" w:hAnsi="Arial Narrow"/>
          <w:sz w:val="22"/>
        </w:rPr>
      </w:pPr>
      <w:r>
        <w:rPr>
          <w:rFonts w:ascii="Arial Narrow" w:hAnsi="Arial Narrow"/>
          <w:sz w:val="22"/>
        </w:rPr>
        <w:t>Otra información requerida en normas específicas por esta Superintendencia u otro organismo regulador.</w:t>
      </w:r>
      <w:r>
        <w:rPr>
          <w:rStyle w:val="Refdenotaalpie"/>
          <w:rFonts w:ascii="Arial Narrow" w:hAnsi="Arial Narrow"/>
          <w:sz w:val="22"/>
        </w:rPr>
        <w:footnoteReference w:id="24"/>
      </w:r>
    </w:p>
    <w:p w14:paraId="06B49BE0" w14:textId="77777777" w:rsidR="00A658D0" w:rsidRDefault="00A658D0">
      <w:pPr>
        <w:ind w:left="708" w:hanging="282"/>
        <w:jc w:val="both"/>
        <w:rPr>
          <w:rFonts w:ascii="Arial Narrow" w:hAnsi="Arial Narrow"/>
          <w:sz w:val="22"/>
        </w:rPr>
      </w:pPr>
    </w:p>
    <w:p w14:paraId="06B49BE1" w14:textId="77777777" w:rsidR="00A658D0" w:rsidRDefault="00000000">
      <w:pPr>
        <w:ind w:left="709"/>
        <w:jc w:val="both"/>
        <w:rPr>
          <w:rFonts w:ascii="Arial Narrow" w:hAnsi="Arial Narrow"/>
          <w:sz w:val="22"/>
        </w:rPr>
      </w:pPr>
      <w:r>
        <w:rPr>
          <w:rFonts w:ascii="Arial Narrow" w:hAnsi="Arial Narrow"/>
          <w:sz w:val="22"/>
        </w:rPr>
        <w:t>La memoria anual debe ser remitida a la Superintendencia, dentro de los diez (10) días hábiles posteriores a su aprobación por la Junta General de Accionistas.</w:t>
      </w:r>
      <w:r>
        <w:rPr>
          <w:rStyle w:val="Refdenotaalpie"/>
          <w:rFonts w:ascii="Arial Narrow" w:hAnsi="Arial Narrow"/>
          <w:sz w:val="22"/>
        </w:rPr>
        <w:footnoteReference w:id="25"/>
      </w:r>
    </w:p>
    <w:p w14:paraId="06B49BE2" w14:textId="77777777" w:rsidR="00A658D0" w:rsidRDefault="00A658D0">
      <w:pPr>
        <w:ind w:left="709"/>
        <w:jc w:val="both"/>
        <w:rPr>
          <w:rFonts w:ascii="Arial Narrow" w:hAnsi="Arial Narrow"/>
          <w:sz w:val="22"/>
        </w:rPr>
      </w:pPr>
    </w:p>
    <w:p w14:paraId="06B49BE3" w14:textId="77777777" w:rsidR="00A658D0" w:rsidRDefault="00000000">
      <w:pPr>
        <w:ind w:left="709"/>
        <w:jc w:val="both"/>
        <w:rPr>
          <w:rFonts w:ascii="Arial Narrow" w:hAnsi="Arial Narrow"/>
          <w:sz w:val="22"/>
        </w:rPr>
      </w:pPr>
      <w:r>
        <w:rPr>
          <w:rFonts w:ascii="Arial Narrow" w:hAnsi="Arial Narrow"/>
          <w:sz w:val="22"/>
        </w:rPr>
        <w:t>Asimismo, las empresas antes señaladas, deben publicar en su página web la memoria anual. El plazo límite para su publicación es diez (10) días hábiles posteriores a la fecha de su aprobación por la Junta General de Accionistas y deben mantenerlos disponibles de manera continua para el público. La publicación debe realizarse sin referir a un hipervínculo o enlace a otra página web externa a la de la empresa.</w:t>
      </w:r>
      <w:r>
        <w:rPr>
          <w:rStyle w:val="Refdenotaalpie"/>
          <w:rFonts w:ascii="Arial Narrow" w:hAnsi="Arial Narrow"/>
          <w:sz w:val="22"/>
        </w:rPr>
        <w:footnoteReference w:id="26"/>
      </w:r>
      <w:r>
        <w:rPr>
          <w:rFonts w:ascii="Arial Narrow" w:hAnsi="Arial Narrow"/>
          <w:sz w:val="22"/>
        </w:rPr>
        <w:t xml:space="preserve"> </w:t>
      </w:r>
    </w:p>
    <w:p w14:paraId="06B49BE4" w14:textId="77777777" w:rsidR="00A658D0" w:rsidRDefault="00A658D0">
      <w:pPr>
        <w:ind w:left="708" w:hanging="282"/>
        <w:jc w:val="both"/>
        <w:rPr>
          <w:rFonts w:ascii="Arial Narrow" w:hAnsi="Arial Narrow"/>
          <w:sz w:val="22"/>
        </w:rPr>
      </w:pPr>
    </w:p>
    <w:p w14:paraId="06B49BE5" w14:textId="77777777" w:rsidR="00A658D0" w:rsidRDefault="00000000">
      <w:pPr>
        <w:ind w:left="708" w:hanging="282"/>
        <w:jc w:val="both"/>
        <w:rPr>
          <w:rFonts w:ascii="Arial Narrow" w:hAnsi="Arial Narrow"/>
          <w:sz w:val="22"/>
        </w:rPr>
      </w:pPr>
      <w:r>
        <w:rPr>
          <w:rFonts w:ascii="Arial Narrow" w:hAnsi="Arial Narrow"/>
          <w:sz w:val="22"/>
        </w:rPr>
        <w:t>8.</w:t>
      </w:r>
      <w:r>
        <w:rPr>
          <w:rFonts w:ascii="Arial Narrow" w:hAnsi="Arial Narrow"/>
          <w:sz w:val="22"/>
        </w:rPr>
        <w:tab/>
        <w:t>Los intermediarios y auxiliares de seguros presentan el balance de comprobación de saldos y los estados financieros, cuyos formatos se incorporan al capítulo V del Plan de Cuentas, según las disposiciones que establezca la Superintendencia. En el caso de los corredores de seguros, la presentación de los estados financieros auditados dentro de los ciento veinte (120) días calendario siguientes al cierre de cada ejercicio, es aplicable a aquellos que cumplan con las condiciones establecidas por la Superintendencia.</w:t>
      </w:r>
      <w:r>
        <w:rPr>
          <w:rStyle w:val="Refdenotaalpie"/>
          <w:rFonts w:ascii="Arial Narrow" w:hAnsi="Arial Narrow"/>
          <w:sz w:val="22"/>
        </w:rPr>
        <w:t xml:space="preserve"> </w:t>
      </w:r>
      <w:r>
        <w:rPr>
          <w:rStyle w:val="Refdenotaalpie"/>
          <w:rFonts w:ascii="Arial Narrow" w:hAnsi="Arial Narrow"/>
          <w:sz w:val="22"/>
        </w:rPr>
        <w:footnoteReference w:id="27"/>
      </w:r>
    </w:p>
    <w:p w14:paraId="06B49BE6" w14:textId="77777777" w:rsidR="00A658D0" w:rsidRDefault="00A658D0">
      <w:pPr>
        <w:ind w:left="426" w:hanging="426"/>
        <w:jc w:val="both"/>
        <w:rPr>
          <w:rFonts w:ascii="Arial Narrow" w:hAnsi="Arial Narrow"/>
          <w:sz w:val="22"/>
        </w:rPr>
      </w:pPr>
    </w:p>
    <w:p w14:paraId="06B49BE7" w14:textId="77777777" w:rsidR="00A658D0" w:rsidRDefault="00000000">
      <w:pPr>
        <w:ind w:left="708"/>
        <w:jc w:val="both"/>
        <w:rPr>
          <w:rFonts w:ascii="Arial Narrow" w:hAnsi="Arial Narrow"/>
          <w:sz w:val="22"/>
        </w:rPr>
      </w:pPr>
      <w:r>
        <w:rPr>
          <w:rFonts w:ascii="Arial Narrow" w:hAnsi="Arial Narrow"/>
          <w:sz w:val="22"/>
        </w:rPr>
        <w:t xml:space="preserve">La información remitida debe ser suscrita por el </w:t>
      </w:r>
      <w:proofErr w:type="gramStart"/>
      <w:r>
        <w:rPr>
          <w:rFonts w:ascii="Arial Narrow" w:hAnsi="Arial Narrow"/>
          <w:sz w:val="22"/>
        </w:rPr>
        <w:t>gerente general y el contador general</w:t>
      </w:r>
      <w:proofErr w:type="gramEnd"/>
      <w:r>
        <w:rPr>
          <w:rFonts w:ascii="Arial Narrow" w:hAnsi="Arial Narrow"/>
          <w:sz w:val="22"/>
        </w:rPr>
        <w:t>, según las disposiciones que establezca la Superintendencia.</w:t>
      </w:r>
    </w:p>
    <w:p w14:paraId="06B49BE8" w14:textId="77777777" w:rsidR="00A658D0" w:rsidRDefault="00A658D0">
      <w:pPr>
        <w:ind w:left="426" w:hanging="426"/>
        <w:jc w:val="both"/>
        <w:rPr>
          <w:rFonts w:ascii="Arial Narrow" w:hAnsi="Arial Narrow"/>
          <w:sz w:val="22"/>
        </w:rPr>
      </w:pPr>
    </w:p>
    <w:p w14:paraId="06B49BE9" w14:textId="77777777" w:rsidR="00A658D0" w:rsidRDefault="00000000">
      <w:pPr>
        <w:ind w:left="708"/>
        <w:jc w:val="both"/>
        <w:rPr>
          <w:rFonts w:ascii="Arial Narrow" w:hAnsi="Arial Narrow"/>
          <w:sz w:val="22"/>
        </w:rPr>
      </w:pPr>
      <w:r>
        <w:rPr>
          <w:rFonts w:ascii="Arial Narrow" w:hAnsi="Arial Narrow"/>
          <w:sz w:val="22"/>
        </w:rPr>
        <w:t>La remisión de información complementaria y los plazos de presentación correspondientes, serán reglamentados por esta Superintendencia mediante normas específicas.</w:t>
      </w:r>
    </w:p>
    <w:p w14:paraId="06B49BEA" w14:textId="77777777" w:rsidR="00A658D0" w:rsidRDefault="00A658D0">
      <w:pPr>
        <w:ind w:left="708" w:hanging="708"/>
        <w:jc w:val="both"/>
        <w:rPr>
          <w:rFonts w:ascii="Arial Narrow" w:hAnsi="Arial Narrow"/>
        </w:rPr>
      </w:pPr>
    </w:p>
    <w:p w14:paraId="06B49BEB" w14:textId="77777777" w:rsidR="00A658D0" w:rsidRDefault="00000000">
      <w:pPr>
        <w:ind w:left="426" w:hanging="426"/>
        <w:jc w:val="both"/>
        <w:rPr>
          <w:rFonts w:ascii="Arial Narrow" w:hAnsi="Arial Narrow"/>
          <w:b/>
          <w:sz w:val="22"/>
        </w:rPr>
      </w:pPr>
      <w:r>
        <w:rPr>
          <w:rFonts w:ascii="Arial Narrow" w:hAnsi="Arial Narrow"/>
          <w:b/>
          <w:sz w:val="22"/>
        </w:rPr>
        <w:t>D.</w:t>
      </w:r>
      <w:r>
        <w:rPr>
          <w:rFonts w:ascii="Arial Narrow" w:hAnsi="Arial Narrow"/>
          <w:b/>
          <w:sz w:val="22"/>
        </w:rPr>
        <w:tab/>
        <w:t>OTRAS DISPOSICIONES</w:t>
      </w:r>
    </w:p>
    <w:p w14:paraId="06B49BEC" w14:textId="77777777" w:rsidR="00A658D0" w:rsidRDefault="00A658D0">
      <w:pPr>
        <w:ind w:left="708" w:hanging="708"/>
        <w:jc w:val="both"/>
        <w:rPr>
          <w:rFonts w:ascii="Arial Narrow" w:hAnsi="Arial Narrow"/>
          <w:sz w:val="22"/>
        </w:rPr>
      </w:pPr>
    </w:p>
    <w:p w14:paraId="06B49BED" w14:textId="77777777" w:rsidR="00A658D0" w:rsidRDefault="00000000">
      <w:pPr>
        <w:ind w:left="708" w:hanging="282"/>
        <w:jc w:val="both"/>
        <w:rPr>
          <w:rFonts w:ascii="Arial Narrow" w:hAnsi="Arial Narrow"/>
          <w:sz w:val="22"/>
        </w:rPr>
      </w:pPr>
      <w:r>
        <w:rPr>
          <w:rFonts w:ascii="Arial Narrow" w:hAnsi="Arial Narrow"/>
          <w:sz w:val="22"/>
        </w:rPr>
        <w:t>1.</w:t>
      </w:r>
      <w:r>
        <w:rPr>
          <w:rFonts w:ascii="Arial Narrow" w:hAnsi="Arial Narrow"/>
          <w:sz w:val="22"/>
        </w:rPr>
        <w:tab/>
        <w:t>Las entidades no deberán mantener partidas pendientes de regularización por períodos mayores a treinta (30) días para operaciones en el país y de sesenta días para operaciones en el exterior.</w:t>
      </w:r>
    </w:p>
    <w:p w14:paraId="06B49BEE" w14:textId="77777777" w:rsidR="00A658D0" w:rsidRDefault="00A658D0">
      <w:pPr>
        <w:ind w:left="708" w:hanging="282"/>
        <w:jc w:val="both"/>
        <w:rPr>
          <w:rFonts w:ascii="Arial Narrow" w:hAnsi="Arial Narrow"/>
          <w:sz w:val="22"/>
        </w:rPr>
      </w:pPr>
    </w:p>
    <w:p w14:paraId="06B49BEF" w14:textId="77777777" w:rsidR="00A658D0" w:rsidRDefault="00000000">
      <w:pPr>
        <w:ind w:left="708" w:hanging="282"/>
        <w:jc w:val="both"/>
        <w:rPr>
          <w:rFonts w:ascii="Arial Narrow" w:hAnsi="Arial Narrow"/>
          <w:sz w:val="22"/>
        </w:rPr>
      </w:pPr>
      <w:r>
        <w:rPr>
          <w:rFonts w:ascii="Arial Narrow" w:hAnsi="Arial Narrow"/>
          <w:sz w:val="22"/>
        </w:rPr>
        <w:t>2.</w:t>
      </w:r>
      <w:r>
        <w:rPr>
          <w:rFonts w:ascii="Arial Narrow" w:hAnsi="Arial Narrow"/>
          <w:sz w:val="22"/>
        </w:rPr>
        <w:tab/>
        <w:t>A fin de mantener un tratamiento contable homogéneo, las operaciones que las empresas efectúen en moneda extranjera deberán registrarse al tipo de cambio establecido por la Superintendencia.</w:t>
      </w:r>
    </w:p>
    <w:p w14:paraId="06B49BF0" w14:textId="77777777" w:rsidR="00A658D0" w:rsidRDefault="00A658D0">
      <w:pPr>
        <w:ind w:left="708" w:hanging="282"/>
        <w:jc w:val="both"/>
        <w:rPr>
          <w:rFonts w:ascii="Arial Narrow" w:hAnsi="Arial Narrow"/>
          <w:sz w:val="22"/>
        </w:rPr>
      </w:pPr>
    </w:p>
    <w:p w14:paraId="06B49BF1" w14:textId="77777777" w:rsidR="00A658D0" w:rsidRDefault="00000000">
      <w:pPr>
        <w:ind w:left="708" w:hanging="282"/>
        <w:jc w:val="both"/>
        <w:rPr>
          <w:rFonts w:ascii="Arial Narrow" w:hAnsi="Arial Narrow"/>
          <w:sz w:val="22"/>
        </w:rPr>
      </w:pPr>
      <w:r>
        <w:rPr>
          <w:rFonts w:ascii="Arial Narrow" w:hAnsi="Arial Narrow"/>
          <w:sz w:val="22"/>
        </w:rPr>
        <w:t>3.</w:t>
      </w:r>
      <w:r>
        <w:rPr>
          <w:rFonts w:ascii="Arial Narrow" w:hAnsi="Arial Narrow"/>
          <w:sz w:val="22"/>
        </w:rPr>
        <w:tab/>
        <w:t>Las empresas deberán remitir a la Superintendencia dos (2) copias de su memoria anual, en un plazo no mayor a los treinta (30) días de su aprobación en Junta General, que debe incorporar las notas mínimas que se indican a continuación del presente literal.</w:t>
      </w:r>
    </w:p>
    <w:p w14:paraId="06B49BF2" w14:textId="77777777" w:rsidR="00A658D0" w:rsidRDefault="00A658D0">
      <w:pPr>
        <w:ind w:left="708" w:hanging="282"/>
        <w:jc w:val="both"/>
        <w:rPr>
          <w:rFonts w:ascii="Arial Narrow" w:hAnsi="Arial Narrow"/>
          <w:sz w:val="22"/>
        </w:rPr>
      </w:pPr>
    </w:p>
    <w:p w14:paraId="06B49BF3" w14:textId="77777777" w:rsidR="00A658D0" w:rsidRDefault="00000000">
      <w:pPr>
        <w:ind w:left="708" w:hanging="282"/>
        <w:jc w:val="both"/>
        <w:rPr>
          <w:rFonts w:ascii="Arial Narrow" w:hAnsi="Arial Narrow"/>
          <w:i/>
          <w:sz w:val="22"/>
        </w:rPr>
      </w:pPr>
      <w:r>
        <w:rPr>
          <w:rFonts w:ascii="Arial Narrow" w:hAnsi="Arial Narrow"/>
          <w:sz w:val="22"/>
        </w:rPr>
        <w:t>4.</w:t>
      </w:r>
      <w:r>
        <w:rPr>
          <w:rFonts w:ascii="Arial Narrow" w:hAnsi="Arial Narrow"/>
          <w:sz w:val="22"/>
        </w:rPr>
        <w:tab/>
        <w:t xml:space="preserve">A efecto de una codificación uniforme de los rubros 10. “Caja y Bancos” y 21. “Obligaciones Financieras”, se adjunta al presente capítulo el Cuadro de Entidades Financieras con la codificación asignada para la identificación de cada entidad, la misma que será utilizada en la quinta y sexta posición de las </w:t>
      </w:r>
      <w:proofErr w:type="spellStart"/>
      <w:r>
        <w:rPr>
          <w:rFonts w:ascii="Arial Narrow" w:hAnsi="Arial Narrow"/>
          <w:sz w:val="22"/>
        </w:rPr>
        <w:t>sub-cuentas</w:t>
      </w:r>
      <w:proofErr w:type="spellEnd"/>
      <w:r>
        <w:rPr>
          <w:rFonts w:ascii="Arial Narrow" w:hAnsi="Arial Narrow"/>
          <w:sz w:val="22"/>
        </w:rPr>
        <w:t xml:space="preserve"> de los rubros mencionados, cuando éstas sean asignadas para bancos y entidades</w:t>
      </w:r>
      <w:r>
        <w:rPr>
          <w:rFonts w:ascii="Arial Narrow" w:hAnsi="Arial Narrow"/>
          <w:i/>
          <w:sz w:val="22"/>
        </w:rPr>
        <w:t>.</w:t>
      </w:r>
    </w:p>
    <w:p w14:paraId="06B49BF4" w14:textId="77777777" w:rsidR="00A658D0" w:rsidRDefault="00A658D0">
      <w:pPr>
        <w:ind w:left="708" w:hanging="282"/>
        <w:jc w:val="both"/>
        <w:rPr>
          <w:rFonts w:ascii="Arial Narrow" w:hAnsi="Arial Narrow"/>
          <w:i/>
          <w:sz w:val="22"/>
        </w:rPr>
      </w:pPr>
    </w:p>
    <w:p w14:paraId="06B49BF5" w14:textId="77777777" w:rsidR="00A658D0" w:rsidRDefault="00000000">
      <w:pPr>
        <w:ind w:left="708" w:hanging="282"/>
        <w:jc w:val="both"/>
        <w:rPr>
          <w:rFonts w:ascii="Arial Narrow" w:hAnsi="Arial Narrow"/>
          <w:i/>
          <w:sz w:val="22"/>
        </w:rPr>
      </w:pPr>
      <w:r>
        <w:rPr>
          <w:rFonts w:ascii="Arial Narrow" w:hAnsi="Arial Narrow"/>
          <w:sz w:val="22"/>
        </w:rPr>
        <w:t>5.</w:t>
      </w:r>
      <w:r>
        <w:rPr>
          <w:rFonts w:ascii="Arial Narrow" w:hAnsi="Arial Narrow"/>
          <w:sz w:val="22"/>
        </w:rPr>
        <w:tab/>
        <w:t xml:space="preserve">En el caso de los intermediarios y auxiliares de seguros, para una codificación uniforme de los rubros 12. “Cuentas por cobrar por operaciones de seguros” y 57. “Ingresos por servicios y otros”, en el Cuadro de Empresas Aseguradoras que se adjunta al presente capítulo, se incorporan los códigos asignados a cada una de ellas, los mismos que serán utilizados en la </w:t>
      </w:r>
      <w:r>
        <w:rPr>
          <w:rFonts w:ascii="Arial Narrow" w:hAnsi="Arial Narrow"/>
          <w:sz w:val="22"/>
        </w:rPr>
        <w:lastRenderedPageBreak/>
        <w:t xml:space="preserve">quinta y sexta posición en las </w:t>
      </w:r>
      <w:proofErr w:type="spellStart"/>
      <w:r>
        <w:rPr>
          <w:rFonts w:ascii="Arial Narrow" w:hAnsi="Arial Narrow"/>
          <w:sz w:val="22"/>
        </w:rPr>
        <w:t>sub-cuentas</w:t>
      </w:r>
      <w:proofErr w:type="spellEnd"/>
      <w:r>
        <w:rPr>
          <w:rFonts w:ascii="Arial Narrow" w:hAnsi="Arial Narrow"/>
          <w:sz w:val="22"/>
        </w:rPr>
        <w:t>, cuando sean designadas para aseguradoras, contemplándose asimismo un código para “clientes” cuando las cuentas por cobrar y los ingresos provengan de ellos.</w:t>
      </w:r>
    </w:p>
    <w:p w14:paraId="06B49BF6" w14:textId="77777777" w:rsidR="00A658D0" w:rsidRDefault="00A658D0">
      <w:pPr>
        <w:ind w:left="708" w:hanging="282"/>
        <w:jc w:val="both"/>
        <w:rPr>
          <w:rFonts w:ascii="Arial Narrow" w:hAnsi="Arial Narrow"/>
          <w:i/>
          <w:sz w:val="22"/>
        </w:rPr>
      </w:pPr>
    </w:p>
    <w:p w14:paraId="06B49BF7" w14:textId="77777777" w:rsidR="00A658D0" w:rsidRDefault="00000000">
      <w:pPr>
        <w:ind w:left="708"/>
        <w:jc w:val="both"/>
        <w:rPr>
          <w:rFonts w:ascii="Arial Narrow" w:hAnsi="Arial Narrow"/>
          <w:sz w:val="22"/>
          <w:szCs w:val="22"/>
        </w:rPr>
      </w:pPr>
      <w:r>
        <w:rPr>
          <w:rFonts w:ascii="Arial Narrow" w:hAnsi="Arial Narrow"/>
          <w:sz w:val="22"/>
          <w:szCs w:val="22"/>
          <w:lang w:val="es-ES"/>
        </w:rPr>
        <w:t>Dicha Tabla será utilizada también por las empresas aseguradoras para identificar los saldos por cobrar y por pagar a otras empresas de seguros locales por operaciones de coaseguros, en las cuentas 1403 “Cuentas por cobrar a coaseguradores” y 2403 “Cuentas por pagar a coaseguradores</w:t>
      </w:r>
    </w:p>
    <w:p w14:paraId="06B49BF8" w14:textId="77777777" w:rsidR="00A658D0" w:rsidRDefault="00A658D0">
      <w:pPr>
        <w:ind w:left="708" w:hanging="282"/>
        <w:jc w:val="both"/>
        <w:rPr>
          <w:rFonts w:ascii="Arial Narrow" w:hAnsi="Arial Narrow"/>
          <w:i/>
          <w:sz w:val="22"/>
          <w:szCs w:val="22"/>
        </w:rPr>
      </w:pPr>
    </w:p>
    <w:p w14:paraId="06B49BF9" w14:textId="77777777" w:rsidR="00A658D0" w:rsidRDefault="00000000">
      <w:pPr>
        <w:ind w:left="708" w:hanging="282"/>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 efecto de facilitar el registro contable de la información referida al código de los riesgos, la discriminación será llevada a niveles integrados en las cuentas de Activo y Pasivo, y con la codificación que se establece para cada uno de ellos en las cuentas de Ganancias y Pérdidas, tal como lo establece el cuadro correspondiente en el Capítulo II.</w:t>
      </w:r>
    </w:p>
    <w:p w14:paraId="06B49BFA" w14:textId="77777777" w:rsidR="00A658D0" w:rsidRDefault="00000000">
      <w:pPr>
        <w:pStyle w:val="Textoindependiente"/>
        <w:ind w:left="426"/>
        <w:jc w:val="center"/>
        <w:rPr>
          <w:b/>
          <w:sz w:val="22"/>
          <w:szCs w:val="22"/>
          <w:lang w:val="es-ES"/>
        </w:rPr>
      </w:pPr>
      <w:r>
        <w:br w:type="page"/>
      </w:r>
      <w:r>
        <w:rPr>
          <w:b/>
          <w:sz w:val="22"/>
          <w:szCs w:val="22"/>
          <w:lang w:val="es-ES"/>
        </w:rPr>
        <w:lastRenderedPageBreak/>
        <w:t>NOTAS MINIMAS A LOS ESTADOS FINANCIEROS</w:t>
      </w:r>
      <w:r>
        <w:rPr>
          <w:rStyle w:val="Refdenotaalpie"/>
          <w:b/>
          <w:sz w:val="22"/>
          <w:szCs w:val="22"/>
          <w:lang w:val="es-ES"/>
        </w:rPr>
        <w:footnoteReference w:id="28"/>
      </w:r>
    </w:p>
    <w:p w14:paraId="06B49BFB" w14:textId="77777777" w:rsidR="00A658D0" w:rsidRDefault="00A658D0">
      <w:pPr>
        <w:pStyle w:val="Textoindependiente"/>
        <w:ind w:left="426"/>
        <w:rPr>
          <w:sz w:val="22"/>
          <w:szCs w:val="22"/>
          <w:lang w:val="es-ES"/>
        </w:rPr>
      </w:pPr>
    </w:p>
    <w:p w14:paraId="06B49BFC" w14:textId="77777777" w:rsidR="00A658D0" w:rsidRDefault="00000000">
      <w:pPr>
        <w:jc w:val="both"/>
        <w:rPr>
          <w:rFonts w:ascii="Arial Narrow" w:hAnsi="Arial Narrow"/>
          <w:sz w:val="22"/>
          <w:szCs w:val="22"/>
        </w:rPr>
      </w:pPr>
      <w:r>
        <w:rPr>
          <w:rFonts w:ascii="Arial Narrow" w:hAnsi="Arial Narrow"/>
          <w:sz w:val="22"/>
          <w:szCs w:val="22"/>
        </w:rPr>
        <w:t xml:space="preserve">Las notas forman parte de los estados financieros, por consiguiente, los estados financieros anuales y trimestrales deben incluir sus correspondientes notas explicativas que revelen las políticas contables y los hechos o eventos que incidan directa o indirectamente en la marcha de la empresa, según se indica a continuación.  </w:t>
      </w:r>
    </w:p>
    <w:p w14:paraId="06B49BFD" w14:textId="77777777" w:rsidR="00A658D0" w:rsidRDefault="00000000">
      <w:pPr>
        <w:jc w:val="both"/>
        <w:rPr>
          <w:rFonts w:ascii="Arial Narrow" w:hAnsi="Arial Narrow"/>
          <w:sz w:val="22"/>
          <w:szCs w:val="22"/>
        </w:rPr>
      </w:pPr>
      <w:r>
        <w:rPr>
          <w:rFonts w:ascii="Arial Narrow" w:hAnsi="Arial Narrow"/>
          <w:sz w:val="22"/>
          <w:szCs w:val="22"/>
        </w:rPr>
        <w:t>No será necesario que una entidad proporcione una revelación específica requerida por el presente Plan y/o las NIIF, si la información carece de importancia relativa.</w:t>
      </w:r>
    </w:p>
    <w:p w14:paraId="06B49BFE" w14:textId="77777777" w:rsidR="00A658D0" w:rsidRDefault="00000000">
      <w:pPr>
        <w:jc w:val="both"/>
        <w:rPr>
          <w:rFonts w:ascii="Arial Narrow" w:hAnsi="Arial Narrow"/>
          <w:sz w:val="22"/>
          <w:szCs w:val="22"/>
        </w:rPr>
      </w:pPr>
      <w:r>
        <w:rPr>
          <w:rFonts w:ascii="Arial Narrow" w:hAnsi="Arial Narrow"/>
          <w:sz w:val="22"/>
          <w:szCs w:val="22"/>
        </w:rPr>
        <w:t>Dependiendo de si la información es anual o trimestral, las empresas se sujetarán a lo siguiente:</w:t>
      </w:r>
    </w:p>
    <w:p w14:paraId="06B49BFF" w14:textId="77777777" w:rsidR="00A658D0" w:rsidRDefault="00A658D0">
      <w:pPr>
        <w:jc w:val="both"/>
        <w:rPr>
          <w:rFonts w:ascii="Arial Narrow" w:hAnsi="Arial Narrow"/>
          <w:sz w:val="22"/>
          <w:szCs w:val="22"/>
        </w:rPr>
      </w:pPr>
    </w:p>
    <w:p w14:paraId="06B49C00" w14:textId="77777777" w:rsidR="00A658D0" w:rsidRDefault="00000000">
      <w:pPr>
        <w:numPr>
          <w:ilvl w:val="0"/>
          <w:numId w:val="4"/>
        </w:numPr>
        <w:tabs>
          <w:tab w:val="clear" w:pos="1212"/>
          <w:tab w:val="left" w:pos="340"/>
        </w:tabs>
        <w:ind w:left="340" w:hanging="340"/>
        <w:jc w:val="both"/>
        <w:rPr>
          <w:rFonts w:ascii="Arial Narrow" w:hAnsi="Arial Narrow"/>
          <w:b/>
          <w:sz w:val="22"/>
          <w:szCs w:val="22"/>
        </w:rPr>
      </w:pPr>
      <w:r>
        <w:rPr>
          <w:rFonts w:ascii="Arial Narrow" w:hAnsi="Arial Narrow"/>
          <w:b/>
          <w:sz w:val="22"/>
          <w:szCs w:val="22"/>
        </w:rPr>
        <w:t>ESTADOS FINANCIEROS ANUALES</w:t>
      </w:r>
    </w:p>
    <w:p w14:paraId="06B49C01" w14:textId="77777777" w:rsidR="00A658D0" w:rsidRDefault="00000000">
      <w:pPr>
        <w:ind w:left="340"/>
        <w:jc w:val="both"/>
        <w:rPr>
          <w:rFonts w:ascii="Arial Narrow" w:hAnsi="Arial Narrow"/>
          <w:sz w:val="22"/>
          <w:szCs w:val="22"/>
        </w:rPr>
      </w:pPr>
      <w:r>
        <w:rPr>
          <w:rFonts w:ascii="Arial Narrow" w:hAnsi="Arial Narrow"/>
          <w:sz w:val="22"/>
          <w:szCs w:val="22"/>
        </w:rPr>
        <w:t>A continuación, se presenta una relación de información mínima que las empresas de seguros deben incluir en las notas a sus estados financieros auditados anuales:</w:t>
      </w:r>
    </w:p>
    <w:p w14:paraId="06B49C02" w14:textId="77777777" w:rsidR="00A658D0" w:rsidRDefault="00A658D0">
      <w:pPr>
        <w:ind w:left="426"/>
        <w:jc w:val="both"/>
        <w:rPr>
          <w:rFonts w:ascii="Arial Narrow" w:hAnsi="Arial Narrow"/>
          <w:sz w:val="22"/>
          <w:szCs w:val="22"/>
        </w:rPr>
      </w:pPr>
    </w:p>
    <w:p w14:paraId="06B49C03" w14:textId="77777777" w:rsidR="00A658D0" w:rsidRDefault="00000000">
      <w:pPr>
        <w:numPr>
          <w:ilvl w:val="0"/>
          <w:numId w:val="5"/>
        </w:numPr>
        <w:tabs>
          <w:tab w:val="left" w:pos="680"/>
        </w:tabs>
        <w:ind w:left="680" w:hanging="340"/>
        <w:jc w:val="both"/>
        <w:rPr>
          <w:rFonts w:ascii="Arial Narrow" w:hAnsi="Arial Narrow"/>
          <w:b/>
          <w:sz w:val="22"/>
          <w:szCs w:val="22"/>
        </w:rPr>
      </w:pPr>
      <w:r>
        <w:rPr>
          <w:rFonts w:ascii="Arial Narrow" w:hAnsi="Arial Narrow"/>
          <w:b/>
          <w:sz w:val="22"/>
          <w:szCs w:val="22"/>
        </w:rPr>
        <w:t>DATOS GENERALES SOBRE LA EMPRESA</w:t>
      </w:r>
    </w:p>
    <w:p w14:paraId="06B49C04" w14:textId="77777777" w:rsidR="00A658D0" w:rsidRDefault="00000000">
      <w:pPr>
        <w:ind w:left="680"/>
        <w:jc w:val="both"/>
        <w:rPr>
          <w:rFonts w:ascii="Arial Narrow" w:hAnsi="Arial Narrow"/>
          <w:sz w:val="22"/>
          <w:szCs w:val="22"/>
        </w:rPr>
      </w:pPr>
      <w:r>
        <w:rPr>
          <w:rFonts w:ascii="Arial Narrow" w:hAnsi="Arial Narrow"/>
          <w:sz w:val="22"/>
          <w:szCs w:val="22"/>
        </w:rPr>
        <w:t xml:space="preserve">En esta nota deberá indicarse el nombre de la empresa, el tipo de empresa, el domicilio y su forma legal, la fecha de constitución, el país donde se encuentra constituida, la descripción de la naturaleza de sus operaciones y de sus actividades principales que desarrolla, y el nombre de la empresa matriz o del grupo. </w:t>
      </w:r>
    </w:p>
    <w:p w14:paraId="06B49C05" w14:textId="77777777" w:rsidR="00A658D0" w:rsidRDefault="00A658D0">
      <w:pPr>
        <w:ind w:left="680"/>
        <w:jc w:val="both"/>
        <w:rPr>
          <w:rFonts w:ascii="Arial Narrow" w:hAnsi="Arial Narrow"/>
          <w:sz w:val="22"/>
          <w:szCs w:val="22"/>
        </w:rPr>
      </w:pPr>
    </w:p>
    <w:p w14:paraId="06B49C06" w14:textId="77777777" w:rsidR="00A658D0" w:rsidRDefault="00000000">
      <w:pPr>
        <w:numPr>
          <w:ilvl w:val="0"/>
          <w:numId w:val="5"/>
        </w:numPr>
        <w:tabs>
          <w:tab w:val="left" w:pos="680"/>
        </w:tabs>
        <w:ind w:left="680" w:hanging="340"/>
        <w:jc w:val="both"/>
        <w:rPr>
          <w:rFonts w:ascii="Arial Narrow" w:hAnsi="Arial Narrow"/>
          <w:b/>
          <w:sz w:val="22"/>
          <w:szCs w:val="22"/>
        </w:rPr>
      </w:pPr>
      <w:r>
        <w:rPr>
          <w:rFonts w:ascii="Arial Narrow" w:hAnsi="Arial Narrow"/>
          <w:b/>
          <w:sz w:val="22"/>
          <w:szCs w:val="22"/>
        </w:rPr>
        <w:t>BASE DE PREPARACIÓN</w:t>
      </w:r>
    </w:p>
    <w:p w14:paraId="06B49C07" w14:textId="77777777" w:rsidR="00A658D0" w:rsidRDefault="00000000">
      <w:pPr>
        <w:numPr>
          <w:ilvl w:val="0"/>
          <w:numId w:val="6"/>
        </w:numPr>
        <w:tabs>
          <w:tab w:val="left" w:pos="1021"/>
        </w:tabs>
        <w:autoSpaceDE w:val="0"/>
        <w:autoSpaceDN w:val="0"/>
        <w:adjustRightInd w:val="0"/>
        <w:ind w:left="1020" w:hanging="340"/>
        <w:jc w:val="both"/>
        <w:rPr>
          <w:rFonts w:ascii="Arial Narrow" w:hAnsi="Arial Narrow"/>
          <w:b/>
          <w:sz w:val="22"/>
          <w:szCs w:val="22"/>
        </w:rPr>
      </w:pPr>
      <w:r>
        <w:rPr>
          <w:rFonts w:ascii="Arial Narrow" w:hAnsi="Arial Narrow"/>
          <w:b/>
          <w:sz w:val="22"/>
          <w:szCs w:val="22"/>
        </w:rPr>
        <w:t>Declaración de conformidad</w:t>
      </w:r>
    </w:p>
    <w:p w14:paraId="06B49C08" w14:textId="77777777" w:rsidR="00A658D0" w:rsidRDefault="00000000">
      <w:pPr>
        <w:autoSpaceDE w:val="0"/>
        <w:autoSpaceDN w:val="0"/>
        <w:adjustRightInd w:val="0"/>
        <w:ind w:left="1021"/>
        <w:jc w:val="both"/>
        <w:rPr>
          <w:rFonts w:ascii="Arial Narrow" w:hAnsi="Arial Narrow"/>
          <w:sz w:val="22"/>
          <w:szCs w:val="22"/>
        </w:rPr>
      </w:pPr>
      <w:r>
        <w:rPr>
          <w:rFonts w:ascii="Arial Narrow" w:hAnsi="Arial Narrow"/>
          <w:sz w:val="22"/>
          <w:szCs w:val="22"/>
        </w:rPr>
        <w:t xml:space="preserve">Declaración de que los Estados Financieros han sido preparados </w:t>
      </w:r>
      <w:proofErr w:type="gramStart"/>
      <w:r>
        <w:rPr>
          <w:rFonts w:ascii="Arial Narrow" w:hAnsi="Arial Narrow"/>
          <w:sz w:val="22"/>
          <w:szCs w:val="22"/>
        </w:rPr>
        <w:t>de acuerdo a</w:t>
      </w:r>
      <w:proofErr w:type="gramEnd"/>
      <w:r>
        <w:rPr>
          <w:rFonts w:ascii="Arial Narrow" w:hAnsi="Arial Narrow"/>
          <w:sz w:val="22"/>
          <w:szCs w:val="22"/>
        </w:rPr>
        <w:t xml:space="preserve"> las normas contables emitidas por la Superintendencia y a las Normas Internacionales de Información Financiera.</w:t>
      </w:r>
    </w:p>
    <w:p w14:paraId="06B49C09" w14:textId="77777777" w:rsidR="00A658D0" w:rsidRDefault="00000000">
      <w:pPr>
        <w:numPr>
          <w:ilvl w:val="0"/>
          <w:numId w:val="6"/>
        </w:numPr>
        <w:tabs>
          <w:tab w:val="left" w:pos="1021"/>
        </w:tabs>
        <w:autoSpaceDE w:val="0"/>
        <w:autoSpaceDN w:val="0"/>
        <w:adjustRightInd w:val="0"/>
        <w:ind w:left="1020" w:hanging="340"/>
        <w:jc w:val="both"/>
        <w:rPr>
          <w:rFonts w:ascii="Arial Narrow" w:hAnsi="Arial Narrow"/>
          <w:b/>
          <w:sz w:val="22"/>
          <w:szCs w:val="22"/>
        </w:rPr>
      </w:pPr>
      <w:r>
        <w:rPr>
          <w:rFonts w:ascii="Arial Narrow" w:hAnsi="Arial Narrow"/>
          <w:b/>
          <w:sz w:val="22"/>
          <w:szCs w:val="22"/>
        </w:rPr>
        <w:t>Bases de medición</w:t>
      </w:r>
    </w:p>
    <w:p w14:paraId="06B49C0A" w14:textId="77777777" w:rsidR="00A658D0" w:rsidRDefault="00000000">
      <w:pPr>
        <w:autoSpaceDE w:val="0"/>
        <w:autoSpaceDN w:val="0"/>
        <w:adjustRightInd w:val="0"/>
        <w:ind w:left="1021"/>
        <w:jc w:val="both"/>
        <w:rPr>
          <w:rFonts w:ascii="Arial Narrow" w:hAnsi="Arial Narrow"/>
          <w:sz w:val="22"/>
          <w:szCs w:val="22"/>
        </w:rPr>
      </w:pPr>
      <w:r>
        <w:rPr>
          <w:rFonts w:ascii="Arial Narrow" w:hAnsi="Arial Narrow"/>
          <w:sz w:val="22"/>
          <w:szCs w:val="22"/>
        </w:rPr>
        <w:t xml:space="preserve">Los estados financieros se deberán elaborar y exponer de acuerdo con los criterios contables establecidos en el presente Plan y en aquello no contemplado por ello, se aplicará lo dispuesto en las Normas Internacionales de Información Financiera (NIIF) emitidas por el International </w:t>
      </w:r>
      <w:proofErr w:type="spellStart"/>
      <w:r>
        <w:rPr>
          <w:rFonts w:ascii="Arial Narrow" w:hAnsi="Arial Narrow"/>
          <w:sz w:val="22"/>
          <w:szCs w:val="22"/>
        </w:rPr>
        <w:t>Accounting</w:t>
      </w:r>
      <w:proofErr w:type="spellEnd"/>
      <w:r>
        <w:rPr>
          <w:rFonts w:ascii="Arial Narrow" w:hAnsi="Arial Narrow"/>
          <w:sz w:val="22"/>
          <w:szCs w:val="22"/>
        </w:rPr>
        <w:t xml:space="preserve"> </w:t>
      </w:r>
      <w:proofErr w:type="spellStart"/>
      <w:r>
        <w:rPr>
          <w:rFonts w:ascii="Arial Narrow" w:hAnsi="Arial Narrow"/>
          <w:sz w:val="22"/>
          <w:szCs w:val="22"/>
        </w:rPr>
        <w:t>Standards</w:t>
      </w:r>
      <w:proofErr w:type="spellEnd"/>
      <w:r>
        <w:rPr>
          <w:rFonts w:ascii="Arial Narrow" w:hAnsi="Arial Narrow"/>
          <w:sz w:val="22"/>
          <w:szCs w:val="22"/>
        </w:rPr>
        <w:t xml:space="preserve"> </w:t>
      </w:r>
      <w:proofErr w:type="spellStart"/>
      <w:r>
        <w:rPr>
          <w:rFonts w:ascii="Arial Narrow" w:hAnsi="Arial Narrow"/>
          <w:sz w:val="22"/>
          <w:szCs w:val="22"/>
        </w:rPr>
        <w:t>Board</w:t>
      </w:r>
      <w:proofErr w:type="spellEnd"/>
      <w:r>
        <w:rPr>
          <w:rFonts w:ascii="Arial Narrow" w:hAnsi="Arial Narrow"/>
          <w:sz w:val="22"/>
          <w:szCs w:val="22"/>
        </w:rPr>
        <w:t xml:space="preserve"> (IASB) y oficializadas en el país por el Consejo Normativo de Contabilidad, y, en aquellos casos no contemplados por éstas, se aplicarán las Normas Internacionales de Información Financiera (NIIF) emitidas por la International </w:t>
      </w:r>
      <w:proofErr w:type="spellStart"/>
      <w:r>
        <w:rPr>
          <w:rFonts w:ascii="Arial Narrow" w:hAnsi="Arial Narrow"/>
          <w:sz w:val="22"/>
          <w:szCs w:val="22"/>
        </w:rPr>
        <w:t>Accounting</w:t>
      </w:r>
      <w:proofErr w:type="spellEnd"/>
      <w:r>
        <w:rPr>
          <w:rFonts w:ascii="Arial Narrow" w:hAnsi="Arial Narrow"/>
          <w:sz w:val="22"/>
          <w:szCs w:val="22"/>
        </w:rPr>
        <w:t xml:space="preserve"> </w:t>
      </w:r>
      <w:proofErr w:type="spellStart"/>
      <w:r>
        <w:rPr>
          <w:rFonts w:ascii="Arial Narrow" w:hAnsi="Arial Narrow"/>
          <w:sz w:val="22"/>
          <w:szCs w:val="22"/>
        </w:rPr>
        <w:t>Standards</w:t>
      </w:r>
      <w:proofErr w:type="spellEnd"/>
      <w:r>
        <w:rPr>
          <w:rFonts w:ascii="Arial Narrow" w:hAnsi="Arial Narrow"/>
          <w:sz w:val="22"/>
          <w:szCs w:val="22"/>
        </w:rPr>
        <w:t xml:space="preserve"> </w:t>
      </w:r>
      <w:proofErr w:type="spellStart"/>
      <w:r>
        <w:rPr>
          <w:rFonts w:ascii="Arial Narrow" w:hAnsi="Arial Narrow"/>
          <w:sz w:val="22"/>
          <w:szCs w:val="22"/>
        </w:rPr>
        <w:t>Board</w:t>
      </w:r>
      <w:proofErr w:type="spellEnd"/>
      <w:r>
        <w:rPr>
          <w:rFonts w:ascii="Arial Narrow" w:hAnsi="Arial Narrow"/>
          <w:sz w:val="22"/>
          <w:szCs w:val="22"/>
        </w:rPr>
        <w:t xml:space="preserve"> (IASB) o supletoriamente, los Principios de Contabilidad Generalmente Aceptados (PCGA) vigentes en los Estados Unidos de América, emitidos por la </w:t>
      </w:r>
      <w:proofErr w:type="spellStart"/>
      <w:r>
        <w:rPr>
          <w:rFonts w:ascii="Arial Narrow" w:hAnsi="Arial Narrow"/>
          <w:sz w:val="22"/>
          <w:szCs w:val="22"/>
        </w:rPr>
        <w:t>Financial</w:t>
      </w:r>
      <w:proofErr w:type="spellEnd"/>
      <w:r>
        <w:rPr>
          <w:rFonts w:ascii="Arial Narrow" w:hAnsi="Arial Narrow"/>
          <w:sz w:val="22"/>
          <w:szCs w:val="22"/>
        </w:rPr>
        <w:t xml:space="preserve"> </w:t>
      </w:r>
      <w:proofErr w:type="spellStart"/>
      <w:r>
        <w:rPr>
          <w:rFonts w:ascii="Arial Narrow" w:hAnsi="Arial Narrow"/>
          <w:sz w:val="22"/>
          <w:szCs w:val="22"/>
        </w:rPr>
        <w:t>Accounting</w:t>
      </w:r>
      <w:proofErr w:type="spellEnd"/>
      <w:r>
        <w:rPr>
          <w:rFonts w:ascii="Arial Narrow" w:hAnsi="Arial Narrow"/>
          <w:sz w:val="22"/>
          <w:szCs w:val="22"/>
        </w:rPr>
        <w:t xml:space="preserve"> </w:t>
      </w:r>
      <w:proofErr w:type="spellStart"/>
      <w:r>
        <w:rPr>
          <w:rFonts w:ascii="Arial Narrow" w:hAnsi="Arial Narrow"/>
          <w:sz w:val="22"/>
          <w:szCs w:val="22"/>
        </w:rPr>
        <w:t>Standards</w:t>
      </w:r>
      <w:proofErr w:type="spellEnd"/>
      <w:r>
        <w:rPr>
          <w:rFonts w:ascii="Arial Narrow" w:hAnsi="Arial Narrow"/>
          <w:sz w:val="22"/>
          <w:szCs w:val="22"/>
        </w:rPr>
        <w:t xml:space="preserve"> </w:t>
      </w:r>
      <w:proofErr w:type="spellStart"/>
      <w:r>
        <w:rPr>
          <w:rFonts w:ascii="Arial Narrow" w:hAnsi="Arial Narrow"/>
          <w:sz w:val="22"/>
          <w:szCs w:val="22"/>
        </w:rPr>
        <w:t>Board</w:t>
      </w:r>
      <w:proofErr w:type="spellEnd"/>
      <w:r>
        <w:rPr>
          <w:rFonts w:ascii="Arial Narrow" w:hAnsi="Arial Narrow"/>
          <w:sz w:val="22"/>
          <w:szCs w:val="22"/>
        </w:rPr>
        <w:t xml:space="preserve"> (FASB).</w:t>
      </w:r>
    </w:p>
    <w:p w14:paraId="06B49C0B" w14:textId="77777777" w:rsidR="00A658D0" w:rsidRDefault="00000000">
      <w:pPr>
        <w:autoSpaceDE w:val="0"/>
        <w:autoSpaceDN w:val="0"/>
        <w:adjustRightInd w:val="0"/>
        <w:ind w:left="1021"/>
        <w:jc w:val="both"/>
        <w:rPr>
          <w:rFonts w:ascii="Arial Narrow" w:hAnsi="Arial Narrow"/>
          <w:sz w:val="22"/>
          <w:szCs w:val="22"/>
        </w:rPr>
      </w:pPr>
      <w:r>
        <w:rPr>
          <w:rFonts w:ascii="Arial Narrow" w:hAnsi="Arial Narrow"/>
          <w:sz w:val="22"/>
          <w:szCs w:val="22"/>
        </w:rPr>
        <w:t>Asimismo, se deberá señalar las estimaciones más significativas incluidas en los estados financieros.</w:t>
      </w:r>
    </w:p>
    <w:p w14:paraId="06B49C0C" w14:textId="77777777" w:rsidR="00A658D0" w:rsidRDefault="00000000">
      <w:pPr>
        <w:autoSpaceDE w:val="0"/>
        <w:autoSpaceDN w:val="0"/>
        <w:adjustRightInd w:val="0"/>
        <w:ind w:left="1021"/>
        <w:jc w:val="both"/>
        <w:rPr>
          <w:rFonts w:ascii="Arial Narrow" w:hAnsi="Arial Narrow"/>
          <w:sz w:val="22"/>
          <w:szCs w:val="22"/>
        </w:rPr>
      </w:pPr>
      <w:r>
        <w:rPr>
          <w:rFonts w:ascii="Arial Narrow" w:hAnsi="Arial Narrow"/>
          <w:sz w:val="22"/>
          <w:szCs w:val="22"/>
        </w:rPr>
        <w:t xml:space="preserve"> </w:t>
      </w:r>
    </w:p>
    <w:p w14:paraId="06B49C0D" w14:textId="77777777" w:rsidR="00A658D0" w:rsidRDefault="00000000">
      <w:pPr>
        <w:numPr>
          <w:ilvl w:val="0"/>
          <w:numId w:val="5"/>
        </w:numPr>
        <w:tabs>
          <w:tab w:val="left" w:pos="680"/>
        </w:tabs>
        <w:ind w:left="680" w:hanging="340"/>
        <w:jc w:val="both"/>
        <w:rPr>
          <w:rFonts w:ascii="Arial Narrow" w:hAnsi="Arial Narrow"/>
          <w:b/>
          <w:sz w:val="22"/>
          <w:szCs w:val="22"/>
        </w:rPr>
      </w:pPr>
      <w:r>
        <w:rPr>
          <w:rFonts w:ascii="Arial Narrow" w:hAnsi="Arial Narrow"/>
          <w:b/>
          <w:sz w:val="22"/>
          <w:szCs w:val="22"/>
        </w:rPr>
        <w:t>POLÍTICAS CONTABLES Y CRITERIOS DE VALORACIÓN</w:t>
      </w:r>
    </w:p>
    <w:p w14:paraId="06B49C0E" w14:textId="77777777" w:rsidR="00A658D0" w:rsidRDefault="00000000">
      <w:pPr>
        <w:ind w:left="680"/>
        <w:jc w:val="both"/>
        <w:rPr>
          <w:rFonts w:ascii="Arial Narrow" w:hAnsi="Arial Narrow" w:cs="Arial"/>
          <w:sz w:val="22"/>
          <w:szCs w:val="22"/>
        </w:rPr>
      </w:pPr>
      <w:r>
        <w:rPr>
          <w:rFonts w:ascii="Arial Narrow" w:hAnsi="Arial Narrow"/>
          <w:sz w:val="22"/>
          <w:szCs w:val="22"/>
        </w:rPr>
        <w:t xml:space="preserve">Se deben revelar las bases de preparación de los estados financieros, así como los principales criterios contables aplicados, los que deben ser concordantes con el marco contable y dinámica del presente Plan. La información mínima que debe ser revelada mediante notas está referida a los siguientes conceptos:  </w:t>
      </w:r>
    </w:p>
    <w:p w14:paraId="06B49C0F"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Cambios en políticas contables</w:t>
      </w:r>
    </w:p>
    <w:p w14:paraId="06B49C10"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sz w:val="22"/>
          <w:szCs w:val="22"/>
        </w:rPr>
        <w:t xml:space="preserve">Esta nota describirá los cambios en </w:t>
      </w:r>
      <w:proofErr w:type="gramStart"/>
      <w:r>
        <w:rPr>
          <w:rFonts w:ascii="Arial Narrow" w:hAnsi="Arial Narrow"/>
          <w:sz w:val="22"/>
          <w:szCs w:val="22"/>
        </w:rPr>
        <w:t>políticas contables y su tratamiento contable</w:t>
      </w:r>
      <w:proofErr w:type="gramEnd"/>
      <w:r>
        <w:rPr>
          <w:rFonts w:ascii="Arial Narrow" w:hAnsi="Arial Narrow"/>
          <w:sz w:val="22"/>
          <w:szCs w:val="22"/>
        </w:rPr>
        <w:t xml:space="preserve"> en</w:t>
      </w:r>
      <w:r>
        <w:rPr>
          <w:rFonts w:ascii="Arial Narrow" w:hAnsi="Arial Narrow" w:cs="Arial"/>
          <w:sz w:val="22"/>
          <w:szCs w:val="22"/>
        </w:rPr>
        <w:t xml:space="preserve"> concordancia con lo establecido en el presente Plan de Cuentas.</w:t>
      </w:r>
    </w:p>
    <w:p w14:paraId="06B49C11"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Errores contables</w:t>
      </w:r>
    </w:p>
    <w:p w14:paraId="06B49C12"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lastRenderedPageBreak/>
        <w:t>Se revelarán los errores de periodos anteriores de acuerdo y su tratamiento contable en concordancia con lo establecido en el presente Plan de Cuentas.</w:t>
      </w:r>
    </w:p>
    <w:p w14:paraId="06B49C13"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Cambios en estimaciones contables</w:t>
      </w:r>
    </w:p>
    <w:p w14:paraId="06B49C14" w14:textId="77777777" w:rsidR="00A658D0" w:rsidRDefault="00000000">
      <w:pPr>
        <w:autoSpaceDE w:val="0"/>
        <w:autoSpaceDN w:val="0"/>
        <w:adjustRightInd w:val="0"/>
        <w:ind w:left="1021"/>
        <w:jc w:val="both"/>
        <w:rPr>
          <w:rFonts w:ascii="Arial Narrow" w:hAnsi="Arial Narrow"/>
          <w:sz w:val="22"/>
          <w:szCs w:val="22"/>
        </w:rPr>
      </w:pPr>
      <w:r>
        <w:rPr>
          <w:rFonts w:ascii="Arial Narrow" w:hAnsi="Arial Narrow"/>
          <w:sz w:val="22"/>
          <w:szCs w:val="22"/>
        </w:rPr>
        <w:t>La empresa revelará la naturaleza e importe de cualquier cambio en una estimación contable que haya producido efectos en el periodo corriente, o que se espere vaya a producirlos en periodos futuros, exceptuándose de lo anterior la revelación de información del efecto sobre periodos futuros, en el caso de que fuera impracticable estimar ese efecto.</w:t>
      </w:r>
    </w:p>
    <w:p w14:paraId="06B49C15"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sz w:val="22"/>
          <w:szCs w:val="22"/>
        </w:rPr>
        <w:t>Si no</w:t>
      </w:r>
      <w:r>
        <w:rPr>
          <w:rFonts w:ascii="Arial Narrow" w:hAnsi="Arial Narrow" w:cs="Arial"/>
          <w:sz w:val="22"/>
          <w:szCs w:val="22"/>
        </w:rPr>
        <w:t xml:space="preserve"> se revela el importe del efecto en periodos futuros debido a que la estimación es impracticable, la entidad revelará este hecho.</w:t>
      </w:r>
    </w:p>
    <w:p w14:paraId="06B49C16"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 xml:space="preserve">Operaciones en moneda extranjera </w:t>
      </w:r>
    </w:p>
    <w:p w14:paraId="06B49C17"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 revelar el tratamiento contable de las operaciones en moneda extranjera.</w:t>
      </w:r>
    </w:p>
    <w:p w14:paraId="06B49C18"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 xml:space="preserve">Instrumentos financieros </w:t>
      </w:r>
    </w:p>
    <w:p w14:paraId="06B49C19"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deberá revelar lo siguiente:</w:t>
      </w:r>
    </w:p>
    <w:p w14:paraId="06B49C1A"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Reconocimiento</w:t>
      </w:r>
    </w:p>
    <w:p w14:paraId="06B49C1B"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Baja de activos y pasivos financieros</w:t>
      </w:r>
    </w:p>
    <w:p w14:paraId="06B49C1C"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Criterios de valoración inicial y posterior</w:t>
      </w:r>
    </w:p>
    <w:p w14:paraId="06B49C1D"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Criterios para la determinación de activos deteriorados</w:t>
      </w:r>
    </w:p>
    <w:p w14:paraId="06B49C1E"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Determinación de las pérdidas por deterioro, castigos y recuperación del deterioro</w:t>
      </w:r>
    </w:p>
    <w:p w14:paraId="06B49C1F"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Clasificación de los activos y pasivos financieros</w:t>
      </w:r>
    </w:p>
    <w:p w14:paraId="06B49C20"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Reconocimiento de ingresos y gastos de los activos y pasivos financieros</w:t>
      </w:r>
    </w:p>
    <w:p w14:paraId="06B49C21"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 xml:space="preserve">Compras y ventas de activos financieros mediante contratos convencionales indicando la utilización de la fecha de negociación </w:t>
      </w:r>
    </w:p>
    <w:p w14:paraId="06B49C22"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Compensaciones en instrumentos financieros</w:t>
      </w:r>
    </w:p>
    <w:p w14:paraId="06B49C23" w14:textId="77777777" w:rsidR="00A658D0" w:rsidRDefault="00000000">
      <w:pPr>
        <w:pStyle w:val="Sangradetextonormal"/>
        <w:tabs>
          <w:tab w:val="left" w:pos="1361"/>
        </w:tabs>
        <w:ind w:left="1361" w:firstLine="0"/>
        <w:rPr>
          <w:rFonts w:ascii="Arial Narrow" w:hAnsi="Arial Narrow" w:cs="Arial"/>
          <w:sz w:val="22"/>
          <w:szCs w:val="22"/>
        </w:rPr>
      </w:pPr>
      <w:r>
        <w:rPr>
          <w:rFonts w:ascii="Arial Narrow" w:hAnsi="Arial Narrow" w:cs="Arial"/>
          <w:sz w:val="22"/>
          <w:szCs w:val="22"/>
        </w:rPr>
        <w:t>Se deberá revelar los criterios aplicados para la compensación, en concordancia con los requerimientos de la NIC 32.</w:t>
      </w:r>
    </w:p>
    <w:p w14:paraId="06B49C24" w14:textId="77777777" w:rsidR="00A658D0" w:rsidRDefault="00000000">
      <w:pPr>
        <w:pStyle w:val="Sangradetextonormal"/>
        <w:numPr>
          <w:ilvl w:val="0"/>
          <w:numId w:val="8"/>
        </w:numPr>
        <w:tabs>
          <w:tab w:val="left" w:pos="1361"/>
        </w:tabs>
        <w:ind w:left="1361" w:hanging="340"/>
        <w:rPr>
          <w:rFonts w:ascii="Arial Narrow" w:hAnsi="Arial Narrow" w:cs="Arial"/>
          <w:sz w:val="22"/>
          <w:szCs w:val="22"/>
        </w:rPr>
      </w:pPr>
      <w:r>
        <w:rPr>
          <w:rFonts w:ascii="Arial Narrow" w:hAnsi="Arial Narrow" w:cs="Arial"/>
          <w:sz w:val="22"/>
          <w:szCs w:val="22"/>
        </w:rPr>
        <w:t>Instrumentos financieros derivados de cobertura</w:t>
      </w:r>
    </w:p>
    <w:p w14:paraId="06B49C25" w14:textId="77777777" w:rsidR="00A658D0" w:rsidRDefault="00000000">
      <w:pPr>
        <w:pStyle w:val="Sangradetextonormal"/>
        <w:ind w:left="1361" w:firstLine="0"/>
        <w:rPr>
          <w:rFonts w:ascii="Arial Narrow" w:hAnsi="Arial Narrow" w:cs="Arial"/>
          <w:sz w:val="22"/>
          <w:szCs w:val="22"/>
        </w:rPr>
      </w:pPr>
      <w:r>
        <w:rPr>
          <w:rFonts w:ascii="Arial Narrow" w:hAnsi="Arial Narrow" w:cs="Arial"/>
          <w:sz w:val="22"/>
          <w:szCs w:val="22"/>
        </w:rPr>
        <w:t>Se debe revelar la base de medición de los instrumentos financieros derivados de cobertura.</w:t>
      </w:r>
    </w:p>
    <w:p w14:paraId="06B49C26"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Cuentas por cobrar por operaciones de seguros (primas)</w:t>
      </w:r>
    </w:p>
    <w:p w14:paraId="06B49C27"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deberá revelar las políticas adoptadas por la empresa para el reconocimiento de las primas y la medición del deterioro respectivo.</w:t>
      </w:r>
    </w:p>
    <w:p w14:paraId="06B49C28"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Operaciones con reaseguradores y coaseguradores</w:t>
      </w:r>
    </w:p>
    <w:p w14:paraId="06B49C29"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Se revelará las operaciones activas y pasivas con los reaseguradores y coaseguradores; así como el procedimiento para el registro de las cuentas por cobrar y por pagar a los mismos.  Se deben </w:t>
      </w:r>
      <w:proofErr w:type="gramStart"/>
      <w:r>
        <w:rPr>
          <w:rFonts w:ascii="Arial Narrow" w:hAnsi="Arial Narrow" w:cs="Arial"/>
          <w:sz w:val="22"/>
          <w:szCs w:val="22"/>
        </w:rPr>
        <w:t>especificar</w:t>
      </w:r>
      <w:proofErr w:type="gramEnd"/>
      <w:r>
        <w:rPr>
          <w:rFonts w:ascii="Arial Narrow" w:hAnsi="Arial Narrow" w:cs="Arial"/>
          <w:sz w:val="22"/>
          <w:szCs w:val="22"/>
        </w:rPr>
        <w:t xml:space="preserve"> además, las políticas adoptadas para la medición del deterioro respectivo.</w:t>
      </w:r>
    </w:p>
    <w:p w14:paraId="06B49C2A"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Propiedades, mobiliario y equipo</w:t>
      </w:r>
    </w:p>
    <w:p w14:paraId="06B49C2B"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Deberá indicarse los criterios de reconocimiento inicial de partidas integrantes del rubro, así como el tratamiento de los desembolsos posteriores.  Del mismo modo deberá informarse acerca del modelo del reconocimiento posterior seguido por la empresa, incluyendo el método de depreciación utilizado, las vidas útiles o tasas de depreciación usadas y las pérdidas por deterioro de valor, en concordancia con la NIC 16 y las disposiciones contables establecidas en el presente Plan de Cuentas.</w:t>
      </w:r>
    </w:p>
    <w:p w14:paraId="06B49C2C"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Inversiones en inmuebles</w:t>
      </w:r>
    </w:p>
    <w:p w14:paraId="06B49C2D"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Deberá indicarse los criterios de reconocimiento inicial de partidas integrantes del rubro, así como el tratamiento de los desembolsos posteriores; y de la medición posterior adoptada por la empresa.</w:t>
      </w:r>
    </w:p>
    <w:p w14:paraId="06B49C2E"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Cuando sea pertinente, se revelará los métodos y supuestos significativos aplicados en la determinación del valor razonable de la inversión en inmuebles, incluyendo una </w:t>
      </w:r>
      <w:r>
        <w:rPr>
          <w:rFonts w:ascii="Arial Narrow" w:hAnsi="Arial Narrow" w:cs="Arial"/>
          <w:sz w:val="22"/>
          <w:szCs w:val="22"/>
        </w:rPr>
        <w:lastRenderedPageBreak/>
        <w:t xml:space="preserve">sustentación de la determinación del valor razonable a precios de mercado u otros factores debido a la naturaleza del inmueble y falta de datos de mercado comparables. </w:t>
      </w:r>
    </w:p>
    <w:p w14:paraId="06B49C2F" w14:textId="77777777" w:rsidR="00A658D0" w:rsidRDefault="00000000">
      <w:pPr>
        <w:autoSpaceDE w:val="0"/>
        <w:autoSpaceDN w:val="0"/>
        <w:adjustRightInd w:val="0"/>
        <w:ind w:left="1021"/>
        <w:jc w:val="both"/>
        <w:rPr>
          <w:rFonts w:ascii="Arial Narrow" w:hAnsi="Arial Narrow" w:cs="Arial"/>
        </w:rPr>
      </w:pPr>
      <w:r>
        <w:rPr>
          <w:rFonts w:ascii="Arial Narrow" w:hAnsi="Arial Narrow" w:cs="Arial"/>
          <w:sz w:val="22"/>
          <w:szCs w:val="22"/>
        </w:rPr>
        <w:t xml:space="preserve">Deberá revelarse también los tipos de inversiones en inmuebles y el destino de </w:t>
      </w:r>
      <w:proofErr w:type="gramStart"/>
      <w:r>
        <w:rPr>
          <w:rFonts w:ascii="Arial Narrow" w:hAnsi="Arial Narrow" w:cs="Arial"/>
          <w:sz w:val="22"/>
          <w:szCs w:val="22"/>
        </w:rPr>
        <w:t>las mismas</w:t>
      </w:r>
      <w:proofErr w:type="gramEnd"/>
      <w:r>
        <w:rPr>
          <w:rFonts w:ascii="Arial Narrow" w:hAnsi="Arial Narrow" w:cs="Arial"/>
          <w:sz w:val="22"/>
          <w:szCs w:val="22"/>
        </w:rPr>
        <w:t xml:space="preserve">, así como las obligaciones contractuales para la adquisición, construcción o desarrollo de inversiones en inmuebles. </w:t>
      </w:r>
    </w:p>
    <w:p w14:paraId="06B49C30"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Activos no corrientes para la venta</w:t>
      </w:r>
    </w:p>
    <w:p w14:paraId="06B49C31"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deben especificar las políticas contables y criterios para el reconocimiento inicial de los activos no corrientes distintos a los bienes recuperados, recibidos en dación en pago y adjudicados, en concordancia con la NIIF 5.</w:t>
      </w:r>
    </w:p>
    <w:p w14:paraId="06B49C32"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Intangibles</w:t>
      </w:r>
    </w:p>
    <w:p w14:paraId="06B49C33"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Deberá indicarse los criterios de reconocimiento inicial de partidas integrantes de este rubro.  Asimismo, deberá informarse que el modelo de reconocimiento posterior seguido por la empresa es el costo. Del mismo modo, deberá revelarse las tasas de amortización usadas y las pérdidas por deterioro de valor. Con relación a los activos intangibles de vida indefinida la empresa deberá revelar los requerimientos de revelación señalados en la NIC 38.</w:t>
      </w:r>
    </w:p>
    <w:p w14:paraId="06B49C34"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Plusvalía</w:t>
      </w:r>
    </w:p>
    <w:p w14:paraId="06B49C35"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Se deben especificar las políticas contables y criterios para el reconocimiento inicial de la plusvalía o </w:t>
      </w:r>
      <w:proofErr w:type="spellStart"/>
      <w:r>
        <w:rPr>
          <w:rFonts w:ascii="Arial Narrow" w:hAnsi="Arial Narrow" w:cs="Arial"/>
          <w:sz w:val="22"/>
          <w:szCs w:val="22"/>
        </w:rPr>
        <w:t>goodwill</w:t>
      </w:r>
      <w:proofErr w:type="spellEnd"/>
      <w:r>
        <w:rPr>
          <w:rFonts w:ascii="Arial Narrow" w:hAnsi="Arial Narrow" w:cs="Arial"/>
          <w:sz w:val="22"/>
          <w:szCs w:val="22"/>
        </w:rPr>
        <w:t xml:space="preserve">. </w:t>
      </w:r>
    </w:p>
    <w:p w14:paraId="06B49C36"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Deterioro de activos no financieros</w:t>
      </w:r>
    </w:p>
    <w:p w14:paraId="06B49C37"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La empresa debe especificar las políticas y procedimientos utilizados para determinar si algún activo está deteriorado, en concordancia con la NIC 36.</w:t>
      </w:r>
    </w:p>
    <w:p w14:paraId="06B49C38"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Activos y pasivos tributarios</w:t>
      </w:r>
    </w:p>
    <w:p w14:paraId="06B49C39"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deberá revelar el método utilizado para el reconocimiento y valuación, de los activos y pasivos tributarios y del impuesto a la renta, así como los criterios de compensación.</w:t>
      </w:r>
    </w:p>
    <w:p w14:paraId="06B49C3A"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Arrendamientos</w:t>
      </w:r>
    </w:p>
    <w:p w14:paraId="06B49C3B"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La empresa deberá indicar el tratamiento de las operaciones de arrendamiento financiero en las que actúa como arrendatario. Las políticas y criterios aplicados deberán ser consistentes con lo señalado en la NIC </w:t>
      </w:r>
      <w:proofErr w:type="spellStart"/>
      <w:r>
        <w:rPr>
          <w:rFonts w:ascii="Arial Narrow" w:hAnsi="Arial Narrow" w:cs="Arial"/>
          <w:sz w:val="22"/>
          <w:szCs w:val="22"/>
        </w:rPr>
        <w:t>Nº</w:t>
      </w:r>
      <w:proofErr w:type="spellEnd"/>
      <w:r>
        <w:rPr>
          <w:rFonts w:ascii="Arial Narrow" w:hAnsi="Arial Narrow" w:cs="Arial"/>
          <w:sz w:val="22"/>
          <w:szCs w:val="22"/>
        </w:rPr>
        <w:t xml:space="preserve"> 17 “Arrendamientos”.</w:t>
      </w:r>
    </w:p>
    <w:p w14:paraId="06B49C3C"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Reservas técnicas</w:t>
      </w:r>
    </w:p>
    <w:p w14:paraId="06B49C3D"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Se deberá revelar la política de constitución por cada tipo de reserva técnica que se conforme </w:t>
      </w:r>
      <w:proofErr w:type="gramStart"/>
      <w:r>
        <w:rPr>
          <w:rFonts w:ascii="Arial Narrow" w:hAnsi="Arial Narrow" w:cs="Arial"/>
          <w:sz w:val="22"/>
          <w:szCs w:val="22"/>
        </w:rPr>
        <w:t>de acuerdo a</w:t>
      </w:r>
      <w:proofErr w:type="gramEnd"/>
      <w:r>
        <w:rPr>
          <w:rFonts w:ascii="Arial Narrow" w:hAnsi="Arial Narrow" w:cs="Arial"/>
          <w:sz w:val="22"/>
          <w:szCs w:val="22"/>
        </w:rPr>
        <w:t xml:space="preserve"> las normas de la Superintendencia, así como los parámetros utilizados para su estimación</w:t>
      </w:r>
    </w:p>
    <w:p w14:paraId="06B49C3E"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 xml:space="preserve">Provisiones, </w:t>
      </w:r>
      <w:proofErr w:type="gramStart"/>
      <w:r>
        <w:rPr>
          <w:rFonts w:ascii="Arial Narrow" w:hAnsi="Arial Narrow" w:cs="Arial"/>
          <w:b/>
          <w:sz w:val="22"/>
          <w:szCs w:val="22"/>
        </w:rPr>
        <w:t>pasivos contingentes y activos contingentes</w:t>
      </w:r>
      <w:proofErr w:type="gramEnd"/>
      <w:r>
        <w:rPr>
          <w:rStyle w:val="Refdenotaalpie"/>
          <w:rFonts w:ascii="Arial Narrow" w:hAnsi="Arial Narrow" w:cs="Arial"/>
          <w:b/>
          <w:sz w:val="22"/>
          <w:szCs w:val="22"/>
        </w:rPr>
        <w:footnoteReference w:id="29"/>
      </w:r>
    </w:p>
    <w:p w14:paraId="06B49C3F"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sz w:val="22"/>
          <w:szCs w:val="22"/>
        </w:rPr>
        <w:t>Señalar la política aplicada para el reconocimiento de las provisiones, pasivos y activos</w:t>
      </w:r>
      <w:r>
        <w:rPr>
          <w:rFonts w:ascii="Arial Narrow" w:hAnsi="Arial Narrow" w:cs="Arial"/>
          <w:sz w:val="22"/>
          <w:szCs w:val="22"/>
        </w:rPr>
        <w:br/>
      </w:r>
      <w:r>
        <w:rPr>
          <w:rFonts w:ascii="Arial Narrow" w:hAnsi="Arial Narrow"/>
          <w:sz w:val="22"/>
          <w:szCs w:val="22"/>
        </w:rPr>
        <w:t xml:space="preserve">contingentes, en concordancia con la NIC 37 “Provisiones, Pasivos Contingentes y Activos Contingentes”. Tratándose de controversias </w:t>
      </w:r>
      <w:proofErr w:type="gramStart"/>
      <w:r>
        <w:rPr>
          <w:rFonts w:ascii="Arial Narrow" w:hAnsi="Arial Narrow"/>
          <w:sz w:val="22"/>
          <w:szCs w:val="22"/>
        </w:rPr>
        <w:t>de acuerdo a</w:t>
      </w:r>
      <w:proofErr w:type="gramEnd"/>
      <w:r>
        <w:rPr>
          <w:rFonts w:ascii="Arial Narrow" w:hAnsi="Arial Narrow"/>
          <w:sz w:val="22"/>
          <w:szCs w:val="22"/>
        </w:rPr>
        <w:t xml:space="preserve"> lo establecido en los</w:t>
      </w:r>
      <w:r>
        <w:rPr>
          <w:rFonts w:ascii="Arial Narrow" w:hAnsi="Arial Narrow" w:cs="Arial"/>
          <w:sz w:val="22"/>
          <w:szCs w:val="22"/>
        </w:rPr>
        <w:br/>
      </w:r>
      <w:r>
        <w:rPr>
          <w:rFonts w:ascii="Arial Narrow" w:hAnsi="Arial Narrow"/>
          <w:sz w:val="22"/>
          <w:szCs w:val="22"/>
        </w:rPr>
        <w:t>Procedimientos mínimos para la gestión, clasificación, reporte y constitución de provisiones por controversias, se deberán seguir los lineamientos establecidos en el Marco Contable Conceptual del presente Plan.</w:t>
      </w:r>
    </w:p>
    <w:p w14:paraId="06B49C40"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Beneficios a los trabajadores</w:t>
      </w:r>
    </w:p>
    <w:p w14:paraId="06B49C41"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Se debe señalar la política aplicada para el reconocimiento de los beneficios a los empleados, los cuales incluyen los beneficios a corto plazo, beneficios </w:t>
      </w:r>
      <w:proofErr w:type="spellStart"/>
      <w:r>
        <w:rPr>
          <w:rFonts w:ascii="Arial Narrow" w:hAnsi="Arial Narrow" w:cs="Arial"/>
          <w:sz w:val="22"/>
          <w:szCs w:val="22"/>
        </w:rPr>
        <w:t>post-empleo</w:t>
      </w:r>
      <w:proofErr w:type="spellEnd"/>
      <w:r>
        <w:rPr>
          <w:rFonts w:ascii="Arial Narrow" w:hAnsi="Arial Narrow" w:cs="Arial"/>
          <w:sz w:val="22"/>
          <w:szCs w:val="22"/>
        </w:rPr>
        <w:t xml:space="preserve"> y beneficios por terminación, así como la participación de los trabajadores en las utilidades.</w:t>
      </w:r>
    </w:p>
    <w:p w14:paraId="06B49C42"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Operaciones de fideicomiso</w:t>
      </w:r>
    </w:p>
    <w:p w14:paraId="06B49C43"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Se deberá revelar los aspectos relacionados con operaciones de fideicomiso, cuando la empresa actúe en calidad de fideicomitente, fiduciario o fideicomisario, así como el </w:t>
      </w:r>
      <w:r>
        <w:rPr>
          <w:rFonts w:ascii="Arial Narrow" w:hAnsi="Arial Narrow" w:cs="Arial"/>
          <w:sz w:val="22"/>
          <w:szCs w:val="22"/>
        </w:rPr>
        <w:lastRenderedPageBreak/>
        <w:t>cumplimiento de lo dispuesto por las normas emitidas por esta Superintendencia sobre la materia.</w:t>
      </w:r>
    </w:p>
    <w:p w14:paraId="06B49C44"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Operaciones de pagos basados en acciones</w:t>
      </w:r>
    </w:p>
    <w:p w14:paraId="06B49C45" w14:textId="77777777" w:rsidR="00A658D0" w:rsidRDefault="00000000">
      <w:pPr>
        <w:autoSpaceDE w:val="0"/>
        <w:autoSpaceDN w:val="0"/>
        <w:adjustRightInd w:val="0"/>
        <w:ind w:left="1021"/>
        <w:jc w:val="both"/>
        <w:rPr>
          <w:rFonts w:ascii="Arial Narrow" w:hAnsi="Arial Narrow" w:cs="Arial"/>
          <w:b/>
          <w:sz w:val="22"/>
          <w:szCs w:val="22"/>
        </w:rPr>
      </w:pPr>
      <w:r>
        <w:rPr>
          <w:rFonts w:ascii="Arial Narrow" w:hAnsi="Arial Narrow" w:cs="Arial"/>
          <w:sz w:val="22"/>
          <w:szCs w:val="22"/>
        </w:rPr>
        <w:tab/>
        <w:t>Se revelará la política aplicada para el reconocimiento de los pagos basados en acciones, en concordancia con la NIIF 2.</w:t>
      </w:r>
    </w:p>
    <w:p w14:paraId="06B49C46"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Reconocimiento de gastos e ingresos de seguros y de inversiones</w:t>
      </w:r>
    </w:p>
    <w:p w14:paraId="06B49C47"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deben describir los criterios adoptados para el reconocimiento de ingresos por las primas de seguros directos de coaseguros recibidos y cedidos y de los reaseguros recibidos y cedidos y por las inversiones que realice la empresa, así como de los gastos relacionados con la actividad de seguros y de inversiones.</w:t>
      </w:r>
    </w:p>
    <w:p w14:paraId="06B49C48"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Otro Resultado Integral</w:t>
      </w:r>
    </w:p>
    <w:p w14:paraId="06B49C49" w14:textId="77777777" w:rsidR="00A658D0" w:rsidRDefault="00000000">
      <w:pPr>
        <w:autoSpaceDE w:val="0"/>
        <w:autoSpaceDN w:val="0"/>
        <w:adjustRightInd w:val="0"/>
        <w:ind w:left="1021"/>
        <w:jc w:val="both"/>
        <w:rPr>
          <w:rFonts w:ascii="Arial Narrow" w:hAnsi="Arial Narrow" w:cs="Arial"/>
          <w:b/>
          <w:sz w:val="22"/>
          <w:szCs w:val="22"/>
        </w:rPr>
      </w:pPr>
      <w:r>
        <w:rPr>
          <w:rFonts w:ascii="Arial Narrow" w:hAnsi="Arial Narrow" w:cs="Arial"/>
          <w:sz w:val="22"/>
          <w:szCs w:val="22"/>
        </w:rPr>
        <w:t>Se revelará los componentes del Otro Resultado integral y el importe del impuesto a la renta relativo a cada componente del Otro Resultado Integral.</w:t>
      </w:r>
    </w:p>
    <w:p w14:paraId="06B49C4A"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Estado de Cambios en el Patrimonio Neto</w:t>
      </w:r>
    </w:p>
    <w:p w14:paraId="06B49C4B"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presentará en el Estado de Cambios en el Patrimonio Neto el resultado integral total del periodo.  Asimismo, para cada componente del patrimonio, se presentará en dicho estado una conciliación entre los importes en libros, al inicio y al final del periodo, revelando por separado los cambios resultantes de resultados y de cada partida de Otro Resultado Integral.</w:t>
      </w:r>
    </w:p>
    <w:p w14:paraId="06B49C4C"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Estado de Flujos de Efectivo</w:t>
      </w:r>
    </w:p>
    <w:p w14:paraId="06B49C4D"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deberá revelar el método utilizado para su elaboración. Para la determinación del efectivo y equivalente de efectivo, se deberá aplicar lo establecido en la NIC 7 Estado de Flujos de Efectivo. En este sentido, el efectivo y equivalente de efectivo incluirá el disponible, así como equivalentes de efectivo que corresponden a las inversiones financieras de corto plazo y alta liquidez, fácilmente convertibles en un importe determinado de efectivo y estar sujeta a un riesgo insignificante de cambios en su valor, cuya fecha de vencimiento no exceda a 90 días desde la fecha de adquisición.</w:t>
      </w:r>
    </w:p>
    <w:p w14:paraId="06B49C4E"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 xml:space="preserve">Inversión en subsidiarias, asociadas y participaciones en negocios conjuntos </w:t>
      </w:r>
    </w:p>
    <w:p w14:paraId="06B49C4F"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deberá revelar los criterios adoptados para el reconocimiento de la inversión en subsidiarias, asociadas y participaciones en negocios en conjunto, en concordancia con lo dispuesto en el marco conceptual.</w:t>
      </w:r>
    </w:p>
    <w:p w14:paraId="06B49C50"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Otros criterios contables</w:t>
      </w:r>
    </w:p>
    <w:p w14:paraId="06B49C51"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Se revelarán otras políticas contables utilizadas que sean relevantes para la comprensión de los estados financieros.</w:t>
      </w:r>
    </w:p>
    <w:p w14:paraId="06B49C52" w14:textId="77777777" w:rsidR="00A658D0" w:rsidRDefault="00000000">
      <w:pPr>
        <w:pStyle w:val="Sangradetextonormal"/>
        <w:numPr>
          <w:ilvl w:val="0"/>
          <w:numId w:val="7"/>
        </w:numPr>
        <w:tabs>
          <w:tab w:val="left" w:pos="1021"/>
        </w:tabs>
        <w:ind w:left="1020" w:hanging="340"/>
        <w:rPr>
          <w:rFonts w:ascii="Arial Narrow" w:hAnsi="Arial Narrow" w:cs="Arial"/>
          <w:b/>
          <w:sz w:val="22"/>
          <w:szCs w:val="22"/>
        </w:rPr>
      </w:pPr>
      <w:r>
        <w:rPr>
          <w:rFonts w:ascii="Arial Narrow" w:hAnsi="Arial Narrow" w:cs="Arial"/>
          <w:b/>
          <w:sz w:val="22"/>
          <w:szCs w:val="22"/>
        </w:rPr>
        <w:t>Recientes pronunciamientos contables</w:t>
      </w:r>
    </w:p>
    <w:p w14:paraId="06B49C53" w14:textId="77777777" w:rsidR="00A658D0" w:rsidRDefault="00000000">
      <w:pPr>
        <w:autoSpaceDE w:val="0"/>
        <w:autoSpaceDN w:val="0"/>
        <w:adjustRightInd w:val="0"/>
        <w:ind w:left="1021"/>
        <w:jc w:val="both"/>
        <w:rPr>
          <w:rFonts w:ascii="Arial Narrow" w:hAnsi="Arial Narrow" w:cs="Arial"/>
          <w:sz w:val="22"/>
          <w:szCs w:val="22"/>
        </w:rPr>
      </w:pPr>
      <w:r>
        <w:rPr>
          <w:rFonts w:ascii="Arial Narrow" w:hAnsi="Arial Narrow" w:cs="Arial"/>
          <w:sz w:val="22"/>
          <w:szCs w:val="22"/>
        </w:rPr>
        <w:t xml:space="preserve">Cuando una entidad no haya aplicado alguna norma o interpretación que habiendo sido emitida todavía no </w:t>
      </w:r>
      <w:proofErr w:type="gramStart"/>
      <w:r>
        <w:rPr>
          <w:rFonts w:ascii="Arial Narrow" w:hAnsi="Arial Narrow" w:cs="Arial"/>
          <w:sz w:val="22"/>
          <w:szCs w:val="22"/>
        </w:rPr>
        <w:t>entra en vigencia</w:t>
      </w:r>
      <w:proofErr w:type="gramEnd"/>
      <w:r>
        <w:rPr>
          <w:rFonts w:ascii="Arial Narrow" w:hAnsi="Arial Narrow" w:cs="Arial"/>
          <w:sz w:val="22"/>
          <w:szCs w:val="22"/>
        </w:rPr>
        <w:t>, revelará una descripción de dichos pronunciamientos y su posible impacto.</w:t>
      </w:r>
    </w:p>
    <w:p w14:paraId="06B49C54" w14:textId="77777777" w:rsidR="00A658D0" w:rsidRDefault="00A658D0">
      <w:pPr>
        <w:pStyle w:val="Sangra3detindependiente"/>
        <w:ind w:left="1134" w:firstLine="0"/>
        <w:jc w:val="both"/>
        <w:rPr>
          <w:rFonts w:cs="Arial"/>
          <w:sz w:val="22"/>
          <w:szCs w:val="22"/>
        </w:rPr>
      </w:pPr>
    </w:p>
    <w:p w14:paraId="06B49C55"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NOTAS ESPECÍFICAS</w:t>
      </w:r>
    </w:p>
    <w:p w14:paraId="06B49C56" w14:textId="77777777" w:rsidR="00A658D0" w:rsidRDefault="00000000">
      <w:pPr>
        <w:ind w:left="680"/>
        <w:jc w:val="both"/>
        <w:rPr>
          <w:rFonts w:ascii="Arial Narrow" w:hAnsi="Arial Narrow" w:cs="Arial"/>
          <w:sz w:val="22"/>
          <w:szCs w:val="22"/>
        </w:rPr>
      </w:pPr>
      <w:r>
        <w:rPr>
          <w:rFonts w:ascii="Arial Narrow" w:hAnsi="Arial Narrow" w:cs="Arial"/>
          <w:sz w:val="22"/>
          <w:szCs w:val="22"/>
        </w:rPr>
        <w:t>Cada partida del Estado de Situación Financiera, Estado del Resultado Integral, Estado de Cambios en el Patrimonio Neto y Estado de Flujos de Efectivo, contendrá una referencia cruzada correspondiente con las notas. Dichas revelaciones se deberán realizar de manera sistemática.</w:t>
      </w:r>
    </w:p>
    <w:p w14:paraId="06B49C57" w14:textId="77777777" w:rsidR="00A658D0" w:rsidRDefault="00A658D0">
      <w:pPr>
        <w:ind w:left="993"/>
        <w:jc w:val="both"/>
        <w:rPr>
          <w:rFonts w:ascii="Arial Narrow" w:hAnsi="Arial Narrow" w:cs="Arial"/>
          <w:b/>
          <w:sz w:val="22"/>
          <w:szCs w:val="22"/>
        </w:rPr>
      </w:pPr>
    </w:p>
    <w:p w14:paraId="06B49C58"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ACTIVOS SUJETOS A RESTRICCIONES</w:t>
      </w:r>
    </w:p>
    <w:p w14:paraId="06B49C59" w14:textId="77777777" w:rsidR="00A658D0" w:rsidRDefault="00000000">
      <w:pPr>
        <w:ind w:left="680"/>
        <w:jc w:val="both"/>
        <w:rPr>
          <w:rFonts w:ascii="Arial Narrow" w:hAnsi="Arial Narrow" w:cs="Arial"/>
          <w:sz w:val="22"/>
          <w:szCs w:val="22"/>
        </w:rPr>
      </w:pPr>
      <w:r>
        <w:rPr>
          <w:rFonts w:ascii="Arial Narrow" w:hAnsi="Arial Narrow" w:cs="Arial"/>
          <w:sz w:val="22"/>
          <w:szCs w:val="22"/>
        </w:rPr>
        <w:t xml:space="preserve">Cuando la empresa posea activos cuyo derecho de propiedad se encuentre restringido, debe indicarlo, identificando claramente el activo de que se trate, el valor contable del mismo y la causa de la restricción. </w:t>
      </w:r>
    </w:p>
    <w:p w14:paraId="06B49C5A" w14:textId="77777777" w:rsidR="00A658D0" w:rsidRDefault="00A658D0">
      <w:pPr>
        <w:tabs>
          <w:tab w:val="left" w:pos="993"/>
        </w:tabs>
        <w:ind w:left="993" w:hanging="284"/>
        <w:jc w:val="both"/>
        <w:rPr>
          <w:rFonts w:ascii="Arial Narrow" w:hAnsi="Arial Narrow" w:cs="Arial"/>
          <w:sz w:val="22"/>
          <w:szCs w:val="22"/>
        </w:rPr>
      </w:pPr>
    </w:p>
    <w:p w14:paraId="06B49C5B"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lastRenderedPageBreak/>
        <w:t>UTILIDAD POR ACCIÓN</w:t>
      </w:r>
    </w:p>
    <w:p w14:paraId="06B49C5C" w14:textId="77777777" w:rsidR="00A658D0" w:rsidRDefault="00000000">
      <w:pPr>
        <w:ind w:left="680"/>
        <w:jc w:val="both"/>
        <w:rPr>
          <w:rFonts w:ascii="Arial Narrow" w:hAnsi="Arial Narrow" w:cs="Arial"/>
          <w:sz w:val="22"/>
          <w:szCs w:val="22"/>
        </w:rPr>
      </w:pPr>
      <w:r>
        <w:rPr>
          <w:rFonts w:ascii="Arial Narrow" w:hAnsi="Arial Narrow" w:cs="Arial"/>
          <w:sz w:val="22"/>
          <w:szCs w:val="22"/>
        </w:rPr>
        <w:t>La empresa deberá exponer las utilidades (pérdidas) por clase de acción, de conformidad con la NIC 33 “Ganancias por acción”.</w:t>
      </w:r>
    </w:p>
    <w:p w14:paraId="06B49C5D" w14:textId="77777777" w:rsidR="00A658D0" w:rsidRDefault="00A658D0">
      <w:pPr>
        <w:tabs>
          <w:tab w:val="left" w:pos="993"/>
        </w:tabs>
        <w:ind w:left="993" w:hanging="284"/>
        <w:jc w:val="both"/>
        <w:rPr>
          <w:rFonts w:ascii="Arial Narrow" w:hAnsi="Arial Narrow" w:cs="Arial"/>
          <w:sz w:val="22"/>
          <w:szCs w:val="22"/>
        </w:rPr>
      </w:pPr>
    </w:p>
    <w:p w14:paraId="06B49C5E"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 xml:space="preserve">POSICIÓN EN </w:t>
      </w:r>
      <w:proofErr w:type="gramStart"/>
      <w:r>
        <w:rPr>
          <w:rFonts w:ascii="Arial Narrow" w:hAnsi="Arial Narrow" w:cs="Arial"/>
          <w:b/>
          <w:sz w:val="22"/>
          <w:szCs w:val="22"/>
        </w:rPr>
        <w:t>MONEDA</w:t>
      </w:r>
      <w:proofErr w:type="gramEnd"/>
      <w:r>
        <w:rPr>
          <w:rFonts w:ascii="Arial Narrow" w:hAnsi="Arial Narrow" w:cs="Arial"/>
          <w:b/>
          <w:sz w:val="22"/>
          <w:szCs w:val="22"/>
        </w:rPr>
        <w:t xml:space="preserve"> EXTRANJERA</w:t>
      </w:r>
    </w:p>
    <w:p w14:paraId="06B49C5F" w14:textId="77777777" w:rsidR="00A658D0" w:rsidRDefault="00000000">
      <w:pPr>
        <w:ind w:left="680"/>
        <w:jc w:val="both"/>
        <w:rPr>
          <w:rFonts w:ascii="Arial Narrow" w:hAnsi="Arial Narrow" w:cs="Arial"/>
          <w:sz w:val="22"/>
          <w:szCs w:val="22"/>
        </w:rPr>
      </w:pPr>
      <w:r>
        <w:rPr>
          <w:rFonts w:ascii="Arial Narrow" w:hAnsi="Arial Narrow" w:cs="Arial"/>
          <w:sz w:val="22"/>
          <w:szCs w:val="22"/>
        </w:rPr>
        <w:t>Se debe informar a nivel de rubros los saldos por cada una de las monedas extranjeras con las cuales opera; estableciéndose, por diferencia, la posición neta en cada una de ellas; procediendo a efectuar el cuadre contable, con la indicación de la posición respectiva (sobrecomprado o sobrevendido), indicando de ser el caso, el método que se utiliza internamente para los controles de moneda extranjera.</w:t>
      </w:r>
    </w:p>
    <w:p w14:paraId="06B49C60" w14:textId="77777777" w:rsidR="00A658D0" w:rsidRDefault="00A658D0">
      <w:pPr>
        <w:tabs>
          <w:tab w:val="left" w:pos="993"/>
        </w:tabs>
        <w:ind w:left="993" w:hanging="284"/>
        <w:jc w:val="both"/>
        <w:rPr>
          <w:rFonts w:ascii="Arial Narrow" w:hAnsi="Arial Narrow" w:cs="Arial"/>
          <w:sz w:val="22"/>
          <w:szCs w:val="22"/>
        </w:rPr>
      </w:pPr>
    </w:p>
    <w:p w14:paraId="06B49C61"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SITUACIÓN TRIBUTARIA</w:t>
      </w:r>
    </w:p>
    <w:p w14:paraId="06B49C62" w14:textId="77777777" w:rsidR="00A658D0" w:rsidRDefault="00000000">
      <w:pPr>
        <w:ind w:left="680"/>
        <w:jc w:val="both"/>
        <w:rPr>
          <w:rFonts w:ascii="Arial Narrow" w:hAnsi="Arial Narrow" w:cs="Arial"/>
          <w:sz w:val="22"/>
          <w:szCs w:val="22"/>
        </w:rPr>
      </w:pPr>
      <w:r>
        <w:rPr>
          <w:rFonts w:ascii="Arial Narrow" w:hAnsi="Arial Narrow" w:cs="Arial"/>
          <w:sz w:val="22"/>
          <w:szCs w:val="22"/>
        </w:rPr>
        <w:t>En esta nota se debe revelar la situación de las revisiones de ejercicios anteriores por parte de la autoridad tributaria, y los ejercicios pendientes de revisión. Asimismo, deben revelar los requerimientos de revelación establecidos en la NIC 12 “Impuesto a las Ganancias”.</w:t>
      </w:r>
    </w:p>
    <w:p w14:paraId="06B49C63" w14:textId="77777777" w:rsidR="00A658D0" w:rsidRDefault="00A658D0">
      <w:pPr>
        <w:tabs>
          <w:tab w:val="left" w:pos="993"/>
        </w:tabs>
        <w:ind w:left="993" w:hanging="284"/>
        <w:jc w:val="both"/>
        <w:rPr>
          <w:rFonts w:ascii="Arial Narrow" w:hAnsi="Arial Narrow" w:cs="Arial"/>
          <w:sz w:val="22"/>
          <w:szCs w:val="22"/>
        </w:rPr>
      </w:pPr>
    </w:p>
    <w:p w14:paraId="06B49C64"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OPERACIONES CON PARTES VINCULADAS</w:t>
      </w:r>
    </w:p>
    <w:p w14:paraId="06B49C65" w14:textId="77777777" w:rsidR="00A658D0" w:rsidRDefault="00000000">
      <w:pPr>
        <w:ind w:left="680"/>
        <w:jc w:val="both"/>
        <w:rPr>
          <w:rFonts w:ascii="Arial Narrow" w:hAnsi="Arial Narrow" w:cs="Arial"/>
          <w:sz w:val="22"/>
          <w:szCs w:val="22"/>
          <w:lang w:eastAsia="ja-JP"/>
        </w:rPr>
      </w:pPr>
      <w:r>
        <w:rPr>
          <w:rFonts w:ascii="Arial Narrow" w:hAnsi="Arial Narrow" w:cs="Arial"/>
          <w:sz w:val="22"/>
          <w:szCs w:val="22"/>
          <w:lang w:eastAsia="ja-JP"/>
        </w:rPr>
        <w:t xml:space="preserve">Para los efectos de esta nota, se entenderá como partes relacionadas las personas naturales o jurídicas vinculadas con la entidad, según lo dispuesto en el artículo 202° de la Ley General reglamentado por las “Normas especiales sobre vinculación y grupo económico” aprobada mediante Resolución SBS </w:t>
      </w:r>
      <w:proofErr w:type="spellStart"/>
      <w:r>
        <w:rPr>
          <w:rFonts w:ascii="Arial Narrow" w:hAnsi="Arial Narrow" w:cs="Arial"/>
          <w:sz w:val="22"/>
          <w:szCs w:val="22"/>
          <w:lang w:eastAsia="ja-JP"/>
        </w:rPr>
        <w:t>Nº</w:t>
      </w:r>
      <w:proofErr w:type="spellEnd"/>
      <w:r>
        <w:rPr>
          <w:rFonts w:ascii="Arial Narrow" w:hAnsi="Arial Narrow" w:cs="Arial"/>
          <w:sz w:val="22"/>
          <w:szCs w:val="22"/>
          <w:lang w:eastAsia="ja-JP"/>
        </w:rPr>
        <w:t xml:space="preserve"> 445-2000 del 28 de junio de 2000 y modificatorias.</w:t>
      </w:r>
    </w:p>
    <w:p w14:paraId="06B49C66" w14:textId="77777777" w:rsidR="00A658D0" w:rsidRDefault="00000000">
      <w:pPr>
        <w:ind w:left="680"/>
        <w:jc w:val="both"/>
        <w:rPr>
          <w:rFonts w:ascii="Arial Narrow" w:hAnsi="Arial Narrow" w:cs="Arial"/>
          <w:sz w:val="22"/>
          <w:szCs w:val="22"/>
        </w:rPr>
      </w:pPr>
      <w:r>
        <w:rPr>
          <w:rFonts w:ascii="Arial Narrow" w:hAnsi="Arial Narrow" w:cs="Arial"/>
          <w:sz w:val="22"/>
          <w:szCs w:val="22"/>
        </w:rPr>
        <w:t>Las relaciones entre controladoras y subsidiarias serán objeto de revelación con independencia de que se hayan producido transacciones entre dichas partes relacionadas.</w:t>
      </w:r>
    </w:p>
    <w:p w14:paraId="06B49C67" w14:textId="77777777" w:rsidR="00A658D0" w:rsidRDefault="00000000">
      <w:pPr>
        <w:ind w:left="680"/>
        <w:jc w:val="both"/>
        <w:rPr>
          <w:rFonts w:ascii="Arial Narrow" w:hAnsi="Arial Narrow" w:cs="Arial"/>
          <w:sz w:val="22"/>
          <w:szCs w:val="22"/>
        </w:rPr>
      </w:pPr>
      <w:proofErr w:type="gramStart"/>
      <w:r>
        <w:rPr>
          <w:rFonts w:ascii="Arial Narrow" w:hAnsi="Arial Narrow" w:cs="Arial"/>
          <w:sz w:val="22"/>
          <w:szCs w:val="22"/>
        </w:rPr>
        <w:t>La información a revelar</w:t>
      </w:r>
      <w:proofErr w:type="gramEnd"/>
      <w:r>
        <w:rPr>
          <w:rFonts w:ascii="Arial Narrow" w:hAnsi="Arial Narrow" w:cs="Arial"/>
          <w:sz w:val="22"/>
          <w:szCs w:val="22"/>
        </w:rPr>
        <w:t>, respecto a las operaciones realizadas, se suministrará por separado, para cada una de las siguientes categorías, de ser el caso:</w:t>
      </w:r>
    </w:p>
    <w:p w14:paraId="06B49C68"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Controladora</w:t>
      </w:r>
    </w:p>
    <w:p w14:paraId="06B49C69"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Entidades con control conjunto o influencia significativa sobre la entidad</w:t>
      </w:r>
    </w:p>
    <w:p w14:paraId="06B49C6A"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Subsidiarias</w:t>
      </w:r>
    </w:p>
    <w:p w14:paraId="06B49C6B"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Asociadas</w:t>
      </w:r>
    </w:p>
    <w:p w14:paraId="06B49C6C"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Negocios conjuntos en los que la entidad es uno de los participantes</w:t>
      </w:r>
    </w:p>
    <w:p w14:paraId="06B49C6D"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Personal clave de la gerencia de la entidad o de su controladora</w:t>
      </w:r>
    </w:p>
    <w:p w14:paraId="06B49C6E" w14:textId="77777777" w:rsidR="00A658D0" w:rsidRDefault="00000000">
      <w:pPr>
        <w:numPr>
          <w:ilvl w:val="0"/>
          <w:numId w:val="9"/>
        </w:numPr>
        <w:tabs>
          <w:tab w:val="left" w:pos="1021"/>
        </w:tabs>
        <w:ind w:left="1020" w:hanging="340"/>
        <w:jc w:val="both"/>
        <w:rPr>
          <w:rFonts w:ascii="Arial Narrow" w:hAnsi="Arial Narrow" w:cs="Arial"/>
          <w:sz w:val="22"/>
          <w:szCs w:val="22"/>
        </w:rPr>
      </w:pPr>
      <w:r>
        <w:rPr>
          <w:rFonts w:ascii="Arial Narrow" w:hAnsi="Arial Narrow" w:cs="Arial"/>
          <w:sz w:val="22"/>
          <w:szCs w:val="22"/>
        </w:rPr>
        <w:t>Otras partes relacionadas (vinculadas)</w:t>
      </w:r>
    </w:p>
    <w:p w14:paraId="06B49C6F" w14:textId="77777777" w:rsidR="00A658D0" w:rsidRDefault="00000000">
      <w:pPr>
        <w:ind w:left="680"/>
        <w:jc w:val="both"/>
        <w:rPr>
          <w:rFonts w:ascii="Arial Narrow" w:hAnsi="Arial Narrow" w:cs="Arial"/>
          <w:sz w:val="22"/>
          <w:szCs w:val="22"/>
        </w:rPr>
      </w:pPr>
      <w:r>
        <w:rPr>
          <w:rFonts w:ascii="Arial Narrow" w:hAnsi="Arial Narrow" w:cs="Arial"/>
          <w:sz w:val="22"/>
          <w:szCs w:val="22"/>
        </w:rPr>
        <w:t xml:space="preserve">Cuando se hayan producido transacciones entre partes vinculadas, la entidad revelará la naturaleza de la relación con cada parte implicada, así como la información sobre las transacciones (importe original, condiciones, plazos, garantías otorgadas o recibidas, entre otros), saldos pendientes y su efecto en los resultados del ejercicio.   </w:t>
      </w:r>
    </w:p>
    <w:p w14:paraId="06B49C70" w14:textId="77777777" w:rsidR="00A658D0" w:rsidRDefault="00000000">
      <w:pPr>
        <w:ind w:left="680"/>
        <w:jc w:val="both"/>
        <w:rPr>
          <w:rFonts w:ascii="Arial Narrow" w:hAnsi="Arial Narrow" w:cs="Arial"/>
          <w:sz w:val="22"/>
          <w:szCs w:val="22"/>
          <w:lang w:eastAsia="ja-JP"/>
        </w:rPr>
      </w:pPr>
      <w:r>
        <w:rPr>
          <w:rFonts w:ascii="Arial Narrow" w:hAnsi="Arial Narrow" w:cs="Arial"/>
          <w:sz w:val="22"/>
          <w:szCs w:val="22"/>
          <w:lang w:eastAsia="ja-JP"/>
        </w:rPr>
        <w:t xml:space="preserve">La empresa revelará información sobre las remuneraciones y beneficios recibidos por el personal clave de la gerencia en total, considerando todos los pagos que reciben. Asimismo, deberá revelar al menos, los beneficios a corto plazo a los empleados, retribuciones </w:t>
      </w:r>
      <w:proofErr w:type="spellStart"/>
      <w:r>
        <w:rPr>
          <w:rFonts w:ascii="Arial Narrow" w:hAnsi="Arial Narrow" w:cs="Arial"/>
          <w:sz w:val="22"/>
          <w:szCs w:val="22"/>
          <w:lang w:eastAsia="ja-JP"/>
        </w:rPr>
        <w:t>post-empleo</w:t>
      </w:r>
      <w:proofErr w:type="spellEnd"/>
      <w:r>
        <w:rPr>
          <w:rFonts w:ascii="Arial Narrow" w:hAnsi="Arial Narrow" w:cs="Arial"/>
          <w:sz w:val="22"/>
          <w:szCs w:val="22"/>
          <w:lang w:eastAsia="ja-JP"/>
        </w:rPr>
        <w:t xml:space="preserve"> y pagos basados en acciones.</w:t>
      </w:r>
    </w:p>
    <w:p w14:paraId="06B49C71" w14:textId="77777777" w:rsidR="00A658D0" w:rsidRDefault="00A658D0">
      <w:pPr>
        <w:ind w:left="680"/>
        <w:jc w:val="both"/>
        <w:rPr>
          <w:rFonts w:ascii="Arial Narrow" w:hAnsi="Arial Narrow" w:cs="Arial"/>
          <w:sz w:val="22"/>
          <w:szCs w:val="22"/>
        </w:rPr>
      </w:pPr>
    </w:p>
    <w:p w14:paraId="06B49C72"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INSTRUMENTOS FINANCIEROS</w:t>
      </w:r>
    </w:p>
    <w:p w14:paraId="06B49C73" w14:textId="77777777" w:rsidR="00A658D0" w:rsidRDefault="00000000">
      <w:pPr>
        <w:ind w:left="680"/>
        <w:jc w:val="both"/>
        <w:rPr>
          <w:rFonts w:ascii="Arial Narrow" w:hAnsi="Arial Narrow" w:cs="Arial"/>
          <w:sz w:val="22"/>
          <w:szCs w:val="22"/>
        </w:rPr>
      </w:pPr>
      <w:r>
        <w:rPr>
          <w:rFonts w:ascii="Arial Narrow" w:hAnsi="Arial Narrow" w:cs="Arial"/>
          <w:sz w:val="22"/>
          <w:szCs w:val="22"/>
        </w:rPr>
        <w:t>La empresa revelará lo siguiente:</w:t>
      </w:r>
    </w:p>
    <w:p w14:paraId="06B49C74"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 xml:space="preserve">Se revelará las categorías de clasificación de los instrumentos financieros tomando como referencia el formato sugerido en el </w:t>
      </w:r>
      <w:r>
        <w:rPr>
          <w:rFonts w:ascii="Arial Narrow" w:hAnsi="Arial Narrow" w:cs="Arial"/>
          <w:sz w:val="22"/>
          <w:szCs w:val="22"/>
          <w:u w:val="single"/>
        </w:rPr>
        <w:t>Anexo 1</w:t>
      </w:r>
      <w:r>
        <w:rPr>
          <w:rFonts w:ascii="Arial Narrow" w:hAnsi="Arial Narrow" w:cs="Arial"/>
          <w:sz w:val="22"/>
          <w:szCs w:val="22"/>
        </w:rPr>
        <w:t>.</w:t>
      </w:r>
    </w:p>
    <w:p w14:paraId="06B49C75"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Los objetivos, políticas y procesos de gestión de los riesgos, para lo cual se revelará:</w:t>
      </w:r>
    </w:p>
    <w:p w14:paraId="06B49C76" w14:textId="77777777" w:rsidR="00A658D0" w:rsidRDefault="00000000">
      <w:pPr>
        <w:numPr>
          <w:ilvl w:val="1"/>
          <w:numId w:val="10"/>
        </w:numPr>
        <w:tabs>
          <w:tab w:val="clear" w:pos="1752"/>
          <w:tab w:val="left" w:pos="1361"/>
        </w:tabs>
        <w:ind w:left="1361" w:hanging="340"/>
        <w:jc w:val="both"/>
        <w:rPr>
          <w:rFonts w:ascii="Arial Narrow" w:hAnsi="Arial Narrow" w:cs="Arial"/>
          <w:sz w:val="22"/>
          <w:szCs w:val="22"/>
        </w:rPr>
      </w:pPr>
      <w:r>
        <w:rPr>
          <w:rFonts w:ascii="Arial Narrow" w:hAnsi="Arial Narrow" w:cs="Arial"/>
          <w:sz w:val="22"/>
          <w:szCs w:val="22"/>
        </w:rPr>
        <w:t>Estructura y organización de la función o funciones de la gestión del manejo de riesgos.</w:t>
      </w:r>
    </w:p>
    <w:p w14:paraId="06B49C77" w14:textId="77777777" w:rsidR="00A658D0" w:rsidRDefault="00000000">
      <w:pPr>
        <w:numPr>
          <w:ilvl w:val="1"/>
          <w:numId w:val="10"/>
        </w:numPr>
        <w:tabs>
          <w:tab w:val="clear" w:pos="1752"/>
          <w:tab w:val="left" w:pos="1361"/>
        </w:tabs>
        <w:ind w:left="1361" w:hanging="340"/>
        <w:jc w:val="both"/>
        <w:rPr>
          <w:rFonts w:ascii="Arial Narrow" w:hAnsi="Arial Narrow" w:cs="Arial"/>
          <w:sz w:val="22"/>
          <w:szCs w:val="22"/>
        </w:rPr>
      </w:pPr>
      <w:r>
        <w:rPr>
          <w:rFonts w:ascii="Arial Narrow" w:hAnsi="Arial Narrow" w:cs="Arial"/>
          <w:sz w:val="22"/>
          <w:szCs w:val="22"/>
        </w:rPr>
        <w:t>Las políticas de cobertura y mitigación de riesgos.</w:t>
      </w:r>
    </w:p>
    <w:p w14:paraId="06B49C78" w14:textId="77777777" w:rsidR="00A658D0" w:rsidRDefault="00000000">
      <w:pPr>
        <w:numPr>
          <w:ilvl w:val="1"/>
          <w:numId w:val="10"/>
        </w:numPr>
        <w:tabs>
          <w:tab w:val="clear" w:pos="1752"/>
          <w:tab w:val="left" w:pos="1361"/>
        </w:tabs>
        <w:ind w:left="1361" w:hanging="340"/>
        <w:jc w:val="both"/>
        <w:rPr>
          <w:rFonts w:ascii="Arial Narrow" w:hAnsi="Arial Narrow" w:cs="Arial"/>
          <w:sz w:val="22"/>
          <w:szCs w:val="22"/>
        </w:rPr>
      </w:pPr>
      <w:r>
        <w:rPr>
          <w:rFonts w:ascii="Arial Narrow" w:hAnsi="Arial Narrow" w:cs="Arial"/>
          <w:sz w:val="22"/>
          <w:szCs w:val="22"/>
        </w:rPr>
        <w:t>Las políticas y procedimientos para evitar las concentraciones de riesgo excesivas.</w:t>
      </w:r>
    </w:p>
    <w:p w14:paraId="06B49C79" w14:textId="77777777" w:rsidR="00A658D0" w:rsidRDefault="00000000">
      <w:pPr>
        <w:numPr>
          <w:ilvl w:val="1"/>
          <w:numId w:val="10"/>
        </w:numPr>
        <w:tabs>
          <w:tab w:val="clear" w:pos="1752"/>
          <w:tab w:val="left" w:pos="1361"/>
        </w:tabs>
        <w:ind w:left="1361" w:hanging="340"/>
        <w:jc w:val="both"/>
        <w:rPr>
          <w:rFonts w:ascii="Arial Narrow" w:hAnsi="Arial Narrow" w:cs="Arial"/>
          <w:sz w:val="22"/>
          <w:szCs w:val="22"/>
        </w:rPr>
      </w:pPr>
      <w:r>
        <w:rPr>
          <w:rFonts w:ascii="Arial Narrow" w:hAnsi="Arial Narrow" w:cs="Arial"/>
          <w:sz w:val="22"/>
          <w:szCs w:val="22"/>
        </w:rPr>
        <w:t>Sistemas de medición y reporte de riesgos.</w:t>
      </w:r>
    </w:p>
    <w:p w14:paraId="06B49C7A"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lastRenderedPageBreak/>
        <w:t>Por cada tipo de riesgo proveniente de los instrumentos financieros, se revelará lo siguiente:</w:t>
      </w:r>
    </w:p>
    <w:p w14:paraId="06B49C7B" w14:textId="77777777" w:rsidR="00A658D0" w:rsidRDefault="00000000">
      <w:pPr>
        <w:numPr>
          <w:ilvl w:val="1"/>
          <w:numId w:val="10"/>
        </w:numPr>
        <w:tabs>
          <w:tab w:val="clear" w:pos="1752"/>
          <w:tab w:val="left" w:pos="1361"/>
        </w:tabs>
        <w:ind w:left="1361" w:hanging="340"/>
        <w:rPr>
          <w:rFonts w:ascii="Arial Narrow" w:hAnsi="Arial Narrow" w:cs="Arial"/>
          <w:sz w:val="22"/>
          <w:szCs w:val="22"/>
          <w:u w:val="single"/>
        </w:rPr>
      </w:pPr>
      <w:r>
        <w:rPr>
          <w:rFonts w:ascii="Arial Narrow" w:hAnsi="Arial Narrow" w:cs="Arial"/>
          <w:sz w:val="22"/>
          <w:szCs w:val="22"/>
          <w:u w:val="single"/>
        </w:rPr>
        <w:t>Riesgo de Crédito</w:t>
      </w:r>
    </w:p>
    <w:p w14:paraId="06B49C7C"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 xml:space="preserve">Información cuantitativa sobre la exposición del riesgo específico a la fecha de los estados financieros. </w:t>
      </w:r>
    </w:p>
    <w:p w14:paraId="06B49C7D"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Información sobre la calidad crediticia de los activos financieros que no estén vencidos ni deteriorados.</w:t>
      </w:r>
    </w:p>
    <w:p w14:paraId="06B49C7E"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El valor en libros de los activos financieros que estarían vencidos o deteriorados de no haberse renegociado sus condiciones.</w:t>
      </w:r>
    </w:p>
    <w:p w14:paraId="06B49C7F"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Para cada clase de activos financieros que estén vencidos o deteriorados:</w:t>
      </w:r>
    </w:p>
    <w:p w14:paraId="06B49C80" w14:textId="77777777" w:rsidR="00A658D0" w:rsidRDefault="00000000">
      <w:pPr>
        <w:numPr>
          <w:ilvl w:val="3"/>
          <w:numId w:val="11"/>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Análisis de los activos cuyo deterioro ha sido evaluado individualmente, incluyendo los factores que la entidad ha considerado en el análisis, señalando por lo menos:</w:t>
      </w:r>
    </w:p>
    <w:p w14:paraId="06B49C81" w14:textId="77777777" w:rsidR="00A658D0" w:rsidRDefault="00000000">
      <w:pPr>
        <w:numPr>
          <w:ilvl w:val="4"/>
          <w:numId w:val="12"/>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Valor en libros, sin deducir las provisiones</w:t>
      </w:r>
    </w:p>
    <w:p w14:paraId="06B49C82" w14:textId="77777777" w:rsidR="00A658D0" w:rsidRDefault="00000000">
      <w:pPr>
        <w:numPr>
          <w:ilvl w:val="4"/>
          <w:numId w:val="12"/>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Monto de la pérdida por deterioro</w:t>
      </w:r>
    </w:p>
    <w:p w14:paraId="06B49C83" w14:textId="77777777" w:rsidR="00A658D0" w:rsidRDefault="00000000">
      <w:pPr>
        <w:numPr>
          <w:ilvl w:val="3"/>
          <w:numId w:val="11"/>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El movimiento de las provisiones constituidas por riesgo de crédito, así como el saldo inicial y final</w:t>
      </w:r>
    </w:p>
    <w:p w14:paraId="06B49C84" w14:textId="77777777" w:rsidR="00A658D0" w:rsidRDefault="00000000">
      <w:pPr>
        <w:numPr>
          <w:ilvl w:val="3"/>
          <w:numId w:val="11"/>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El importe de los ingresos financieros de los activos deteriorados (y vencidos)</w:t>
      </w:r>
    </w:p>
    <w:p w14:paraId="06B49C85" w14:textId="77777777" w:rsidR="00A658D0" w:rsidRDefault="00000000">
      <w:pPr>
        <w:numPr>
          <w:ilvl w:val="3"/>
          <w:numId w:val="11"/>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El importe en libros de los activos financieros deteriorados castigados:</w:t>
      </w:r>
    </w:p>
    <w:p w14:paraId="06B49C86" w14:textId="77777777" w:rsidR="00A658D0" w:rsidRDefault="00000000">
      <w:pPr>
        <w:numPr>
          <w:ilvl w:val="4"/>
          <w:numId w:val="13"/>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Saldo inicial del periodo</w:t>
      </w:r>
    </w:p>
    <w:p w14:paraId="06B49C87" w14:textId="77777777" w:rsidR="00A658D0" w:rsidRDefault="00000000">
      <w:pPr>
        <w:numPr>
          <w:ilvl w:val="4"/>
          <w:numId w:val="13"/>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Adiciones, distinguiendo las recuperaciones de otras causas</w:t>
      </w:r>
    </w:p>
    <w:p w14:paraId="06B49C88" w14:textId="77777777" w:rsidR="00A658D0" w:rsidRDefault="00000000">
      <w:pPr>
        <w:numPr>
          <w:ilvl w:val="4"/>
          <w:numId w:val="13"/>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Recuperaciones, diferenciando las refinanciaciones o restructuraciones, por cobros y adjudicación</w:t>
      </w:r>
    </w:p>
    <w:p w14:paraId="06B49C89" w14:textId="77777777" w:rsidR="00A658D0" w:rsidRDefault="00000000">
      <w:pPr>
        <w:numPr>
          <w:ilvl w:val="4"/>
          <w:numId w:val="13"/>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Bajas, distinguiendo por condonación, prescripción de derechos y otras causas</w:t>
      </w:r>
    </w:p>
    <w:p w14:paraId="06B49C8A" w14:textId="77777777" w:rsidR="00A658D0" w:rsidRDefault="00000000">
      <w:pPr>
        <w:numPr>
          <w:ilvl w:val="3"/>
          <w:numId w:val="11"/>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Para los activos vencidos, pero no deteriorados, y para aquellos cuya evaluación del deterioro es individual:</w:t>
      </w:r>
    </w:p>
    <w:p w14:paraId="06B49C8B" w14:textId="77777777" w:rsidR="00A658D0" w:rsidRDefault="00000000">
      <w:pPr>
        <w:numPr>
          <w:ilvl w:val="4"/>
          <w:numId w:val="14"/>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Descripción de las garantías y mejoras crediticias; y,</w:t>
      </w:r>
    </w:p>
    <w:p w14:paraId="06B49C8C" w14:textId="77777777" w:rsidR="00A658D0" w:rsidRDefault="00000000">
      <w:pPr>
        <w:numPr>
          <w:ilvl w:val="4"/>
          <w:numId w:val="14"/>
        </w:numPr>
        <w:tabs>
          <w:tab w:val="clear" w:pos="4092"/>
          <w:tab w:val="left" w:pos="2381"/>
        </w:tabs>
        <w:ind w:left="2381" w:hanging="340"/>
        <w:jc w:val="both"/>
        <w:rPr>
          <w:rFonts w:ascii="Arial Narrow" w:hAnsi="Arial Narrow" w:cs="Arial"/>
          <w:sz w:val="22"/>
          <w:szCs w:val="22"/>
        </w:rPr>
      </w:pPr>
      <w:r>
        <w:rPr>
          <w:rFonts w:ascii="Arial Narrow" w:hAnsi="Arial Narrow" w:cs="Arial"/>
          <w:sz w:val="22"/>
          <w:szCs w:val="22"/>
        </w:rPr>
        <w:t>Estimación del valor razonable</w:t>
      </w:r>
    </w:p>
    <w:p w14:paraId="06B49C8D" w14:textId="77777777" w:rsidR="00A658D0" w:rsidRDefault="00000000">
      <w:pPr>
        <w:numPr>
          <w:ilvl w:val="1"/>
          <w:numId w:val="10"/>
        </w:numPr>
        <w:tabs>
          <w:tab w:val="clear" w:pos="1752"/>
          <w:tab w:val="left" w:pos="1361"/>
        </w:tabs>
        <w:ind w:left="1361" w:hanging="340"/>
        <w:rPr>
          <w:rFonts w:ascii="Arial Narrow" w:hAnsi="Arial Narrow" w:cs="Arial"/>
          <w:sz w:val="22"/>
          <w:szCs w:val="22"/>
          <w:u w:val="single"/>
        </w:rPr>
      </w:pPr>
      <w:r>
        <w:rPr>
          <w:rFonts w:ascii="Arial Narrow" w:hAnsi="Arial Narrow" w:cs="Arial"/>
          <w:sz w:val="22"/>
          <w:szCs w:val="22"/>
          <w:u w:val="single"/>
        </w:rPr>
        <w:t>Riesgo de liquidez</w:t>
      </w:r>
    </w:p>
    <w:p w14:paraId="06B49C8E"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Se clasificará los pasivos financieros, por plazos de vencimiento, tomando como referencia los períodos residuales a la fecha de los estados financieros, en función a la fecha contractual de su vencimiento.</w:t>
      </w:r>
    </w:p>
    <w:p w14:paraId="06B49C8F" w14:textId="77777777" w:rsidR="00A658D0" w:rsidRDefault="00000000">
      <w:pPr>
        <w:ind w:left="1701"/>
        <w:jc w:val="both"/>
        <w:rPr>
          <w:rFonts w:ascii="Arial Narrow" w:hAnsi="Arial Narrow" w:cs="Arial"/>
          <w:sz w:val="22"/>
          <w:szCs w:val="22"/>
        </w:rPr>
      </w:pPr>
      <w:r>
        <w:rPr>
          <w:rFonts w:ascii="Arial Narrow" w:hAnsi="Arial Narrow" w:cs="Arial"/>
          <w:sz w:val="22"/>
          <w:szCs w:val="22"/>
        </w:rPr>
        <w:t>Para dicho efecto, los plazos a considerar serán:</w:t>
      </w:r>
    </w:p>
    <w:p w14:paraId="06B49C90" w14:textId="77777777" w:rsidR="00A658D0" w:rsidRDefault="00000000">
      <w:pPr>
        <w:numPr>
          <w:ilvl w:val="3"/>
          <w:numId w:val="15"/>
        </w:numPr>
        <w:tabs>
          <w:tab w:val="clear" w:pos="3372"/>
          <w:tab w:val="left" w:pos="1701"/>
          <w:tab w:val="left" w:pos="2127"/>
        </w:tabs>
        <w:ind w:left="2269" w:hanging="1"/>
        <w:jc w:val="both"/>
        <w:rPr>
          <w:rFonts w:ascii="Arial Narrow" w:hAnsi="Arial Narrow" w:cs="Arial"/>
          <w:sz w:val="22"/>
          <w:szCs w:val="22"/>
        </w:rPr>
      </w:pPr>
      <w:r>
        <w:rPr>
          <w:rFonts w:ascii="Arial Narrow" w:hAnsi="Arial Narrow" w:cs="Arial"/>
          <w:sz w:val="22"/>
          <w:szCs w:val="22"/>
        </w:rPr>
        <w:t>Hasta un mes;</w:t>
      </w:r>
    </w:p>
    <w:p w14:paraId="06B49C91" w14:textId="77777777" w:rsidR="00A658D0" w:rsidRDefault="00000000">
      <w:pPr>
        <w:numPr>
          <w:ilvl w:val="3"/>
          <w:numId w:val="15"/>
        </w:numPr>
        <w:tabs>
          <w:tab w:val="clear" w:pos="3372"/>
          <w:tab w:val="left" w:pos="1701"/>
          <w:tab w:val="left" w:pos="2127"/>
        </w:tabs>
        <w:ind w:left="2269" w:hanging="1"/>
        <w:jc w:val="both"/>
        <w:rPr>
          <w:rFonts w:ascii="Arial Narrow" w:hAnsi="Arial Narrow" w:cs="Arial"/>
          <w:sz w:val="22"/>
          <w:szCs w:val="22"/>
        </w:rPr>
      </w:pPr>
      <w:r>
        <w:rPr>
          <w:rFonts w:ascii="Arial Narrow" w:hAnsi="Arial Narrow" w:cs="Arial"/>
          <w:sz w:val="22"/>
          <w:szCs w:val="22"/>
        </w:rPr>
        <w:t>Entre uno y tres meses;</w:t>
      </w:r>
    </w:p>
    <w:p w14:paraId="06B49C92" w14:textId="77777777" w:rsidR="00A658D0" w:rsidRDefault="00000000">
      <w:pPr>
        <w:numPr>
          <w:ilvl w:val="3"/>
          <w:numId w:val="15"/>
        </w:numPr>
        <w:tabs>
          <w:tab w:val="clear" w:pos="3372"/>
          <w:tab w:val="left" w:pos="1701"/>
          <w:tab w:val="left" w:pos="2127"/>
        </w:tabs>
        <w:ind w:left="2269" w:hanging="1"/>
        <w:jc w:val="both"/>
        <w:rPr>
          <w:rFonts w:ascii="Arial Narrow" w:hAnsi="Arial Narrow" w:cs="Arial"/>
          <w:sz w:val="22"/>
          <w:szCs w:val="22"/>
        </w:rPr>
      </w:pPr>
      <w:r>
        <w:rPr>
          <w:rFonts w:ascii="Arial Narrow" w:hAnsi="Arial Narrow" w:cs="Arial"/>
          <w:sz w:val="22"/>
          <w:szCs w:val="22"/>
        </w:rPr>
        <w:t>Entre tres y un año;</w:t>
      </w:r>
    </w:p>
    <w:p w14:paraId="06B49C93" w14:textId="77777777" w:rsidR="00A658D0" w:rsidRDefault="00000000">
      <w:pPr>
        <w:numPr>
          <w:ilvl w:val="3"/>
          <w:numId w:val="15"/>
        </w:numPr>
        <w:tabs>
          <w:tab w:val="clear" w:pos="3372"/>
          <w:tab w:val="left" w:pos="1701"/>
          <w:tab w:val="left" w:pos="2127"/>
        </w:tabs>
        <w:ind w:left="2269" w:hanging="1"/>
        <w:jc w:val="both"/>
        <w:rPr>
          <w:rFonts w:ascii="Arial Narrow" w:hAnsi="Arial Narrow" w:cs="Arial"/>
          <w:sz w:val="22"/>
          <w:szCs w:val="22"/>
        </w:rPr>
      </w:pPr>
      <w:r>
        <w:rPr>
          <w:rFonts w:ascii="Arial Narrow" w:hAnsi="Arial Narrow" w:cs="Arial"/>
          <w:sz w:val="22"/>
          <w:szCs w:val="22"/>
        </w:rPr>
        <w:t>Entre uno y cinco años;</w:t>
      </w:r>
    </w:p>
    <w:p w14:paraId="06B49C94" w14:textId="77777777" w:rsidR="00A658D0" w:rsidRDefault="00000000">
      <w:pPr>
        <w:numPr>
          <w:ilvl w:val="3"/>
          <w:numId w:val="15"/>
        </w:numPr>
        <w:tabs>
          <w:tab w:val="clear" w:pos="3372"/>
          <w:tab w:val="left" w:pos="1701"/>
          <w:tab w:val="left" w:pos="2127"/>
        </w:tabs>
        <w:ind w:left="2269" w:hanging="1"/>
        <w:jc w:val="both"/>
        <w:rPr>
          <w:rFonts w:ascii="Arial Narrow" w:hAnsi="Arial Narrow" w:cs="Arial"/>
          <w:sz w:val="22"/>
          <w:szCs w:val="22"/>
        </w:rPr>
      </w:pPr>
      <w:r>
        <w:rPr>
          <w:rFonts w:ascii="Arial Narrow" w:hAnsi="Arial Narrow" w:cs="Arial"/>
          <w:sz w:val="22"/>
          <w:szCs w:val="22"/>
        </w:rPr>
        <w:t>Más de cinco años.</w:t>
      </w:r>
    </w:p>
    <w:p w14:paraId="06B49C95" w14:textId="77777777" w:rsidR="00A658D0" w:rsidRDefault="00000000">
      <w:pPr>
        <w:ind w:left="1701"/>
        <w:jc w:val="both"/>
        <w:rPr>
          <w:rFonts w:ascii="Arial Narrow" w:hAnsi="Arial Narrow" w:cs="Arial"/>
          <w:sz w:val="22"/>
          <w:szCs w:val="22"/>
        </w:rPr>
      </w:pPr>
      <w:r>
        <w:rPr>
          <w:rFonts w:ascii="Arial Narrow" w:hAnsi="Arial Narrow" w:cs="Arial"/>
          <w:sz w:val="22"/>
          <w:szCs w:val="22"/>
        </w:rPr>
        <w:t>Los montos deben corresponder a los montos nominales pactados sin descontar, pudiendo diferir del valor presentado en el estado de situación financiera.</w:t>
      </w:r>
    </w:p>
    <w:p w14:paraId="06B49C96" w14:textId="77777777" w:rsidR="00A658D0" w:rsidRDefault="00000000">
      <w:pPr>
        <w:ind w:left="1701"/>
        <w:jc w:val="both"/>
        <w:rPr>
          <w:rFonts w:ascii="Arial Narrow" w:hAnsi="Arial Narrow" w:cs="Arial"/>
          <w:sz w:val="22"/>
          <w:szCs w:val="22"/>
        </w:rPr>
      </w:pPr>
      <w:r>
        <w:rPr>
          <w:rFonts w:ascii="Arial Narrow" w:hAnsi="Arial Narrow" w:cs="Arial"/>
          <w:sz w:val="22"/>
          <w:szCs w:val="22"/>
        </w:rPr>
        <w:t>Si los montos son variables, se deberá presentar teniendo como referencia la información disponible a la fecha de los estados financieros.</w:t>
      </w:r>
    </w:p>
    <w:p w14:paraId="06B49C97"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Se deberá describir cómo se gestiona el riesgo de liquidez. Si la entidad gestiona en base a los vencimientos esperados de los instrumentos financieros, se incluirá un análisis de los vencimientos esperados de los activos y pasivos financieros e informará como realiza dichas estimaciones y si es que hay diferencias con los plazos contractuales.</w:t>
      </w:r>
    </w:p>
    <w:p w14:paraId="06B49C98" w14:textId="77777777" w:rsidR="00A658D0" w:rsidRDefault="00000000">
      <w:pPr>
        <w:numPr>
          <w:ilvl w:val="1"/>
          <w:numId w:val="10"/>
        </w:numPr>
        <w:tabs>
          <w:tab w:val="clear" w:pos="1752"/>
          <w:tab w:val="left" w:pos="1361"/>
        </w:tabs>
        <w:ind w:left="1361" w:hanging="340"/>
        <w:rPr>
          <w:rFonts w:ascii="Arial Narrow" w:hAnsi="Arial Narrow" w:cs="Arial"/>
          <w:sz w:val="22"/>
          <w:szCs w:val="22"/>
          <w:u w:val="single"/>
        </w:rPr>
      </w:pPr>
      <w:r>
        <w:rPr>
          <w:rFonts w:ascii="Arial Narrow" w:hAnsi="Arial Narrow" w:cs="Arial"/>
          <w:sz w:val="22"/>
          <w:szCs w:val="22"/>
          <w:u w:val="single"/>
        </w:rPr>
        <w:t>Riesgo de mercado</w:t>
      </w:r>
    </w:p>
    <w:p w14:paraId="06B49C99"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lastRenderedPageBreak/>
        <w:t>Se incluirá un análisis de sensibilidad para cada tipo de riesgo de mercado al que está expuesta, y los efectos que tendría en el patrimonio neto y en el resultado del ejercicio, por cada variable de riesgo relevante, como es tipo de cambio, tasa de interés, precios de instrumentos de capital, entre otras. Asimismo, se deberá revelar los métodos e hipótesis sobre las cuales se ha preparado dicha información, y si han surgido cambios respecto al ejercicio anterior, y las razones de dichos cambios.</w:t>
      </w:r>
    </w:p>
    <w:p w14:paraId="06B49C9A"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La empresa deberá facilitar un análisis de sensibilidad para la totalidad de su negocio, pero puede suministrar diferentes tipos de análisis para las distintas clases de instrumentos financieros.</w:t>
      </w:r>
    </w:p>
    <w:p w14:paraId="06B49C9B"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En caso la empresa prepare un análisis de sensibilidad, tal como el valor en riesgo, que refleje las interdependencias entre las variables de riesgo y lo utiliza para gestionar los riesgos financieros, puede revelar este análisis en lugar de lo señalado en los incisos (1) y (2) anteriores, en cuyo caso adicionalmente deberá revelar:</w:t>
      </w:r>
    </w:p>
    <w:p w14:paraId="06B49C9C" w14:textId="77777777" w:rsidR="00A658D0" w:rsidRDefault="00000000">
      <w:pPr>
        <w:numPr>
          <w:ilvl w:val="3"/>
          <w:numId w:val="16"/>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Una explicación del método utilizado para elaborar el análisis de sensibilidad, incluyendo información sobre todas las hipótesis y parámetros relevantes que se han tomado;</w:t>
      </w:r>
    </w:p>
    <w:p w14:paraId="06B49C9D" w14:textId="77777777" w:rsidR="00A658D0" w:rsidRDefault="00000000">
      <w:pPr>
        <w:numPr>
          <w:ilvl w:val="3"/>
          <w:numId w:val="16"/>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 xml:space="preserve">Una explicación del objetivo del método empleado, así como las limitaciones </w:t>
      </w:r>
      <w:proofErr w:type="gramStart"/>
      <w:r>
        <w:rPr>
          <w:rFonts w:ascii="Arial Narrow" w:hAnsi="Arial Narrow" w:cs="Arial"/>
          <w:sz w:val="22"/>
          <w:szCs w:val="22"/>
        </w:rPr>
        <w:t>del mismo</w:t>
      </w:r>
      <w:proofErr w:type="gramEnd"/>
      <w:r>
        <w:rPr>
          <w:rFonts w:ascii="Arial Narrow" w:hAnsi="Arial Narrow" w:cs="Arial"/>
          <w:sz w:val="22"/>
          <w:szCs w:val="22"/>
        </w:rPr>
        <w:t xml:space="preserve"> que hicieran hacer que la información no refleja plenamente el valor razonable de los activos y pasivos financieros en cuestión;</w:t>
      </w:r>
    </w:p>
    <w:p w14:paraId="06B49C9E" w14:textId="77777777" w:rsidR="00A658D0" w:rsidRDefault="00000000">
      <w:pPr>
        <w:numPr>
          <w:ilvl w:val="3"/>
          <w:numId w:val="16"/>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Una descripción de los instrumentos financieros cuyos riesgos de mercado se gestionan utilizando el análisis del VaR.</w:t>
      </w:r>
    </w:p>
    <w:p w14:paraId="06B49C9F" w14:textId="77777777" w:rsidR="00A658D0" w:rsidRDefault="00000000">
      <w:pPr>
        <w:numPr>
          <w:ilvl w:val="2"/>
          <w:numId w:val="10"/>
        </w:numPr>
        <w:tabs>
          <w:tab w:val="clear" w:pos="2652"/>
          <w:tab w:val="left" w:pos="1701"/>
        </w:tabs>
        <w:ind w:left="1701" w:hanging="340"/>
        <w:jc w:val="both"/>
        <w:rPr>
          <w:rFonts w:ascii="Arial Narrow" w:hAnsi="Arial Narrow" w:cs="Arial"/>
          <w:sz w:val="22"/>
          <w:szCs w:val="22"/>
        </w:rPr>
      </w:pPr>
      <w:r>
        <w:rPr>
          <w:rFonts w:ascii="Arial Narrow" w:hAnsi="Arial Narrow" w:cs="Arial"/>
          <w:sz w:val="22"/>
          <w:szCs w:val="22"/>
        </w:rPr>
        <w:t xml:space="preserve">Cuando los análisis de sensibilidad revelados </w:t>
      </w:r>
      <w:proofErr w:type="gramStart"/>
      <w:r>
        <w:rPr>
          <w:rFonts w:ascii="Arial Narrow" w:hAnsi="Arial Narrow" w:cs="Arial"/>
          <w:sz w:val="22"/>
          <w:szCs w:val="22"/>
        </w:rPr>
        <w:t>de acuerdo a</w:t>
      </w:r>
      <w:proofErr w:type="gramEnd"/>
      <w:r>
        <w:rPr>
          <w:rFonts w:ascii="Arial Narrow" w:hAnsi="Arial Narrow" w:cs="Arial"/>
          <w:sz w:val="22"/>
          <w:szCs w:val="22"/>
        </w:rPr>
        <w:t xml:space="preserve"> los numerales (1), (2) y (3) anteriores, no fuesen representativos del riesgo inherente a un instrumento financiero, la empresa informará este hecho, así como la razón por la que dichos análisis carecen de representatividad.  Esto podría ocurrir cuando:</w:t>
      </w:r>
    </w:p>
    <w:p w14:paraId="06B49CA0" w14:textId="77777777" w:rsidR="00A658D0" w:rsidRDefault="00000000">
      <w:pPr>
        <w:numPr>
          <w:ilvl w:val="3"/>
          <w:numId w:val="17"/>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Un instrumento financiero contiene plazos y condiciones, cuyos efectos no se evidencian a partir del análisis de sensibilidad practicado.</w:t>
      </w:r>
    </w:p>
    <w:p w14:paraId="06B49CA1" w14:textId="77777777" w:rsidR="00A658D0" w:rsidRDefault="00000000">
      <w:pPr>
        <w:numPr>
          <w:ilvl w:val="3"/>
          <w:numId w:val="17"/>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Los activos financieros son pocos líquidos.</w:t>
      </w:r>
    </w:p>
    <w:p w14:paraId="06B49CA2" w14:textId="77777777" w:rsidR="00A658D0" w:rsidRDefault="00000000">
      <w:pPr>
        <w:numPr>
          <w:ilvl w:val="3"/>
          <w:numId w:val="17"/>
        </w:numPr>
        <w:tabs>
          <w:tab w:val="clear" w:pos="3372"/>
          <w:tab w:val="left" w:pos="2041"/>
        </w:tabs>
        <w:ind w:left="2041" w:hanging="340"/>
        <w:jc w:val="both"/>
        <w:rPr>
          <w:rFonts w:ascii="Arial Narrow" w:hAnsi="Arial Narrow" w:cs="Arial"/>
          <w:sz w:val="22"/>
          <w:szCs w:val="22"/>
        </w:rPr>
      </w:pPr>
      <w:r>
        <w:rPr>
          <w:rFonts w:ascii="Arial Narrow" w:hAnsi="Arial Narrow" w:cs="Arial"/>
          <w:sz w:val="22"/>
          <w:szCs w:val="22"/>
        </w:rPr>
        <w:t>Los activos financieros en los que la entidad tenga una participación tan relevante que, si la vendiera en su totalidad, lo realizaría con una prima o descuento respecto al precio cotizado para una participación menor.</w:t>
      </w:r>
    </w:p>
    <w:p w14:paraId="06B49CA3"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Concentraciones de riesgo</w:t>
      </w:r>
    </w:p>
    <w:p w14:paraId="06B49CA4" w14:textId="77777777" w:rsidR="00A658D0" w:rsidRDefault="00000000">
      <w:pPr>
        <w:ind w:left="1021"/>
        <w:jc w:val="both"/>
        <w:rPr>
          <w:rFonts w:ascii="Arial Narrow" w:hAnsi="Arial Narrow" w:cs="Arial"/>
          <w:sz w:val="22"/>
          <w:szCs w:val="22"/>
        </w:rPr>
      </w:pPr>
      <w:r>
        <w:rPr>
          <w:rFonts w:ascii="Arial Narrow" w:hAnsi="Arial Narrow" w:cs="Arial"/>
          <w:sz w:val="22"/>
          <w:szCs w:val="22"/>
        </w:rPr>
        <w:t>Se revelará información sobre las concentraciones de riesgos de los instrumentos financieros que tengan características similares y que se puedan ver afectados de manera similar por cambios económicos o de otro tipo.  Para dicho efecto se incluirá:</w:t>
      </w:r>
    </w:p>
    <w:p w14:paraId="06B49CA5" w14:textId="77777777" w:rsidR="00A658D0" w:rsidRDefault="00000000">
      <w:pPr>
        <w:numPr>
          <w:ilvl w:val="1"/>
          <w:numId w:val="18"/>
        </w:numPr>
        <w:tabs>
          <w:tab w:val="clear" w:pos="1752"/>
          <w:tab w:val="left" w:pos="1361"/>
        </w:tabs>
        <w:ind w:left="1361" w:hanging="340"/>
        <w:jc w:val="both"/>
        <w:rPr>
          <w:rFonts w:ascii="Arial Narrow" w:hAnsi="Arial Narrow" w:cs="Arial"/>
          <w:sz w:val="22"/>
          <w:szCs w:val="22"/>
        </w:rPr>
      </w:pPr>
      <w:r>
        <w:rPr>
          <w:rFonts w:ascii="Arial Narrow" w:hAnsi="Arial Narrow" w:cs="Arial"/>
          <w:sz w:val="22"/>
          <w:szCs w:val="22"/>
        </w:rPr>
        <w:t>Una descripción de la forma de determinar concentraciones de riesgos y los importes de cada una de las mismas.</w:t>
      </w:r>
    </w:p>
    <w:p w14:paraId="06B49CA6" w14:textId="77777777" w:rsidR="00A658D0" w:rsidRDefault="00000000">
      <w:pPr>
        <w:numPr>
          <w:ilvl w:val="1"/>
          <w:numId w:val="18"/>
        </w:numPr>
        <w:tabs>
          <w:tab w:val="clear" w:pos="1752"/>
          <w:tab w:val="left" w:pos="1361"/>
        </w:tabs>
        <w:ind w:left="1361" w:hanging="340"/>
        <w:jc w:val="both"/>
        <w:rPr>
          <w:rFonts w:ascii="Arial Narrow" w:hAnsi="Arial Narrow" w:cs="Arial"/>
          <w:sz w:val="22"/>
          <w:szCs w:val="22"/>
        </w:rPr>
      </w:pPr>
      <w:r>
        <w:rPr>
          <w:rFonts w:ascii="Arial Narrow" w:hAnsi="Arial Narrow" w:cs="Arial"/>
          <w:sz w:val="22"/>
          <w:szCs w:val="22"/>
        </w:rPr>
        <w:t xml:space="preserve">Las características que identifican a cada concentración, tales como: áreas geográficas, tipos de contraparte, calidad crediticia, moneda, así como otras formas de concentración de riesgos.  Se adjunta en el </w:t>
      </w:r>
      <w:r>
        <w:rPr>
          <w:rFonts w:ascii="Arial Narrow" w:hAnsi="Arial Narrow" w:cs="Arial"/>
          <w:sz w:val="22"/>
          <w:szCs w:val="22"/>
          <w:u w:val="single"/>
        </w:rPr>
        <w:t>Anexo 2</w:t>
      </w:r>
      <w:r>
        <w:rPr>
          <w:rFonts w:ascii="Arial Narrow" w:hAnsi="Arial Narrow" w:cs="Arial"/>
          <w:sz w:val="22"/>
          <w:szCs w:val="22"/>
        </w:rPr>
        <w:t xml:space="preserve"> el modelo de formato que como referencia podrán utilizar las empresas para la revelación de la información.</w:t>
      </w:r>
    </w:p>
    <w:p w14:paraId="06B49CA7"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Valor razonable</w:t>
      </w:r>
    </w:p>
    <w:p w14:paraId="06B49CA8" w14:textId="77777777" w:rsidR="00A658D0" w:rsidRDefault="00000000">
      <w:pPr>
        <w:numPr>
          <w:ilvl w:val="1"/>
          <w:numId w:val="19"/>
        </w:numPr>
        <w:ind w:left="1361" w:hanging="340"/>
        <w:jc w:val="both"/>
        <w:rPr>
          <w:rFonts w:ascii="Arial Narrow" w:hAnsi="Arial Narrow" w:cs="Arial"/>
          <w:sz w:val="22"/>
          <w:szCs w:val="22"/>
        </w:rPr>
      </w:pPr>
      <w:r>
        <w:rPr>
          <w:rFonts w:ascii="Arial Narrow" w:hAnsi="Arial Narrow" w:cs="Arial"/>
          <w:sz w:val="22"/>
          <w:szCs w:val="22"/>
        </w:rPr>
        <w:t>Se debe revelar el valor razonable de los instrumentos financieros, independientemente si para efectos contables se valoran a dicho valor.</w:t>
      </w:r>
    </w:p>
    <w:p w14:paraId="06B49CA9" w14:textId="77777777" w:rsidR="00A658D0" w:rsidRDefault="00000000">
      <w:pPr>
        <w:numPr>
          <w:ilvl w:val="1"/>
          <w:numId w:val="19"/>
        </w:numPr>
        <w:ind w:left="1361" w:hanging="340"/>
        <w:jc w:val="both"/>
        <w:rPr>
          <w:rFonts w:ascii="Arial Narrow" w:hAnsi="Arial Narrow" w:cs="Arial"/>
          <w:sz w:val="22"/>
          <w:szCs w:val="22"/>
        </w:rPr>
      </w:pPr>
      <w:r>
        <w:rPr>
          <w:rFonts w:ascii="Arial Narrow" w:hAnsi="Arial Narrow" w:cs="Arial"/>
          <w:sz w:val="22"/>
          <w:szCs w:val="22"/>
        </w:rPr>
        <w:t>Métodos de valoración del valor razonable</w:t>
      </w:r>
    </w:p>
    <w:p w14:paraId="06B49CAA" w14:textId="77777777" w:rsidR="00A658D0" w:rsidRDefault="00000000">
      <w:pPr>
        <w:tabs>
          <w:tab w:val="left" w:pos="1701"/>
          <w:tab w:val="left" w:pos="1843"/>
        </w:tabs>
        <w:ind w:left="1701"/>
        <w:jc w:val="both"/>
        <w:rPr>
          <w:rFonts w:ascii="Arial Narrow" w:hAnsi="Arial Narrow" w:cs="Arial"/>
          <w:sz w:val="22"/>
          <w:szCs w:val="22"/>
        </w:rPr>
      </w:pPr>
      <w:r>
        <w:rPr>
          <w:rFonts w:ascii="Arial Narrow" w:hAnsi="Arial Narrow" w:cs="Arial"/>
          <w:sz w:val="22"/>
          <w:szCs w:val="22"/>
        </w:rPr>
        <w:t xml:space="preserve">Se señalará los distintos niveles de jerarquía usados en la determinación del valor razonable.  Para ello la entidad clasificará las mediciones a valor razonable realizadas utilizando una jerarquía de valor que refleje la relevancia de las </w:t>
      </w:r>
      <w:r>
        <w:rPr>
          <w:rFonts w:ascii="Arial Narrow" w:hAnsi="Arial Narrow" w:cs="Arial"/>
          <w:sz w:val="22"/>
          <w:szCs w:val="22"/>
        </w:rPr>
        <w:lastRenderedPageBreak/>
        <w:t>variables utilizadas para llevar a cabo dichas mediciones.  La jerarquía de valor razonable tendrá los siguientes niveles:</w:t>
      </w:r>
    </w:p>
    <w:p w14:paraId="06B49CAB" w14:textId="77777777" w:rsidR="00A658D0" w:rsidRDefault="00000000">
      <w:pPr>
        <w:numPr>
          <w:ilvl w:val="3"/>
          <w:numId w:val="20"/>
        </w:numPr>
        <w:tabs>
          <w:tab w:val="left" w:pos="1843"/>
        </w:tabs>
        <w:ind w:left="1985" w:hanging="284"/>
        <w:jc w:val="both"/>
        <w:rPr>
          <w:rFonts w:ascii="Arial Narrow" w:hAnsi="Arial Narrow" w:cs="Arial"/>
          <w:sz w:val="22"/>
          <w:szCs w:val="22"/>
        </w:rPr>
      </w:pPr>
      <w:r>
        <w:rPr>
          <w:rFonts w:ascii="Arial Narrow" w:hAnsi="Arial Narrow" w:cs="Arial"/>
          <w:sz w:val="22"/>
          <w:szCs w:val="22"/>
          <w:lang w:val="es-MX"/>
        </w:rPr>
        <w:t xml:space="preserve">Nivel 1: comprende los instrumentos cotizados en mercados activos, descritos en el enciso a) y b) del artículo 11 del Reglamento de Clasificación y Valorización de las inversiones; </w:t>
      </w:r>
    </w:p>
    <w:p w14:paraId="06B49CAC" w14:textId="77777777" w:rsidR="00A658D0" w:rsidRDefault="00000000">
      <w:pPr>
        <w:numPr>
          <w:ilvl w:val="3"/>
          <w:numId w:val="20"/>
        </w:numPr>
        <w:tabs>
          <w:tab w:val="left" w:pos="1843"/>
        </w:tabs>
        <w:ind w:left="1985" w:hanging="284"/>
        <w:jc w:val="both"/>
        <w:rPr>
          <w:rFonts w:ascii="Arial Narrow" w:hAnsi="Arial Narrow" w:cs="Arial"/>
          <w:sz w:val="22"/>
          <w:szCs w:val="22"/>
        </w:rPr>
      </w:pPr>
      <w:r>
        <w:rPr>
          <w:rFonts w:ascii="Arial Narrow" w:hAnsi="Arial Narrow" w:cs="Arial"/>
          <w:sz w:val="22"/>
          <w:szCs w:val="22"/>
          <w:lang w:val="es-MX"/>
        </w:rPr>
        <w:t>Nivel 2: comprende los instrumentos cotizados en mercados no activos, descritos en el enciso c) del artículo 11 del Reglamento de Clasificación y Valorización de las inversiones; y</w:t>
      </w:r>
    </w:p>
    <w:p w14:paraId="06B49CAD" w14:textId="77777777" w:rsidR="00A658D0" w:rsidRDefault="00000000">
      <w:pPr>
        <w:numPr>
          <w:ilvl w:val="3"/>
          <w:numId w:val="20"/>
        </w:numPr>
        <w:tabs>
          <w:tab w:val="left" w:pos="1985"/>
        </w:tabs>
        <w:ind w:left="1985" w:hanging="284"/>
        <w:jc w:val="both"/>
        <w:rPr>
          <w:rFonts w:ascii="Arial Narrow" w:hAnsi="Arial Narrow" w:cs="Arial"/>
          <w:sz w:val="22"/>
          <w:szCs w:val="22"/>
        </w:rPr>
      </w:pPr>
      <w:r>
        <w:rPr>
          <w:rFonts w:ascii="Arial Narrow" w:hAnsi="Arial Narrow" w:cs="Arial"/>
          <w:sz w:val="22"/>
          <w:szCs w:val="22"/>
          <w:lang w:val="es-MX"/>
        </w:rPr>
        <w:t xml:space="preserve">Nivel 3: comprende los instrumentos no cotizados descritos en el enciso d) del artículo 11 del Reglamento de Clasificación y Valorización de las inversiones. </w:t>
      </w:r>
    </w:p>
    <w:p w14:paraId="06B49CAE" w14:textId="77777777" w:rsidR="00A658D0" w:rsidRDefault="00000000">
      <w:pPr>
        <w:numPr>
          <w:ilvl w:val="1"/>
          <w:numId w:val="19"/>
        </w:numPr>
        <w:ind w:left="1361" w:hanging="340"/>
        <w:jc w:val="both"/>
        <w:rPr>
          <w:rFonts w:ascii="Arial Narrow" w:hAnsi="Arial Narrow" w:cs="Arial"/>
          <w:sz w:val="22"/>
          <w:szCs w:val="22"/>
        </w:rPr>
      </w:pPr>
      <w:r>
        <w:rPr>
          <w:rFonts w:ascii="Arial Narrow" w:hAnsi="Arial Narrow" w:cs="Arial"/>
          <w:sz w:val="22"/>
          <w:szCs w:val="22"/>
        </w:rPr>
        <w:t>Metodologías y supuestos empleados para determinar el valor razonable.</w:t>
      </w:r>
    </w:p>
    <w:p w14:paraId="06B49CAF" w14:textId="77777777" w:rsidR="00A658D0" w:rsidRDefault="00000000">
      <w:pPr>
        <w:numPr>
          <w:ilvl w:val="1"/>
          <w:numId w:val="19"/>
        </w:numPr>
        <w:ind w:left="1361" w:hanging="340"/>
        <w:jc w:val="both"/>
        <w:rPr>
          <w:rFonts w:ascii="Arial Narrow" w:hAnsi="Arial Narrow" w:cs="Arial"/>
          <w:sz w:val="22"/>
          <w:szCs w:val="22"/>
        </w:rPr>
      </w:pPr>
      <w:r>
        <w:rPr>
          <w:rFonts w:ascii="Arial Narrow" w:hAnsi="Arial Narrow" w:cs="Arial"/>
          <w:sz w:val="22"/>
          <w:szCs w:val="22"/>
        </w:rPr>
        <w:t>Se informará para cada clase de activos y pasivos financieros, los métodos y, cuando utilice una técnica de medición, los modelos y asunciones significativas empleadas para la determinación del valor razonable, señalando adicionalmente si incluyen datos totalmente observables del mercado, o parcialmente, o no apoyados en datos observables.</w:t>
      </w:r>
    </w:p>
    <w:p w14:paraId="06B49CB0" w14:textId="77777777" w:rsidR="00A658D0" w:rsidRDefault="00000000">
      <w:pPr>
        <w:numPr>
          <w:ilvl w:val="1"/>
          <w:numId w:val="19"/>
        </w:numPr>
        <w:ind w:left="1361" w:hanging="340"/>
        <w:jc w:val="both"/>
        <w:rPr>
          <w:rFonts w:ascii="Arial Narrow" w:hAnsi="Arial Narrow" w:cs="Arial"/>
          <w:sz w:val="22"/>
          <w:szCs w:val="22"/>
        </w:rPr>
      </w:pPr>
      <w:r>
        <w:rPr>
          <w:rFonts w:ascii="Arial Narrow" w:hAnsi="Arial Narrow" w:cs="Arial"/>
          <w:sz w:val="22"/>
          <w:szCs w:val="22"/>
        </w:rPr>
        <w:t>Se revelarán los activos cuyo importe en libros es similar al valor razonable, explicando dicha conclusión.</w:t>
      </w:r>
    </w:p>
    <w:p w14:paraId="06B49CB1" w14:textId="77777777" w:rsidR="00A658D0" w:rsidRDefault="00000000">
      <w:pPr>
        <w:numPr>
          <w:ilvl w:val="1"/>
          <w:numId w:val="19"/>
        </w:numPr>
        <w:ind w:left="1361" w:hanging="340"/>
        <w:jc w:val="both"/>
        <w:rPr>
          <w:rFonts w:ascii="Arial Narrow" w:hAnsi="Arial Narrow" w:cs="Arial"/>
          <w:sz w:val="22"/>
          <w:szCs w:val="22"/>
        </w:rPr>
      </w:pPr>
      <w:r>
        <w:rPr>
          <w:rFonts w:ascii="Arial Narrow" w:hAnsi="Arial Narrow" w:cs="Arial"/>
          <w:sz w:val="22"/>
          <w:szCs w:val="22"/>
        </w:rPr>
        <w:t>En los activos disponibles para la venta, se deberá revelar el importe de cualquier ganancia o pérdida reconocida en el patrimonio neto durante el ejercicio, y el importe que ha sido transferido del patrimonio y reconocido como resultados del ejercicio.</w:t>
      </w:r>
    </w:p>
    <w:p w14:paraId="06B49CB2" w14:textId="77777777" w:rsidR="00A658D0" w:rsidRDefault="00000000">
      <w:pPr>
        <w:ind w:left="1021"/>
        <w:jc w:val="both"/>
        <w:rPr>
          <w:rFonts w:ascii="Arial Narrow" w:hAnsi="Arial Narrow" w:cs="Arial"/>
          <w:sz w:val="22"/>
          <w:szCs w:val="22"/>
        </w:rPr>
      </w:pPr>
      <w:r>
        <w:rPr>
          <w:rFonts w:ascii="Arial Narrow" w:hAnsi="Arial Narrow" w:cs="Arial"/>
          <w:sz w:val="22"/>
          <w:szCs w:val="22"/>
        </w:rPr>
        <w:t xml:space="preserve">En el </w:t>
      </w:r>
      <w:r>
        <w:rPr>
          <w:rFonts w:ascii="Arial Narrow" w:hAnsi="Arial Narrow" w:cs="Arial"/>
          <w:sz w:val="22"/>
          <w:szCs w:val="22"/>
          <w:u w:val="single"/>
        </w:rPr>
        <w:t>anexo 3</w:t>
      </w:r>
      <w:r>
        <w:rPr>
          <w:rFonts w:ascii="Arial Narrow" w:hAnsi="Arial Narrow" w:cs="Arial"/>
          <w:sz w:val="22"/>
          <w:szCs w:val="22"/>
        </w:rPr>
        <w:t xml:space="preserve"> se adjunta modelo de formato que como referencia las empresas podrán utilizar para la revelación de la información.</w:t>
      </w:r>
    </w:p>
    <w:p w14:paraId="06B49CB3"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Instrumentos financieros compuestos con derivados implícitos</w:t>
      </w:r>
    </w:p>
    <w:p w14:paraId="06B49CB4" w14:textId="77777777" w:rsidR="00A658D0" w:rsidRDefault="00000000">
      <w:pPr>
        <w:ind w:left="1021"/>
        <w:jc w:val="both"/>
        <w:rPr>
          <w:rFonts w:ascii="Arial Narrow" w:hAnsi="Arial Narrow" w:cs="Arial"/>
          <w:sz w:val="22"/>
          <w:szCs w:val="22"/>
        </w:rPr>
      </w:pPr>
      <w:r>
        <w:rPr>
          <w:rFonts w:ascii="Arial Narrow" w:hAnsi="Arial Narrow" w:cs="Arial"/>
          <w:sz w:val="22"/>
          <w:szCs w:val="22"/>
        </w:rPr>
        <w:t>Se revelará las características de la emisión de instrumentos financieros compuestos que incorpore derivados implícitos, cuyos valores son interdependientes, tales como la emisión de un bono convertible con opción de compra a favor de la empresa emisora.</w:t>
      </w:r>
    </w:p>
    <w:p w14:paraId="06B49CB5"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Operaciones de cobertura</w:t>
      </w:r>
    </w:p>
    <w:p w14:paraId="06B49CB6" w14:textId="77777777" w:rsidR="00A658D0" w:rsidRDefault="00000000">
      <w:pPr>
        <w:numPr>
          <w:ilvl w:val="1"/>
          <w:numId w:val="21"/>
        </w:numPr>
        <w:tabs>
          <w:tab w:val="clear" w:pos="1752"/>
        </w:tabs>
        <w:ind w:left="1361" w:hanging="340"/>
        <w:jc w:val="both"/>
        <w:rPr>
          <w:rFonts w:ascii="Arial Narrow" w:hAnsi="Arial Narrow" w:cs="Arial"/>
          <w:sz w:val="22"/>
          <w:szCs w:val="22"/>
        </w:rPr>
      </w:pPr>
      <w:r>
        <w:rPr>
          <w:rFonts w:ascii="Arial Narrow" w:hAnsi="Arial Narrow" w:cs="Arial"/>
          <w:sz w:val="22"/>
          <w:szCs w:val="22"/>
        </w:rPr>
        <w:t>Se revelará en forma desagregada los instrumentos financieros derivados que se han contratado con propósitos de cobertura.</w:t>
      </w:r>
    </w:p>
    <w:p w14:paraId="06B49CB7" w14:textId="77777777" w:rsidR="00A658D0" w:rsidRDefault="00000000">
      <w:pPr>
        <w:ind w:left="1361"/>
        <w:jc w:val="both"/>
        <w:rPr>
          <w:rFonts w:ascii="Arial Narrow" w:hAnsi="Arial Narrow" w:cs="Arial"/>
          <w:sz w:val="22"/>
          <w:szCs w:val="22"/>
        </w:rPr>
      </w:pPr>
      <w:r>
        <w:rPr>
          <w:rFonts w:ascii="Arial Narrow" w:hAnsi="Arial Narrow" w:cs="Arial"/>
          <w:sz w:val="22"/>
          <w:szCs w:val="22"/>
        </w:rPr>
        <w:t>Se desglosará asimismo los tipos de cobertura:</w:t>
      </w:r>
    </w:p>
    <w:p w14:paraId="06B49CB8" w14:textId="77777777" w:rsidR="00A658D0" w:rsidRDefault="00000000">
      <w:pPr>
        <w:numPr>
          <w:ilvl w:val="0"/>
          <w:numId w:val="22"/>
        </w:numPr>
        <w:ind w:left="1701" w:hanging="340"/>
        <w:jc w:val="both"/>
        <w:rPr>
          <w:rFonts w:ascii="Arial Narrow" w:hAnsi="Arial Narrow" w:cs="Arial"/>
          <w:sz w:val="22"/>
          <w:szCs w:val="22"/>
        </w:rPr>
      </w:pPr>
      <w:r>
        <w:rPr>
          <w:rFonts w:ascii="Arial Narrow" w:hAnsi="Arial Narrow" w:cs="Arial"/>
          <w:sz w:val="22"/>
          <w:szCs w:val="22"/>
        </w:rPr>
        <w:t>Valor razonable</w:t>
      </w:r>
    </w:p>
    <w:p w14:paraId="06B49CB9" w14:textId="77777777" w:rsidR="00A658D0" w:rsidRDefault="00000000">
      <w:pPr>
        <w:numPr>
          <w:ilvl w:val="0"/>
          <w:numId w:val="22"/>
        </w:numPr>
        <w:ind w:left="1701" w:hanging="340"/>
        <w:jc w:val="both"/>
        <w:rPr>
          <w:rFonts w:ascii="Arial Narrow" w:hAnsi="Arial Narrow" w:cs="Arial"/>
          <w:sz w:val="22"/>
          <w:szCs w:val="22"/>
        </w:rPr>
      </w:pPr>
      <w:r>
        <w:rPr>
          <w:rFonts w:ascii="Arial Narrow" w:hAnsi="Arial Narrow" w:cs="Arial"/>
          <w:sz w:val="22"/>
          <w:szCs w:val="22"/>
        </w:rPr>
        <w:t>Flujos de efectivo</w:t>
      </w:r>
    </w:p>
    <w:p w14:paraId="06B49CBA" w14:textId="77777777" w:rsidR="00A658D0" w:rsidRDefault="00000000">
      <w:pPr>
        <w:numPr>
          <w:ilvl w:val="0"/>
          <w:numId w:val="22"/>
        </w:numPr>
        <w:ind w:left="1701" w:hanging="340"/>
        <w:jc w:val="both"/>
        <w:rPr>
          <w:rFonts w:ascii="Arial Narrow" w:hAnsi="Arial Narrow" w:cs="Arial"/>
          <w:sz w:val="22"/>
          <w:szCs w:val="22"/>
        </w:rPr>
      </w:pPr>
      <w:r>
        <w:rPr>
          <w:rFonts w:ascii="Arial Narrow" w:hAnsi="Arial Narrow" w:cs="Arial"/>
          <w:sz w:val="22"/>
          <w:szCs w:val="22"/>
        </w:rPr>
        <w:t>Inversión neta en un negocio en el extranjero</w:t>
      </w:r>
    </w:p>
    <w:p w14:paraId="06B49CBB" w14:textId="77777777" w:rsidR="00A658D0" w:rsidRDefault="00000000">
      <w:pPr>
        <w:numPr>
          <w:ilvl w:val="1"/>
          <w:numId w:val="21"/>
        </w:numPr>
        <w:tabs>
          <w:tab w:val="clear" w:pos="1752"/>
        </w:tabs>
        <w:ind w:left="1361" w:hanging="340"/>
        <w:jc w:val="both"/>
        <w:rPr>
          <w:rFonts w:ascii="Arial Narrow" w:hAnsi="Arial Narrow" w:cs="Arial"/>
          <w:sz w:val="22"/>
          <w:szCs w:val="22"/>
        </w:rPr>
      </w:pPr>
      <w:r>
        <w:rPr>
          <w:rFonts w:ascii="Arial Narrow" w:hAnsi="Arial Narrow" w:cs="Arial"/>
          <w:sz w:val="22"/>
          <w:szCs w:val="22"/>
        </w:rPr>
        <w:t>Por cada uno de los tipos de cobertura señalados anteriormente, una descripción de la partida cubierta y de los instrumentos financieros derivados, así como los valores razonables a la fecha del estado de situación financiera.</w:t>
      </w:r>
    </w:p>
    <w:p w14:paraId="06B49CBC" w14:textId="77777777" w:rsidR="00A658D0" w:rsidRDefault="00000000">
      <w:pPr>
        <w:numPr>
          <w:ilvl w:val="1"/>
          <w:numId w:val="21"/>
        </w:numPr>
        <w:tabs>
          <w:tab w:val="clear" w:pos="1752"/>
        </w:tabs>
        <w:ind w:left="1361" w:hanging="340"/>
        <w:jc w:val="both"/>
        <w:rPr>
          <w:rFonts w:ascii="Arial Narrow" w:hAnsi="Arial Narrow" w:cs="Arial"/>
          <w:sz w:val="22"/>
          <w:szCs w:val="22"/>
        </w:rPr>
      </w:pPr>
      <w:r>
        <w:rPr>
          <w:rFonts w:ascii="Arial Narrow" w:hAnsi="Arial Narrow" w:cs="Arial"/>
          <w:sz w:val="22"/>
          <w:szCs w:val="22"/>
        </w:rPr>
        <w:t>La naturaleza de los riesgos que han sido cubiertos.</w:t>
      </w:r>
    </w:p>
    <w:p w14:paraId="06B49CBD" w14:textId="77777777" w:rsidR="00A658D0" w:rsidRDefault="00000000">
      <w:pPr>
        <w:numPr>
          <w:ilvl w:val="1"/>
          <w:numId w:val="21"/>
        </w:numPr>
        <w:tabs>
          <w:tab w:val="clear" w:pos="1752"/>
        </w:tabs>
        <w:ind w:left="1361" w:hanging="340"/>
        <w:jc w:val="both"/>
        <w:rPr>
          <w:rFonts w:ascii="Arial Narrow" w:hAnsi="Arial Narrow" w:cs="Arial"/>
          <w:sz w:val="22"/>
          <w:szCs w:val="22"/>
        </w:rPr>
      </w:pPr>
      <w:r>
        <w:rPr>
          <w:rFonts w:ascii="Arial Narrow" w:hAnsi="Arial Narrow" w:cs="Arial"/>
          <w:sz w:val="22"/>
          <w:szCs w:val="22"/>
        </w:rPr>
        <w:t>Tratándose de las coberturas de flujos de efectivo, se revelará adicionalmente:</w:t>
      </w:r>
    </w:p>
    <w:p w14:paraId="06B49CBE" w14:textId="77777777" w:rsidR="00A658D0" w:rsidRDefault="00000000">
      <w:pPr>
        <w:numPr>
          <w:ilvl w:val="4"/>
          <w:numId w:val="23"/>
        </w:numPr>
        <w:ind w:left="1701" w:hanging="340"/>
        <w:jc w:val="both"/>
        <w:rPr>
          <w:rFonts w:ascii="Arial Narrow" w:hAnsi="Arial Narrow" w:cs="Arial"/>
          <w:sz w:val="22"/>
          <w:szCs w:val="22"/>
        </w:rPr>
      </w:pPr>
      <w:r>
        <w:rPr>
          <w:rFonts w:ascii="Arial Narrow" w:hAnsi="Arial Narrow" w:cs="Arial"/>
          <w:sz w:val="22"/>
          <w:szCs w:val="22"/>
        </w:rPr>
        <w:t>Los ejercicios en los cuales se espera que ocurran éstos y los ejercicios en los que se espera que se reconozcan en el resultado del ejercicio</w:t>
      </w:r>
    </w:p>
    <w:p w14:paraId="06B49CBF" w14:textId="77777777" w:rsidR="00A658D0" w:rsidRDefault="00000000">
      <w:pPr>
        <w:numPr>
          <w:ilvl w:val="4"/>
          <w:numId w:val="23"/>
        </w:numPr>
        <w:ind w:left="1701" w:hanging="340"/>
        <w:jc w:val="both"/>
        <w:rPr>
          <w:rFonts w:ascii="Arial Narrow" w:hAnsi="Arial Narrow" w:cs="Arial"/>
          <w:sz w:val="22"/>
          <w:szCs w:val="22"/>
        </w:rPr>
      </w:pPr>
      <w:r>
        <w:rPr>
          <w:rFonts w:ascii="Arial Narrow" w:hAnsi="Arial Narrow" w:cs="Arial"/>
          <w:sz w:val="22"/>
          <w:szCs w:val="22"/>
        </w:rPr>
        <w:t>El importe reconocido en el patrimonio neto en el ejercicio</w:t>
      </w:r>
    </w:p>
    <w:p w14:paraId="06B49CC0" w14:textId="77777777" w:rsidR="00A658D0" w:rsidRDefault="00000000">
      <w:pPr>
        <w:numPr>
          <w:ilvl w:val="4"/>
          <w:numId w:val="23"/>
        </w:numPr>
        <w:ind w:left="1701" w:hanging="340"/>
        <w:jc w:val="both"/>
        <w:rPr>
          <w:rFonts w:ascii="Arial Narrow" w:hAnsi="Arial Narrow" w:cs="Arial"/>
          <w:sz w:val="22"/>
          <w:szCs w:val="22"/>
        </w:rPr>
      </w:pPr>
      <w:r>
        <w:rPr>
          <w:rFonts w:ascii="Arial Narrow" w:hAnsi="Arial Narrow" w:cs="Arial"/>
          <w:sz w:val="22"/>
          <w:szCs w:val="22"/>
        </w:rPr>
        <w:t>El importe que se ha detraído del patrimonio y se ha reconocido en el resultado del ejercicio, señalando las partidas afectadas.</w:t>
      </w:r>
    </w:p>
    <w:p w14:paraId="06B49CC1" w14:textId="77777777" w:rsidR="00A658D0" w:rsidRDefault="00000000">
      <w:pPr>
        <w:numPr>
          <w:ilvl w:val="1"/>
          <w:numId w:val="21"/>
        </w:numPr>
        <w:tabs>
          <w:tab w:val="clear" w:pos="1752"/>
        </w:tabs>
        <w:ind w:left="1361" w:hanging="340"/>
        <w:jc w:val="both"/>
        <w:rPr>
          <w:rFonts w:ascii="Arial Narrow" w:hAnsi="Arial Narrow" w:cs="Arial"/>
          <w:sz w:val="22"/>
          <w:szCs w:val="22"/>
        </w:rPr>
      </w:pPr>
      <w:r>
        <w:rPr>
          <w:rFonts w:ascii="Arial Narrow" w:hAnsi="Arial Narrow" w:cs="Arial"/>
          <w:sz w:val="22"/>
          <w:szCs w:val="22"/>
        </w:rPr>
        <w:t>En el caso de coberturas de transacciones previstas altamente probables, se indicará el importe correspondiente que ha sido detraído del patrimonio neto en el ejercicio y que se ha incluido en la valoración inicial del costo de adquisición o del valor en libros del activo o pasivo no financiero, así como cualquier transacción prevista para la cual se haya empleado previamente la contabilidad de coberturas y que se espera que no ocurra.</w:t>
      </w:r>
    </w:p>
    <w:p w14:paraId="06B49CC2" w14:textId="77777777" w:rsidR="00A658D0" w:rsidRDefault="00000000">
      <w:pPr>
        <w:numPr>
          <w:ilvl w:val="1"/>
          <w:numId w:val="21"/>
        </w:numPr>
        <w:tabs>
          <w:tab w:val="clear" w:pos="1752"/>
        </w:tabs>
        <w:ind w:left="1361" w:hanging="340"/>
        <w:jc w:val="both"/>
        <w:rPr>
          <w:rFonts w:ascii="Arial Narrow" w:hAnsi="Arial Narrow" w:cs="Arial"/>
          <w:sz w:val="22"/>
          <w:szCs w:val="22"/>
        </w:rPr>
      </w:pPr>
      <w:r>
        <w:rPr>
          <w:rFonts w:ascii="Arial Narrow" w:hAnsi="Arial Narrow" w:cs="Arial"/>
          <w:sz w:val="22"/>
          <w:szCs w:val="22"/>
        </w:rPr>
        <w:lastRenderedPageBreak/>
        <w:t>Se presentará por desagregado:</w:t>
      </w:r>
    </w:p>
    <w:p w14:paraId="06B49CC3" w14:textId="77777777" w:rsidR="00A658D0" w:rsidRDefault="00000000">
      <w:pPr>
        <w:numPr>
          <w:ilvl w:val="2"/>
          <w:numId w:val="24"/>
        </w:numPr>
        <w:tabs>
          <w:tab w:val="clear" w:pos="2652"/>
        </w:tabs>
        <w:ind w:left="1701" w:hanging="340"/>
        <w:jc w:val="both"/>
        <w:rPr>
          <w:rFonts w:ascii="Arial Narrow" w:hAnsi="Arial Narrow" w:cs="Arial"/>
          <w:sz w:val="22"/>
          <w:szCs w:val="22"/>
        </w:rPr>
      </w:pPr>
      <w:r>
        <w:rPr>
          <w:rFonts w:ascii="Arial Narrow" w:hAnsi="Arial Narrow" w:cs="Arial"/>
          <w:sz w:val="22"/>
          <w:szCs w:val="22"/>
        </w:rPr>
        <w:t>En las coberturas de valor razonable: las pérdidas y ganancias del instrumento de cobertura y de la partida cubierta atribuible al riesgo cubierto.</w:t>
      </w:r>
    </w:p>
    <w:p w14:paraId="06B49CC4" w14:textId="77777777" w:rsidR="00A658D0" w:rsidRDefault="00000000">
      <w:pPr>
        <w:numPr>
          <w:ilvl w:val="2"/>
          <w:numId w:val="24"/>
        </w:numPr>
        <w:tabs>
          <w:tab w:val="clear" w:pos="2652"/>
        </w:tabs>
        <w:ind w:left="1701" w:hanging="340"/>
        <w:jc w:val="both"/>
        <w:rPr>
          <w:rFonts w:ascii="Arial Narrow" w:hAnsi="Arial Narrow" w:cs="Arial"/>
          <w:sz w:val="22"/>
          <w:szCs w:val="22"/>
        </w:rPr>
      </w:pPr>
      <w:r>
        <w:rPr>
          <w:rFonts w:ascii="Arial Narrow" w:hAnsi="Arial Narrow" w:cs="Arial"/>
          <w:sz w:val="22"/>
          <w:szCs w:val="22"/>
        </w:rPr>
        <w:t>En las coberturas de flujos de efectivo y de inversión en el extranjero: las ganancias o pérdidas de la parte ineficaz de los instrumentos de cobertura reconocidos en las partidas de ganancias y pérdidas del resultado del ejercicio.</w:t>
      </w:r>
    </w:p>
    <w:p w14:paraId="06B49CC5"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Reclasificación</w:t>
      </w:r>
    </w:p>
    <w:p w14:paraId="06B49CC6" w14:textId="77777777" w:rsidR="00A658D0" w:rsidRDefault="00000000">
      <w:pPr>
        <w:ind w:left="1021"/>
        <w:jc w:val="both"/>
        <w:rPr>
          <w:rFonts w:ascii="Arial Narrow" w:hAnsi="Arial Narrow" w:cs="Arial"/>
          <w:sz w:val="22"/>
          <w:szCs w:val="22"/>
        </w:rPr>
      </w:pPr>
      <w:r>
        <w:rPr>
          <w:rFonts w:ascii="Arial Narrow" w:hAnsi="Arial Narrow" w:cs="Arial"/>
          <w:sz w:val="22"/>
          <w:szCs w:val="22"/>
        </w:rPr>
        <w:t xml:space="preserve">Se revelará el importe de las reclasificaciones entre las diversas categorías de instrumentos financieros, así como la justificación de dichas reclasificaciones y cambios de criterio de valoración. </w:t>
      </w:r>
    </w:p>
    <w:p w14:paraId="06B49CC7" w14:textId="77777777" w:rsidR="00A658D0" w:rsidRDefault="00000000">
      <w:pPr>
        <w:numPr>
          <w:ilvl w:val="0"/>
          <w:numId w:val="10"/>
        </w:numPr>
        <w:tabs>
          <w:tab w:val="clear" w:pos="1212"/>
          <w:tab w:val="left" w:pos="1021"/>
        </w:tabs>
        <w:ind w:left="1020" w:hanging="340"/>
        <w:jc w:val="both"/>
        <w:rPr>
          <w:rFonts w:ascii="Arial Narrow" w:hAnsi="Arial Narrow" w:cs="Arial"/>
          <w:sz w:val="22"/>
          <w:szCs w:val="22"/>
        </w:rPr>
      </w:pPr>
      <w:r>
        <w:rPr>
          <w:rFonts w:ascii="Arial Narrow" w:hAnsi="Arial Narrow" w:cs="Arial"/>
          <w:sz w:val="22"/>
          <w:szCs w:val="22"/>
        </w:rPr>
        <w:t>Transferencias de activos financieros</w:t>
      </w:r>
    </w:p>
    <w:p w14:paraId="06B49CC8" w14:textId="77777777" w:rsidR="00A658D0" w:rsidRDefault="00000000">
      <w:pPr>
        <w:ind w:left="1021"/>
        <w:jc w:val="both"/>
        <w:rPr>
          <w:rFonts w:ascii="Arial Narrow" w:hAnsi="Arial Narrow" w:cs="Arial"/>
          <w:sz w:val="22"/>
          <w:szCs w:val="22"/>
        </w:rPr>
      </w:pPr>
      <w:r>
        <w:rPr>
          <w:rFonts w:ascii="Arial Narrow" w:hAnsi="Arial Narrow" w:cs="Arial"/>
          <w:sz w:val="22"/>
          <w:szCs w:val="22"/>
        </w:rPr>
        <w:t>En caso la entidad haya transferido activos y parte o la totalidad del activo no se han dado de baja, se revelará por cada clase de activos:</w:t>
      </w:r>
    </w:p>
    <w:p w14:paraId="06B49CC9" w14:textId="77777777" w:rsidR="00A658D0" w:rsidRDefault="00000000">
      <w:pPr>
        <w:numPr>
          <w:ilvl w:val="0"/>
          <w:numId w:val="25"/>
        </w:numPr>
        <w:tabs>
          <w:tab w:val="clear" w:pos="1932"/>
        </w:tabs>
        <w:ind w:left="1361" w:hanging="340"/>
        <w:jc w:val="both"/>
        <w:rPr>
          <w:rFonts w:ascii="Arial Narrow" w:hAnsi="Arial Narrow" w:cs="Arial"/>
          <w:sz w:val="22"/>
          <w:szCs w:val="22"/>
        </w:rPr>
      </w:pPr>
      <w:r>
        <w:rPr>
          <w:rFonts w:ascii="Arial Narrow" w:hAnsi="Arial Narrow" w:cs="Arial"/>
          <w:sz w:val="22"/>
          <w:szCs w:val="22"/>
        </w:rPr>
        <w:t>La naturaleza de los activos</w:t>
      </w:r>
    </w:p>
    <w:p w14:paraId="06B49CCA" w14:textId="77777777" w:rsidR="00A658D0" w:rsidRDefault="00000000">
      <w:pPr>
        <w:numPr>
          <w:ilvl w:val="0"/>
          <w:numId w:val="25"/>
        </w:numPr>
        <w:tabs>
          <w:tab w:val="clear" w:pos="1932"/>
        </w:tabs>
        <w:ind w:left="1361" w:hanging="340"/>
        <w:jc w:val="both"/>
        <w:rPr>
          <w:rFonts w:ascii="Arial Narrow" w:hAnsi="Arial Narrow" w:cs="Arial"/>
          <w:sz w:val="22"/>
          <w:szCs w:val="22"/>
        </w:rPr>
      </w:pPr>
      <w:r>
        <w:rPr>
          <w:rFonts w:ascii="Arial Narrow" w:hAnsi="Arial Narrow" w:cs="Arial"/>
          <w:sz w:val="22"/>
          <w:szCs w:val="22"/>
        </w:rPr>
        <w:t>La naturaleza de los riesgos y beneficios a los que la empresa está expuesta</w:t>
      </w:r>
    </w:p>
    <w:p w14:paraId="06B49CCB" w14:textId="77777777" w:rsidR="00A658D0" w:rsidRDefault="00000000">
      <w:pPr>
        <w:numPr>
          <w:ilvl w:val="0"/>
          <w:numId w:val="25"/>
        </w:numPr>
        <w:tabs>
          <w:tab w:val="clear" w:pos="1932"/>
        </w:tabs>
        <w:ind w:left="1361" w:hanging="340"/>
        <w:jc w:val="both"/>
        <w:rPr>
          <w:rFonts w:ascii="Arial Narrow" w:hAnsi="Arial Narrow" w:cs="Arial"/>
          <w:sz w:val="22"/>
          <w:szCs w:val="22"/>
        </w:rPr>
      </w:pPr>
      <w:r>
        <w:rPr>
          <w:rFonts w:ascii="Arial Narrow" w:hAnsi="Arial Narrow" w:cs="Arial"/>
          <w:sz w:val="22"/>
          <w:szCs w:val="22"/>
        </w:rPr>
        <w:t>En caso la entidad continúe reconociendo los activos en forma íntegra, el valor en libros y los pasivos asociados.</w:t>
      </w:r>
    </w:p>
    <w:p w14:paraId="06B49CCC" w14:textId="77777777" w:rsidR="00A658D0" w:rsidRDefault="00000000">
      <w:pPr>
        <w:numPr>
          <w:ilvl w:val="0"/>
          <w:numId w:val="25"/>
        </w:numPr>
        <w:tabs>
          <w:tab w:val="clear" w:pos="1932"/>
        </w:tabs>
        <w:ind w:left="1361" w:hanging="340"/>
        <w:jc w:val="both"/>
        <w:rPr>
          <w:rFonts w:ascii="Arial Narrow" w:hAnsi="Arial Narrow" w:cs="Arial"/>
          <w:sz w:val="22"/>
          <w:szCs w:val="22"/>
        </w:rPr>
      </w:pPr>
      <w:r>
        <w:rPr>
          <w:rFonts w:ascii="Arial Narrow" w:hAnsi="Arial Narrow" w:cs="Arial"/>
          <w:sz w:val="22"/>
          <w:szCs w:val="22"/>
        </w:rPr>
        <w:t>Cuando la entidad continúe reconociendo, en la medida de su compromiso continuo, el valor en libros de los activos originales, el valor en libros de los activos y de los pasivos asociados.</w:t>
      </w:r>
    </w:p>
    <w:p w14:paraId="06B49CCD" w14:textId="77777777" w:rsidR="00A658D0" w:rsidRDefault="00A658D0">
      <w:pPr>
        <w:ind w:left="1701"/>
        <w:jc w:val="both"/>
        <w:rPr>
          <w:rFonts w:ascii="Arial Narrow" w:hAnsi="Arial Narrow" w:cs="Arial"/>
          <w:sz w:val="22"/>
          <w:szCs w:val="22"/>
        </w:rPr>
      </w:pPr>
    </w:p>
    <w:p w14:paraId="06B49CCE"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CONTRATOS DE SEGUROS</w:t>
      </w:r>
    </w:p>
    <w:p w14:paraId="06B49CCF" w14:textId="77777777" w:rsidR="00A658D0" w:rsidRDefault="00000000">
      <w:pPr>
        <w:ind w:left="680"/>
        <w:jc w:val="both"/>
        <w:rPr>
          <w:rFonts w:ascii="Arial Narrow" w:hAnsi="Arial Narrow" w:cs="Arial"/>
          <w:sz w:val="22"/>
          <w:szCs w:val="22"/>
        </w:rPr>
      </w:pPr>
      <w:r>
        <w:rPr>
          <w:rFonts w:ascii="Arial Narrow" w:hAnsi="Arial Narrow" w:cs="Arial"/>
          <w:sz w:val="22"/>
          <w:szCs w:val="22"/>
        </w:rPr>
        <w:t xml:space="preserve">De acuerdo con la NIIF 4 Contratos de Seguros, y </w:t>
      </w:r>
      <w:proofErr w:type="gramStart"/>
      <w:r>
        <w:rPr>
          <w:rFonts w:ascii="Arial Narrow" w:hAnsi="Arial Narrow" w:cs="Arial"/>
          <w:sz w:val="22"/>
          <w:szCs w:val="22"/>
        </w:rPr>
        <w:t>en relación a</w:t>
      </w:r>
      <w:proofErr w:type="gramEnd"/>
      <w:r>
        <w:rPr>
          <w:rFonts w:ascii="Arial Narrow" w:hAnsi="Arial Narrow" w:cs="Arial"/>
          <w:sz w:val="22"/>
          <w:szCs w:val="22"/>
        </w:rPr>
        <w:t xml:space="preserve"> los importes reconocidos en los estados financieros, las empresas deberán revelar lo siguiente:</w:t>
      </w:r>
    </w:p>
    <w:p w14:paraId="06B49CD0" w14:textId="77777777" w:rsidR="00A658D0" w:rsidRDefault="00000000">
      <w:pPr>
        <w:numPr>
          <w:ilvl w:val="0"/>
          <w:numId w:val="26"/>
        </w:numPr>
        <w:tabs>
          <w:tab w:val="left" w:pos="1021"/>
        </w:tabs>
        <w:ind w:left="1020" w:hanging="340"/>
        <w:jc w:val="both"/>
        <w:rPr>
          <w:rFonts w:ascii="Arial Narrow" w:hAnsi="Arial Narrow" w:cs="Arial"/>
          <w:sz w:val="22"/>
          <w:szCs w:val="22"/>
        </w:rPr>
      </w:pPr>
      <w:r>
        <w:rPr>
          <w:rFonts w:ascii="Arial Narrow" w:hAnsi="Arial Narrow" w:cs="Arial"/>
          <w:sz w:val="22"/>
          <w:szCs w:val="22"/>
        </w:rPr>
        <w:t>Las políticas contables relativas a los contratos de seguro y a los activos, pasivos, gastos e ingresos conexos.</w:t>
      </w:r>
    </w:p>
    <w:p w14:paraId="06B49CD1" w14:textId="77777777" w:rsidR="00A658D0" w:rsidRDefault="00000000">
      <w:pPr>
        <w:numPr>
          <w:ilvl w:val="0"/>
          <w:numId w:val="26"/>
        </w:numPr>
        <w:tabs>
          <w:tab w:val="left" w:pos="1021"/>
        </w:tabs>
        <w:ind w:left="1020" w:hanging="340"/>
        <w:jc w:val="both"/>
        <w:rPr>
          <w:rFonts w:ascii="Arial Narrow" w:hAnsi="Arial Narrow" w:cs="Arial"/>
          <w:sz w:val="22"/>
          <w:szCs w:val="22"/>
        </w:rPr>
      </w:pPr>
      <w:r>
        <w:rPr>
          <w:rFonts w:ascii="Arial Narrow" w:hAnsi="Arial Narrow" w:cs="Arial"/>
          <w:sz w:val="22"/>
          <w:szCs w:val="22"/>
        </w:rPr>
        <w:t xml:space="preserve">Los activos, pasivos, ingresos y gastos reconocidos que procedan de contratos de seguro.  Si la aseguradora es cedente, </w:t>
      </w:r>
      <w:proofErr w:type="gramStart"/>
      <w:r>
        <w:rPr>
          <w:rFonts w:ascii="Arial Narrow" w:hAnsi="Arial Narrow" w:cs="Arial"/>
          <w:sz w:val="22"/>
          <w:szCs w:val="22"/>
        </w:rPr>
        <w:t>revelará</w:t>
      </w:r>
      <w:proofErr w:type="gramEnd"/>
      <w:r>
        <w:rPr>
          <w:rFonts w:ascii="Arial Narrow" w:hAnsi="Arial Narrow" w:cs="Arial"/>
          <w:sz w:val="22"/>
          <w:szCs w:val="22"/>
        </w:rPr>
        <w:t xml:space="preserve"> además:</w:t>
      </w:r>
    </w:p>
    <w:p w14:paraId="06B49CD2" w14:textId="77777777" w:rsidR="00A658D0" w:rsidRDefault="00000000">
      <w:pPr>
        <w:numPr>
          <w:ilvl w:val="1"/>
          <w:numId w:val="26"/>
        </w:numPr>
        <w:tabs>
          <w:tab w:val="left" w:pos="1304"/>
        </w:tabs>
        <w:ind w:left="1305" w:hanging="284"/>
        <w:jc w:val="both"/>
        <w:rPr>
          <w:rFonts w:ascii="Arial Narrow" w:hAnsi="Arial Narrow" w:cs="Arial"/>
          <w:sz w:val="22"/>
          <w:szCs w:val="22"/>
        </w:rPr>
      </w:pPr>
      <w:r>
        <w:rPr>
          <w:rFonts w:ascii="Arial Narrow" w:hAnsi="Arial Narrow" w:cs="Arial"/>
          <w:sz w:val="22"/>
          <w:szCs w:val="22"/>
        </w:rPr>
        <w:t>las pérdidas y ganancias reconocidas en el resultado del periodo por reaseguro cedido</w:t>
      </w:r>
    </w:p>
    <w:p w14:paraId="06B49CD3" w14:textId="77777777" w:rsidR="00A658D0" w:rsidRDefault="00000000">
      <w:pPr>
        <w:numPr>
          <w:ilvl w:val="1"/>
          <w:numId w:val="26"/>
        </w:numPr>
        <w:tabs>
          <w:tab w:val="left" w:pos="1304"/>
        </w:tabs>
        <w:ind w:left="1305" w:hanging="284"/>
        <w:jc w:val="both"/>
        <w:rPr>
          <w:rFonts w:ascii="Arial Narrow" w:hAnsi="Arial Narrow" w:cs="Arial"/>
          <w:sz w:val="22"/>
          <w:szCs w:val="22"/>
        </w:rPr>
      </w:pPr>
      <w:r>
        <w:rPr>
          <w:rFonts w:ascii="Arial Narrow" w:hAnsi="Arial Narrow" w:cs="Arial"/>
          <w:sz w:val="22"/>
          <w:szCs w:val="22"/>
        </w:rPr>
        <w:t xml:space="preserve">Si difiere y amortiza pérdidas y ganancias procedentes de compras de reaseguro, revelará la amortización del período y los importes que permanezcan sin amortizar al inicio y al final </w:t>
      </w:r>
      <w:proofErr w:type="gramStart"/>
      <w:r>
        <w:rPr>
          <w:rFonts w:ascii="Arial Narrow" w:hAnsi="Arial Narrow" w:cs="Arial"/>
          <w:sz w:val="22"/>
          <w:szCs w:val="22"/>
        </w:rPr>
        <w:t>del mismo</w:t>
      </w:r>
      <w:proofErr w:type="gramEnd"/>
      <w:r>
        <w:rPr>
          <w:rFonts w:ascii="Arial Narrow" w:hAnsi="Arial Narrow" w:cs="Arial"/>
          <w:sz w:val="22"/>
          <w:szCs w:val="22"/>
        </w:rPr>
        <w:t>.</w:t>
      </w:r>
    </w:p>
    <w:p w14:paraId="06B49CD4" w14:textId="77777777" w:rsidR="00A658D0" w:rsidRDefault="00000000">
      <w:pPr>
        <w:numPr>
          <w:ilvl w:val="0"/>
          <w:numId w:val="26"/>
        </w:numPr>
        <w:tabs>
          <w:tab w:val="left" w:pos="1021"/>
        </w:tabs>
        <w:ind w:left="1020" w:hanging="340"/>
        <w:jc w:val="both"/>
        <w:rPr>
          <w:rFonts w:ascii="Arial Narrow" w:hAnsi="Arial Narrow" w:cs="Arial"/>
          <w:sz w:val="22"/>
          <w:szCs w:val="22"/>
        </w:rPr>
      </w:pPr>
      <w:r>
        <w:rPr>
          <w:rFonts w:ascii="Arial Narrow" w:hAnsi="Arial Narrow" w:cs="Arial"/>
          <w:sz w:val="22"/>
          <w:szCs w:val="22"/>
        </w:rPr>
        <w:t>El procedimiento utilizado para determinar los supuestos que tengan un mayor efecto sobre la medición de los importes reconocidos.</w:t>
      </w:r>
    </w:p>
    <w:p w14:paraId="06B49CD5" w14:textId="77777777" w:rsidR="00A658D0" w:rsidRDefault="00000000">
      <w:pPr>
        <w:numPr>
          <w:ilvl w:val="0"/>
          <w:numId w:val="26"/>
        </w:numPr>
        <w:tabs>
          <w:tab w:val="left" w:pos="1021"/>
        </w:tabs>
        <w:ind w:left="1020" w:hanging="340"/>
        <w:jc w:val="both"/>
        <w:rPr>
          <w:rFonts w:ascii="Arial Narrow" w:hAnsi="Arial Narrow" w:cs="Arial"/>
          <w:sz w:val="22"/>
          <w:szCs w:val="22"/>
        </w:rPr>
      </w:pPr>
      <w:r>
        <w:rPr>
          <w:rFonts w:ascii="Arial Narrow" w:hAnsi="Arial Narrow" w:cs="Arial"/>
          <w:sz w:val="22"/>
          <w:szCs w:val="22"/>
        </w:rPr>
        <w:t>El efecto de los cambios en los supuestos utilizados para medir los activos y pasivos por contratos de seguros, mostrando el efecto por separado de cada cambio significativo en los estados financieros.</w:t>
      </w:r>
    </w:p>
    <w:p w14:paraId="06B49CD6" w14:textId="77777777" w:rsidR="00A658D0" w:rsidRDefault="00000000">
      <w:pPr>
        <w:numPr>
          <w:ilvl w:val="0"/>
          <w:numId w:val="26"/>
        </w:numPr>
        <w:tabs>
          <w:tab w:val="left" w:pos="1021"/>
        </w:tabs>
        <w:ind w:left="1020" w:hanging="340"/>
        <w:jc w:val="both"/>
        <w:rPr>
          <w:rFonts w:ascii="Arial Narrow" w:hAnsi="Arial Narrow" w:cs="Arial"/>
          <w:sz w:val="22"/>
          <w:szCs w:val="22"/>
        </w:rPr>
      </w:pPr>
      <w:r>
        <w:rPr>
          <w:rFonts w:ascii="Arial Narrow" w:hAnsi="Arial Narrow" w:cs="Arial"/>
          <w:sz w:val="22"/>
          <w:szCs w:val="22"/>
        </w:rPr>
        <w:t>Conciliaciones de los cambios en los pasivos y activos por contratos de reaseguro y en los costos de adquisición conexos.</w:t>
      </w:r>
    </w:p>
    <w:p w14:paraId="06B49CD7" w14:textId="77777777" w:rsidR="00A658D0" w:rsidRDefault="00000000">
      <w:pPr>
        <w:numPr>
          <w:ilvl w:val="0"/>
          <w:numId w:val="26"/>
        </w:numPr>
        <w:tabs>
          <w:tab w:val="left" w:pos="1021"/>
        </w:tabs>
        <w:ind w:left="1020" w:hanging="340"/>
        <w:jc w:val="both"/>
        <w:rPr>
          <w:rFonts w:ascii="Arial Narrow" w:hAnsi="Arial Narrow" w:cs="Arial"/>
          <w:sz w:val="22"/>
          <w:szCs w:val="22"/>
        </w:rPr>
      </w:pPr>
      <w:r>
        <w:rPr>
          <w:rFonts w:ascii="Arial Narrow" w:hAnsi="Arial Narrow" w:cs="Arial"/>
          <w:sz w:val="22"/>
          <w:szCs w:val="22"/>
        </w:rPr>
        <w:t>Bases utilizadas en la prueba de adecuación de los pasivos.</w:t>
      </w:r>
    </w:p>
    <w:p w14:paraId="06B49CD8" w14:textId="77777777" w:rsidR="00A658D0" w:rsidRDefault="00A658D0">
      <w:pPr>
        <w:ind w:left="680"/>
        <w:jc w:val="both"/>
        <w:rPr>
          <w:rFonts w:ascii="Arial Narrow" w:hAnsi="Arial Narrow" w:cs="Arial"/>
          <w:sz w:val="22"/>
          <w:szCs w:val="22"/>
        </w:rPr>
      </w:pPr>
    </w:p>
    <w:p w14:paraId="06B49CD9" w14:textId="77777777" w:rsidR="00A658D0" w:rsidRDefault="00000000">
      <w:pPr>
        <w:ind w:left="680"/>
        <w:jc w:val="both"/>
        <w:rPr>
          <w:rFonts w:ascii="Arial Narrow" w:hAnsi="Arial Narrow" w:cs="Arial"/>
          <w:sz w:val="22"/>
          <w:szCs w:val="22"/>
        </w:rPr>
      </w:pPr>
      <w:r>
        <w:rPr>
          <w:rFonts w:ascii="Arial Narrow" w:hAnsi="Arial Narrow" w:cs="Arial"/>
          <w:sz w:val="22"/>
          <w:szCs w:val="22"/>
        </w:rPr>
        <w:t>En relación con la naturaleza y el alcance de los riesgos de los contratos de seguros, las empresas deben revelar:</w:t>
      </w:r>
    </w:p>
    <w:p w14:paraId="06B49CDA" w14:textId="77777777" w:rsidR="00A658D0" w:rsidRDefault="00000000">
      <w:pPr>
        <w:numPr>
          <w:ilvl w:val="0"/>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Los objetivos, políticas y procesos para gestionar los riesgos surgidos de los contratos de seguros, así como los métodos usados en dicha gestión de riesgos.</w:t>
      </w:r>
    </w:p>
    <w:p w14:paraId="06B49CDB" w14:textId="77777777" w:rsidR="00A658D0" w:rsidRDefault="00000000">
      <w:pPr>
        <w:numPr>
          <w:ilvl w:val="0"/>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Información sobre el riesgo de seguro, incluyendo:</w:t>
      </w:r>
    </w:p>
    <w:p w14:paraId="06B49CDC" w14:textId="77777777" w:rsidR="00A658D0" w:rsidRDefault="00000000">
      <w:pPr>
        <w:numPr>
          <w:ilvl w:val="0"/>
          <w:numId w:val="28"/>
        </w:numPr>
        <w:ind w:left="1418" w:hanging="284"/>
        <w:jc w:val="both"/>
        <w:rPr>
          <w:rFonts w:ascii="Arial Narrow" w:hAnsi="Arial Narrow" w:cs="Arial"/>
          <w:sz w:val="22"/>
          <w:szCs w:val="22"/>
        </w:rPr>
      </w:pPr>
      <w:r>
        <w:rPr>
          <w:rFonts w:ascii="Arial Narrow" w:hAnsi="Arial Narrow" w:cs="Arial"/>
          <w:sz w:val="22"/>
          <w:szCs w:val="22"/>
        </w:rPr>
        <w:t xml:space="preserve">Sensibilidad al riesgo de seguro, para lo cual en el </w:t>
      </w:r>
      <w:r>
        <w:rPr>
          <w:rFonts w:ascii="Arial Narrow" w:hAnsi="Arial Narrow" w:cs="Arial"/>
          <w:sz w:val="22"/>
          <w:szCs w:val="22"/>
          <w:u w:val="single"/>
        </w:rPr>
        <w:t>anexo 4</w:t>
      </w:r>
      <w:r>
        <w:rPr>
          <w:rFonts w:ascii="Arial Narrow" w:hAnsi="Arial Narrow" w:cs="Arial"/>
          <w:sz w:val="22"/>
          <w:szCs w:val="22"/>
        </w:rPr>
        <w:t xml:space="preserve"> se adjunta un modelo sugerido de formato que las empresas pueden utilizar para la revelación de información.  </w:t>
      </w:r>
    </w:p>
    <w:p w14:paraId="06B49CDD" w14:textId="77777777" w:rsidR="00A658D0" w:rsidRDefault="00000000">
      <w:pPr>
        <w:numPr>
          <w:ilvl w:val="0"/>
          <w:numId w:val="28"/>
        </w:numPr>
        <w:ind w:left="1418" w:hanging="284"/>
        <w:jc w:val="both"/>
        <w:rPr>
          <w:rFonts w:ascii="Arial Narrow" w:hAnsi="Arial Narrow" w:cs="Arial"/>
          <w:sz w:val="22"/>
          <w:szCs w:val="22"/>
        </w:rPr>
      </w:pPr>
      <w:r>
        <w:rPr>
          <w:rFonts w:ascii="Arial Narrow" w:hAnsi="Arial Narrow" w:cs="Arial"/>
          <w:sz w:val="22"/>
          <w:szCs w:val="22"/>
        </w:rPr>
        <w:lastRenderedPageBreak/>
        <w:t>Concentraciones del riesgo de seguro, lo que incluye la descripción sobre los criterios para la determinación y/o agrupación de los riesgos, descripción de las características y el efecto posible por su exposición.  Para tal efecto en el anexo 5 se adjunta un modelo sugerido de formato, que las empresas pueden utilizar para la revelación de la información.</w:t>
      </w:r>
    </w:p>
    <w:p w14:paraId="06B49CDE" w14:textId="77777777" w:rsidR="00A658D0" w:rsidRDefault="00000000">
      <w:pPr>
        <w:numPr>
          <w:ilvl w:val="0"/>
          <w:numId w:val="28"/>
        </w:numPr>
        <w:ind w:left="1418" w:hanging="284"/>
        <w:jc w:val="both"/>
        <w:rPr>
          <w:rFonts w:ascii="Arial Narrow" w:hAnsi="Arial Narrow" w:cs="Arial"/>
          <w:sz w:val="22"/>
          <w:szCs w:val="22"/>
        </w:rPr>
      </w:pPr>
      <w:r>
        <w:rPr>
          <w:rFonts w:ascii="Arial Narrow" w:hAnsi="Arial Narrow" w:cs="Arial"/>
          <w:sz w:val="22"/>
          <w:szCs w:val="22"/>
        </w:rPr>
        <w:t xml:space="preserve">Reclamaciones recibidas comparadas con las estimaciones previas (o evolución de las reclamaciones).  </w:t>
      </w:r>
    </w:p>
    <w:p w14:paraId="06B49CDF" w14:textId="77777777" w:rsidR="00A658D0" w:rsidRDefault="00000000">
      <w:pPr>
        <w:numPr>
          <w:ilvl w:val="0"/>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Información acerca de la exposición al riesgo de mercado procedente de derivados implícitos es un contrato de seguros que sea su contrato anfitrión, cuando la aseguradora no esté obligada a medir por su valor razonable los derivados implícitos, ni haya optado hacerlo.</w:t>
      </w:r>
    </w:p>
    <w:p w14:paraId="06B49CE0" w14:textId="77777777" w:rsidR="00A658D0" w:rsidRDefault="00000000">
      <w:pPr>
        <w:numPr>
          <w:ilvl w:val="0"/>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Inversiones por cuenta de tomadores de seguros de vida que asumen el riesgo de la inversión.</w:t>
      </w:r>
    </w:p>
    <w:p w14:paraId="06B49CE1" w14:textId="77777777" w:rsidR="00A658D0" w:rsidRDefault="00000000">
      <w:pPr>
        <w:numPr>
          <w:ilvl w:val="0"/>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Se revelará la composición y valorización de dichas inversiones, así como el tratamiento contable aplicado.</w:t>
      </w:r>
    </w:p>
    <w:p w14:paraId="06B49CE2" w14:textId="77777777" w:rsidR="00A658D0" w:rsidRDefault="00A658D0">
      <w:pPr>
        <w:ind w:left="1418"/>
        <w:jc w:val="both"/>
        <w:rPr>
          <w:rFonts w:ascii="Arial Narrow" w:hAnsi="Arial Narrow" w:cs="Arial"/>
          <w:sz w:val="22"/>
          <w:szCs w:val="22"/>
        </w:rPr>
      </w:pPr>
    </w:p>
    <w:p w14:paraId="06B49CE3"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BIENES OTORGADOS EN GARANTÍA</w:t>
      </w:r>
      <w:r>
        <w:rPr>
          <w:rStyle w:val="Refdenotaalpie"/>
          <w:rFonts w:ascii="Arial Narrow" w:hAnsi="Arial Narrow" w:cs="Arial"/>
          <w:b/>
          <w:sz w:val="22"/>
          <w:szCs w:val="22"/>
        </w:rPr>
        <w:footnoteReference w:id="30"/>
      </w:r>
    </w:p>
    <w:p w14:paraId="06B49CE4" w14:textId="77777777" w:rsidR="00A658D0" w:rsidRDefault="00000000">
      <w:pPr>
        <w:ind w:left="680"/>
        <w:jc w:val="both"/>
        <w:rPr>
          <w:rFonts w:ascii="Arial Narrow" w:hAnsi="Arial Narrow" w:cs="Arial"/>
          <w:sz w:val="22"/>
          <w:szCs w:val="22"/>
        </w:rPr>
      </w:pPr>
      <w:r>
        <w:rPr>
          <w:rFonts w:ascii="Arial Narrow" w:hAnsi="Arial Narrow" w:cs="Arial"/>
          <w:sz w:val="22"/>
          <w:szCs w:val="22"/>
        </w:rPr>
        <w:t>La entidad revelará información sobre:</w:t>
      </w:r>
    </w:p>
    <w:p w14:paraId="06B49CE5" w14:textId="77777777" w:rsidR="00A658D0" w:rsidRDefault="00A658D0">
      <w:pPr>
        <w:tabs>
          <w:tab w:val="left" w:pos="993"/>
        </w:tabs>
        <w:jc w:val="both"/>
        <w:rPr>
          <w:rFonts w:ascii="Arial Narrow" w:hAnsi="Arial Narrow" w:cs="Arial"/>
          <w:sz w:val="22"/>
          <w:szCs w:val="22"/>
        </w:rPr>
      </w:pPr>
    </w:p>
    <w:p w14:paraId="06B49CE6" w14:textId="77777777" w:rsidR="00A658D0" w:rsidRDefault="00000000">
      <w:pPr>
        <w:tabs>
          <w:tab w:val="left" w:pos="851"/>
        </w:tabs>
        <w:ind w:left="851"/>
        <w:jc w:val="both"/>
        <w:rPr>
          <w:rFonts w:ascii="Arial Narrow" w:hAnsi="Arial Narrow" w:cs="Arial"/>
          <w:sz w:val="22"/>
          <w:szCs w:val="22"/>
        </w:rPr>
      </w:pPr>
      <w:r>
        <w:rPr>
          <w:rFonts w:ascii="Arial Narrow" w:hAnsi="Arial Narrow" w:cs="Arial"/>
          <w:sz w:val="22"/>
          <w:szCs w:val="22"/>
        </w:rPr>
        <w:t>a) Los bienes otorgados en garantía; y,</w:t>
      </w:r>
    </w:p>
    <w:p w14:paraId="06B49CE7" w14:textId="77777777" w:rsidR="00A658D0" w:rsidRDefault="00000000">
      <w:pPr>
        <w:tabs>
          <w:tab w:val="left" w:pos="851"/>
        </w:tabs>
        <w:ind w:left="851"/>
        <w:jc w:val="both"/>
        <w:rPr>
          <w:rFonts w:ascii="Arial Narrow" w:hAnsi="Arial Narrow" w:cs="Arial"/>
          <w:sz w:val="22"/>
          <w:szCs w:val="22"/>
        </w:rPr>
      </w:pPr>
      <w:r>
        <w:rPr>
          <w:rFonts w:ascii="Arial Narrow" w:hAnsi="Arial Narrow" w:cs="Arial"/>
          <w:sz w:val="22"/>
          <w:szCs w:val="22"/>
        </w:rPr>
        <w:t>b) Los bienes otorgados mediante fideicomisos en garantía, en calidad de fideicomitentes.</w:t>
      </w:r>
    </w:p>
    <w:p w14:paraId="06B49CE8" w14:textId="77777777" w:rsidR="00A658D0" w:rsidRDefault="00A658D0">
      <w:pPr>
        <w:tabs>
          <w:tab w:val="left" w:pos="1701"/>
        </w:tabs>
        <w:ind w:left="1701"/>
        <w:jc w:val="both"/>
        <w:rPr>
          <w:rFonts w:ascii="Arial Narrow" w:hAnsi="Arial Narrow" w:cs="Arial"/>
          <w:sz w:val="22"/>
          <w:szCs w:val="22"/>
        </w:rPr>
      </w:pPr>
    </w:p>
    <w:p w14:paraId="06B49CE9" w14:textId="77777777" w:rsidR="00A658D0" w:rsidRDefault="00000000">
      <w:pPr>
        <w:ind w:left="680"/>
        <w:jc w:val="both"/>
        <w:rPr>
          <w:rFonts w:ascii="Arial Narrow" w:hAnsi="Arial Narrow" w:cs="Arial"/>
          <w:sz w:val="22"/>
          <w:szCs w:val="22"/>
        </w:rPr>
      </w:pPr>
      <w:r>
        <w:rPr>
          <w:rFonts w:ascii="Arial Narrow" w:hAnsi="Arial Narrow" w:cs="Arial"/>
          <w:sz w:val="22"/>
          <w:szCs w:val="22"/>
        </w:rPr>
        <w:t>La presente revelación deberá será incluida adicionalmente en los estados financieros trimestrales.</w:t>
      </w:r>
    </w:p>
    <w:p w14:paraId="06B49CEA" w14:textId="77777777" w:rsidR="00A658D0" w:rsidRDefault="00A658D0">
      <w:pPr>
        <w:ind w:left="680"/>
        <w:jc w:val="both"/>
        <w:rPr>
          <w:rFonts w:ascii="Arial Narrow" w:hAnsi="Arial Narrow" w:cs="Arial"/>
          <w:sz w:val="22"/>
          <w:szCs w:val="22"/>
        </w:rPr>
      </w:pPr>
    </w:p>
    <w:p w14:paraId="06B49CEB" w14:textId="77777777" w:rsidR="00A658D0" w:rsidRDefault="00000000">
      <w:pPr>
        <w:ind w:left="680"/>
        <w:jc w:val="both"/>
        <w:rPr>
          <w:rFonts w:ascii="Arial Narrow" w:hAnsi="Arial Narrow" w:cs="Arial"/>
          <w:sz w:val="22"/>
          <w:szCs w:val="22"/>
        </w:rPr>
      </w:pPr>
      <w:r>
        <w:rPr>
          <w:rFonts w:ascii="Arial Narrow" w:hAnsi="Arial Narrow" w:cs="Arial"/>
          <w:sz w:val="22"/>
          <w:szCs w:val="22"/>
        </w:rPr>
        <w:t>Para efectos de lo señalado en el párrafo anterior, la empresa deberá revelar por lo menos, la información que se muestra en el Anexo 3 adjunto.</w:t>
      </w:r>
    </w:p>
    <w:p w14:paraId="06B49CEC" w14:textId="77777777" w:rsidR="00A658D0" w:rsidRDefault="00A658D0">
      <w:pPr>
        <w:ind w:left="709"/>
        <w:jc w:val="both"/>
        <w:rPr>
          <w:rFonts w:ascii="Arial Narrow" w:hAnsi="Arial Narrow" w:cs="Arial"/>
          <w:b/>
          <w:sz w:val="22"/>
          <w:szCs w:val="22"/>
        </w:rPr>
      </w:pPr>
    </w:p>
    <w:p w14:paraId="06B49CED"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 xml:space="preserve">PATRIMONIO </w:t>
      </w:r>
    </w:p>
    <w:p w14:paraId="06B49CEE" w14:textId="77777777" w:rsidR="00A658D0" w:rsidRDefault="00000000">
      <w:pPr>
        <w:ind w:left="680"/>
        <w:jc w:val="both"/>
        <w:rPr>
          <w:rFonts w:ascii="Arial Narrow" w:hAnsi="Arial Narrow" w:cs="Arial"/>
          <w:sz w:val="22"/>
          <w:szCs w:val="22"/>
        </w:rPr>
      </w:pPr>
      <w:r>
        <w:rPr>
          <w:rFonts w:ascii="Arial Narrow" w:hAnsi="Arial Narrow" w:cs="Arial"/>
          <w:sz w:val="22"/>
          <w:szCs w:val="22"/>
        </w:rPr>
        <w:t>Patrimonio neto y la propuesta de aplicación de beneficios:</w:t>
      </w:r>
    </w:p>
    <w:p w14:paraId="06B49CEF" w14:textId="77777777" w:rsidR="00A658D0" w:rsidRDefault="00000000">
      <w:pPr>
        <w:ind w:left="680"/>
        <w:jc w:val="both"/>
        <w:rPr>
          <w:rFonts w:ascii="Arial Narrow" w:hAnsi="Arial Narrow" w:cs="Arial"/>
          <w:sz w:val="22"/>
          <w:szCs w:val="22"/>
        </w:rPr>
      </w:pPr>
      <w:r>
        <w:rPr>
          <w:rFonts w:ascii="Arial Narrow" w:hAnsi="Arial Narrow" w:cs="Arial"/>
          <w:sz w:val="22"/>
          <w:szCs w:val="22"/>
        </w:rPr>
        <w:t>Se debe revelar, por cada clase de acciones, lo siguiente:</w:t>
      </w:r>
    </w:p>
    <w:p w14:paraId="06B49CF0" w14:textId="77777777" w:rsidR="00A658D0" w:rsidRDefault="00000000">
      <w:pPr>
        <w:numPr>
          <w:ilvl w:val="3"/>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El número de acciones emitidas y el valor nominal de las mismas.</w:t>
      </w:r>
    </w:p>
    <w:p w14:paraId="06B49CF1" w14:textId="77777777" w:rsidR="00A658D0" w:rsidRDefault="00000000">
      <w:pPr>
        <w:numPr>
          <w:ilvl w:val="3"/>
          <w:numId w:val="27"/>
        </w:numPr>
        <w:tabs>
          <w:tab w:val="left" w:pos="1021"/>
        </w:tabs>
        <w:ind w:left="1020" w:hanging="340"/>
        <w:jc w:val="both"/>
        <w:rPr>
          <w:rFonts w:ascii="Arial Narrow" w:hAnsi="Arial Narrow" w:cs="Arial"/>
          <w:bCs/>
          <w:color w:val="000000"/>
          <w:sz w:val="22"/>
          <w:szCs w:val="22"/>
          <w:lang w:eastAsia="es-PE"/>
        </w:rPr>
      </w:pPr>
      <w:r>
        <w:rPr>
          <w:rFonts w:ascii="Arial Narrow" w:hAnsi="Arial Narrow" w:cs="Arial"/>
          <w:sz w:val="22"/>
          <w:szCs w:val="22"/>
        </w:rPr>
        <w:t>Un</w:t>
      </w:r>
      <w:r>
        <w:rPr>
          <w:rFonts w:ascii="Arial Narrow" w:hAnsi="Arial Narrow" w:cs="Arial"/>
          <w:bCs/>
          <w:color w:val="000000"/>
          <w:sz w:val="22"/>
          <w:szCs w:val="22"/>
          <w:lang w:eastAsia="es-PE"/>
        </w:rPr>
        <w:t>a conciliación entre el número de acciones en circulación al principio y al final del periodo.</w:t>
      </w:r>
    </w:p>
    <w:p w14:paraId="06B49CF2" w14:textId="77777777" w:rsidR="00A658D0" w:rsidRDefault="00000000">
      <w:pPr>
        <w:numPr>
          <w:ilvl w:val="3"/>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Lo</w:t>
      </w:r>
      <w:r>
        <w:rPr>
          <w:rFonts w:ascii="Arial Narrow" w:hAnsi="Arial Narrow" w:cs="Arial"/>
          <w:bCs/>
          <w:sz w:val="22"/>
          <w:szCs w:val="22"/>
        </w:rPr>
        <w:t>s derechos, privilegios y restricciones correspondientes a cada clase de acciones, incluyendo las restricciones sobre la distribución de dividendos y el reembolso del capital.</w:t>
      </w:r>
    </w:p>
    <w:p w14:paraId="06B49CF3" w14:textId="77777777" w:rsidR="00A658D0" w:rsidRDefault="00000000">
      <w:pPr>
        <w:numPr>
          <w:ilvl w:val="3"/>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Instrumentos de capital cuya emisión esté reservada como consecuencia de la existencia de opciones o contratos de venta de instrumentos de capital, describiendo las condiciones.</w:t>
      </w:r>
    </w:p>
    <w:p w14:paraId="06B49CF4" w14:textId="77777777" w:rsidR="00A658D0" w:rsidRDefault="00000000">
      <w:pPr>
        <w:numPr>
          <w:ilvl w:val="3"/>
          <w:numId w:val="27"/>
        </w:numPr>
        <w:tabs>
          <w:tab w:val="left" w:pos="1021"/>
        </w:tabs>
        <w:ind w:left="1020" w:hanging="340"/>
        <w:jc w:val="both"/>
        <w:rPr>
          <w:rFonts w:ascii="Arial Narrow" w:hAnsi="Arial Narrow" w:cs="Arial"/>
          <w:sz w:val="22"/>
          <w:szCs w:val="22"/>
        </w:rPr>
      </w:pPr>
      <w:r>
        <w:rPr>
          <w:rFonts w:ascii="Arial Narrow" w:hAnsi="Arial Narrow" w:cs="Arial"/>
          <w:sz w:val="22"/>
          <w:szCs w:val="22"/>
        </w:rPr>
        <w:t>Dividendos repartidos durante el ejercicio, y el importe de los dividendos propuestos o acordados antes de que los estados financieros sean formulados.</w:t>
      </w:r>
    </w:p>
    <w:p w14:paraId="06B49CF5" w14:textId="77777777" w:rsidR="00A658D0" w:rsidRDefault="00A658D0">
      <w:pPr>
        <w:tabs>
          <w:tab w:val="left" w:pos="1021"/>
        </w:tabs>
        <w:ind w:left="1020"/>
        <w:jc w:val="both"/>
        <w:rPr>
          <w:rFonts w:ascii="Arial Narrow" w:hAnsi="Arial Narrow" w:cs="Arial"/>
          <w:sz w:val="22"/>
          <w:szCs w:val="22"/>
        </w:rPr>
      </w:pPr>
    </w:p>
    <w:p w14:paraId="06B49CF6" w14:textId="77777777" w:rsidR="00A658D0" w:rsidRDefault="00000000">
      <w:pPr>
        <w:numPr>
          <w:ilvl w:val="0"/>
          <w:numId w:val="5"/>
        </w:numPr>
        <w:tabs>
          <w:tab w:val="left" w:pos="680"/>
        </w:tabs>
        <w:ind w:left="680" w:hanging="340"/>
        <w:jc w:val="both"/>
        <w:rPr>
          <w:rFonts w:ascii="Arial Narrow" w:hAnsi="Arial Narrow" w:cs="Arial"/>
          <w:b/>
          <w:sz w:val="22"/>
          <w:szCs w:val="22"/>
        </w:rPr>
      </w:pPr>
      <w:r>
        <w:rPr>
          <w:rFonts w:ascii="Arial Narrow" w:hAnsi="Arial Narrow" w:cs="Arial"/>
          <w:b/>
          <w:sz w:val="22"/>
          <w:szCs w:val="22"/>
        </w:rPr>
        <w:t>HECHOS POSTERIORES</w:t>
      </w:r>
    </w:p>
    <w:p w14:paraId="06B49CF7" w14:textId="77777777" w:rsidR="00A658D0" w:rsidRDefault="00000000">
      <w:pPr>
        <w:ind w:left="680"/>
        <w:jc w:val="both"/>
        <w:rPr>
          <w:rFonts w:ascii="Arial Narrow" w:hAnsi="Arial Narrow" w:cs="Arial"/>
          <w:sz w:val="22"/>
          <w:szCs w:val="22"/>
        </w:rPr>
      </w:pPr>
      <w:r>
        <w:rPr>
          <w:rFonts w:ascii="Arial Narrow" w:hAnsi="Arial Narrow" w:cs="Arial"/>
          <w:sz w:val="22"/>
          <w:szCs w:val="22"/>
        </w:rPr>
        <w:t>Se deberá revelar información acerca de todo aquel suceso o evento que haya tenido o pueda tener influencia o efecto significativo en el desenvolvimiento de las operaciones o en los estados financieros.</w:t>
      </w:r>
    </w:p>
    <w:p w14:paraId="06B49CF8" w14:textId="77777777" w:rsidR="00A658D0" w:rsidRDefault="00A658D0">
      <w:pPr>
        <w:tabs>
          <w:tab w:val="left" w:pos="900"/>
          <w:tab w:val="left" w:pos="1843"/>
        </w:tabs>
        <w:ind w:left="1418"/>
        <w:jc w:val="both"/>
        <w:rPr>
          <w:rFonts w:ascii="Arial Narrow" w:hAnsi="Arial Narrow" w:cs="Arial"/>
          <w:sz w:val="22"/>
          <w:szCs w:val="22"/>
        </w:rPr>
      </w:pPr>
    </w:p>
    <w:p w14:paraId="06B49CF9" w14:textId="77777777" w:rsidR="00A658D0" w:rsidRDefault="00000000">
      <w:pPr>
        <w:numPr>
          <w:ilvl w:val="0"/>
          <w:numId w:val="4"/>
        </w:numPr>
        <w:tabs>
          <w:tab w:val="clear" w:pos="1212"/>
          <w:tab w:val="left" w:pos="340"/>
        </w:tabs>
        <w:ind w:left="340" w:hanging="340"/>
        <w:jc w:val="both"/>
        <w:rPr>
          <w:rFonts w:ascii="Arial Narrow" w:hAnsi="Arial Narrow" w:cs="Arial"/>
          <w:b/>
          <w:sz w:val="22"/>
          <w:szCs w:val="22"/>
          <w:u w:val="single"/>
        </w:rPr>
      </w:pPr>
      <w:r>
        <w:rPr>
          <w:rFonts w:ascii="Arial Narrow" w:hAnsi="Arial Narrow" w:cs="Arial"/>
          <w:b/>
          <w:sz w:val="22"/>
          <w:szCs w:val="22"/>
          <w:u w:val="single"/>
        </w:rPr>
        <w:t>ESTADOS FINANCIEROS TRIMESTRALES</w:t>
      </w:r>
    </w:p>
    <w:p w14:paraId="06B49CFA" w14:textId="77777777" w:rsidR="00A658D0" w:rsidRDefault="00000000">
      <w:pPr>
        <w:spacing w:after="120"/>
        <w:ind w:left="340"/>
        <w:jc w:val="both"/>
        <w:rPr>
          <w:rFonts w:ascii="Arial Narrow" w:hAnsi="Arial Narrow" w:cs="Arial"/>
          <w:sz w:val="22"/>
          <w:szCs w:val="22"/>
        </w:rPr>
      </w:pPr>
      <w:r>
        <w:rPr>
          <w:rFonts w:ascii="Arial Narrow" w:hAnsi="Arial Narrow" w:cs="Arial"/>
          <w:sz w:val="22"/>
          <w:szCs w:val="22"/>
        </w:rPr>
        <w:lastRenderedPageBreak/>
        <w:t>Las notas a los estados financieros trimestrales correspondiente a marzo, junio y setiembre se prepararán siguiendo los criterios de la NIC 34 “Información Financiera Intermedia”.</w:t>
      </w:r>
    </w:p>
    <w:p w14:paraId="06B49CFB" w14:textId="77777777" w:rsidR="00A658D0" w:rsidRDefault="00000000">
      <w:pPr>
        <w:spacing w:after="120"/>
        <w:ind w:left="340"/>
        <w:jc w:val="both"/>
        <w:rPr>
          <w:rFonts w:ascii="Arial Narrow" w:hAnsi="Arial Narrow" w:cs="Arial"/>
          <w:sz w:val="22"/>
          <w:szCs w:val="22"/>
        </w:rPr>
      </w:pPr>
      <w:r>
        <w:rPr>
          <w:rFonts w:ascii="Arial Narrow" w:hAnsi="Arial Narrow" w:cs="Arial"/>
          <w:sz w:val="22"/>
          <w:szCs w:val="22"/>
        </w:rPr>
        <w:t>Las empresas deben incluir una nota referida a sucesos o transacciones que resulten significativos para la comprensión de la información intermedia que se presenta. Esta nota incluirá los hechos posteriores al cierre y antes de la emisión de los estados financieros.</w:t>
      </w:r>
    </w:p>
    <w:p w14:paraId="06B49CFC" w14:textId="77777777" w:rsidR="00A658D0" w:rsidRDefault="00000000">
      <w:pPr>
        <w:ind w:left="426" w:hanging="426"/>
        <w:jc w:val="center"/>
        <w:rPr>
          <w:rFonts w:ascii="Arial Narrow" w:hAnsi="Arial Narrow"/>
          <w:b/>
          <w:sz w:val="22"/>
          <w:szCs w:val="22"/>
        </w:rPr>
      </w:pPr>
      <w:r>
        <w:rPr>
          <w:rFonts w:ascii="Arial Narrow" w:hAnsi="Arial Narrow" w:cs="Arial"/>
          <w:sz w:val="22"/>
          <w:szCs w:val="22"/>
        </w:rPr>
        <w:t xml:space="preserve">La remisión de las notas trimestrales a la SBS no resulta aplicable a las empresas, </w:t>
      </w:r>
      <w:proofErr w:type="gramStart"/>
      <w:r>
        <w:rPr>
          <w:rFonts w:ascii="Arial Narrow" w:hAnsi="Arial Narrow" w:cs="Arial"/>
          <w:sz w:val="22"/>
          <w:szCs w:val="22"/>
        </w:rPr>
        <w:t>en razón de</w:t>
      </w:r>
      <w:proofErr w:type="gramEnd"/>
      <w:r>
        <w:rPr>
          <w:rFonts w:ascii="Arial Narrow" w:hAnsi="Arial Narrow" w:cs="Arial"/>
          <w:sz w:val="22"/>
          <w:szCs w:val="22"/>
        </w:rPr>
        <w:t xml:space="preserve"> la presentación de la citada información a la Superintendencia del Mercado de Valores.</w:t>
      </w:r>
      <w:r>
        <w:rPr>
          <w:rFonts w:cs="Arial"/>
        </w:rPr>
        <w:br w:type="page"/>
      </w:r>
      <w:r>
        <w:rPr>
          <w:rFonts w:ascii="Arial Narrow" w:hAnsi="Arial Narrow"/>
          <w:b/>
          <w:sz w:val="22"/>
          <w:szCs w:val="22"/>
        </w:rPr>
        <w:lastRenderedPageBreak/>
        <w:t xml:space="preserve">TABLA DE ENTIDADES FINANCIERAS </w:t>
      </w:r>
      <w:r>
        <w:rPr>
          <w:b/>
          <w:szCs w:val="22"/>
        </w:rPr>
        <w:footnoteReference w:id="31"/>
      </w:r>
    </w:p>
    <w:p w14:paraId="06B49CFD" w14:textId="77777777" w:rsidR="00A658D0" w:rsidRDefault="00000000">
      <w:pPr>
        <w:ind w:left="426" w:hanging="426"/>
        <w:jc w:val="center"/>
        <w:rPr>
          <w:rFonts w:ascii="Arial Narrow" w:hAnsi="Arial Narrow"/>
          <w:b/>
          <w:sz w:val="22"/>
          <w:szCs w:val="22"/>
        </w:rPr>
      </w:pPr>
      <w:r>
        <w:rPr>
          <w:rFonts w:ascii="Arial Narrow" w:hAnsi="Arial Narrow"/>
          <w:b/>
          <w:sz w:val="22"/>
          <w:szCs w:val="22"/>
        </w:rPr>
        <w:t>Para ser utilizada en rubros 10 y 21</w:t>
      </w:r>
    </w:p>
    <w:tbl>
      <w:tblPr>
        <w:tblW w:w="88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9"/>
        <w:gridCol w:w="709"/>
        <w:gridCol w:w="2977"/>
        <w:gridCol w:w="672"/>
        <w:gridCol w:w="684"/>
        <w:gridCol w:w="3038"/>
      </w:tblGrid>
      <w:tr w:rsidR="00A658D0" w14:paraId="06B49D04" w14:textId="77777777">
        <w:trPr>
          <w:tblHeader/>
        </w:trPr>
        <w:tc>
          <w:tcPr>
            <w:tcW w:w="779" w:type="dxa"/>
            <w:tcBorders>
              <w:top w:val="single" w:sz="12" w:space="0" w:color="auto"/>
              <w:bottom w:val="single" w:sz="6" w:space="0" w:color="auto"/>
            </w:tcBorders>
            <w:shd w:val="pct30" w:color="auto" w:fill="auto"/>
          </w:tcPr>
          <w:p w14:paraId="06B49CFE" w14:textId="77777777" w:rsidR="00A658D0" w:rsidRDefault="00000000">
            <w:pPr>
              <w:jc w:val="center"/>
              <w:rPr>
                <w:rFonts w:ascii="Arial Narrow" w:hAnsi="Arial Narrow"/>
                <w:b/>
                <w:sz w:val="22"/>
                <w:szCs w:val="22"/>
                <w:lang w:val="fr-FR"/>
              </w:rPr>
            </w:pPr>
            <w:proofErr w:type="spellStart"/>
            <w:r>
              <w:rPr>
                <w:rFonts w:ascii="Arial Narrow" w:hAnsi="Arial Narrow"/>
                <w:b/>
                <w:sz w:val="22"/>
                <w:szCs w:val="22"/>
                <w:lang w:val="fr-FR"/>
              </w:rPr>
              <w:t>Cód</w:t>
            </w:r>
            <w:proofErr w:type="spellEnd"/>
            <w:r>
              <w:rPr>
                <w:rFonts w:ascii="Arial Narrow" w:hAnsi="Arial Narrow"/>
                <w:b/>
                <w:sz w:val="22"/>
                <w:szCs w:val="22"/>
                <w:lang w:val="fr-FR"/>
              </w:rPr>
              <w:t>.</w:t>
            </w:r>
          </w:p>
        </w:tc>
        <w:tc>
          <w:tcPr>
            <w:tcW w:w="709" w:type="dxa"/>
            <w:tcBorders>
              <w:top w:val="single" w:sz="12" w:space="0" w:color="auto"/>
              <w:bottom w:val="single" w:sz="6" w:space="0" w:color="auto"/>
            </w:tcBorders>
            <w:shd w:val="pct30" w:color="auto" w:fill="auto"/>
          </w:tcPr>
          <w:p w14:paraId="06B49CFF" w14:textId="77777777" w:rsidR="00A658D0" w:rsidRDefault="00000000">
            <w:pPr>
              <w:jc w:val="center"/>
              <w:rPr>
                <w:rFonts w:ascii="Arial Narrow" w:hAnsi="Arial Narrow"/>
                <w:b/>
                <w:sz w:val="22"/>
                <w:szCs w:val="22"/>
                <w:lang w:val="fr-FR"/>
              </w:rPr>
            </w:pPr>
            <w:r>
              <w:rPr>
                <w:rFonts w:ascii="Arial Narrow" w:hAnsi="Arial Narrow"/>
                <w:b/>
                <w:sz w:val="22"/>
                <w:szCs w:val="22"/>
                <w:lang w:val="fr-FR"/>
              </w:rPr>
              <w:t>T/</w:t>
            </w:r>
            <w:proofErr w:type="spellStart"/>
            <w:r>
              <w:rPr>
                <w:rFonts w:ascii="Arial Narrow" w:hAnsi="Arial Narrow"/>
                <w:b/>
                <w:sz w:val="22"/>
                <w:szCs w:val="22"/>
                <w:lang w:val="fr-FR"/>
              </w:rPr>
              <w:t>ent</w:t>
            </w:r>
            <w:proofErr w:type="spellEnd"/>
            <w:r>
              <w:rPr>
                <w:rFonts w:ascii="Arial Narrow" w:hAnsi="Arial Narrow"/>
                <w:b/>
                <w:sz w:val="22"/>
                <w:szCs w:val="22"/>
                <w:lang w:val="fr-FR"/>
              </w:rPr>
              <w:t>.</w:t>
            </w:r>
          </w:p>
        </w:tc>
        <w:tc>
          <w:tcPr>
            <w:tcW w:w="2977" w:type="dxa"/>
            <w:tcBorders>
              <w:top w:val="single" w:sz="12" w:space="0" w:color="auto"/>
              <w:bottom w:val="single" w:sz="6" w:space="0" w:color="auto"/>
            </w:tcBorders>
            <w:shd w:val="pct30" w:color="auto" w:fill="auto"/>
          </w:tcPr>
          <w:p w14:paraId="06B49D00" w14:textId="77777777" w:rsidR="00A658D0" w:rsidRDefault="00000000">
            <w:pPr>
              <w:rPr>
                <w:rFonts w:ascii="Arial Narrow" w:hAnsi="Arial Narrow"/>
                <w:b/>
                <w:sz w:val="22"/>
                <w:szCs w:val="22"/>
              </w:rPr>
            </w:pPr>
            <w:r>
              <w:rPr>
                <w:rFonts w:ascii="Arial Narrow" w:hAnsi="Arial Narrow"/>
                <w:b/>
                <w:sz w:val="22"/>
                <w:szCs w:val="22"/>
              </w:rPr>
              <w:t>BANCOS</w:t>
            </w:r>
          </w:p>
        </w:tc>
        <w:tc>
          <w:tcPr>
            <w:tcW w:w="672" w:type="dxa"/>
            <w:tcBorders>
              <w:top w:val="single" w:sz="12" w:space="0" w:color="auto"/>
              <w:bottom w:val="single" w:sz="6" w:space="0" w:color="auto"/>
            </w:tcBorders>
            <w:shd w:val="pct30" w:color="auto" w:fill="auto"/>
          </w:tcPr>
          <w:p w14:paraId="06B49D01" w14:textId="77777777" w:rsidR="00A658D0" w:rsidRDefault="00000000">
            <w:pPr>
              <w:jc w:val="center"/>
              <w:rPr>
                <w:rFonts w:ascii="Arial Narrow" w:hAnsi="Arial Narrow"/>
                <w:b/>
                <w:sz w:val="22"/>
                <w:szCs w:val="22"/>
              </w:rPr>
            </w:pPr>
            <w:r>
              <w:rPr>
                <w:rFonts w:ascii="Arial Narrow" w:hAnsi="Arial Narrow"/>
                <w:b/>
                <w:sz w:val="22"/>
                <w:szCs w:val="22"/>
              </w:rPr>
              <w:t>Cód.</w:t>
            </w:r>
          </w:p>
        </w:tc>
        <w:tc>
          <w:tcPr>
            <w:tcW w:w="684" w:type="dxa"/>
            <w:tcBorders>
              <w:top w:val="single" w:sz="12" w:space="0" w:color="auto"/>
              <w:bottom w:val="single" w:sz="6" w:space="0" w:color="auto"/>
            </w:tcBorders>
            <w:shd w:val="pct30" w:color="auto" w:fill="auto"/>
          </w:tcPr>
          <w:p w14:paraId="06B49D02" w14:textId="77777777" w:rsidR="00A658D0" w:rsidRDefault="00000000">
            <w:pPr>
              <w:jc w:val="center"/>
              <w:rPr>
                <w:rFonts w:ascii="Arial Narrow" w:hAnsi="Arial Narrow"/>
                <w:b/>
                <w:sz w:val="22"/>
                <w:szCs w:val="22"/>
              </w:rPr>
            </w:pPr>
            <w:r>
              <w:rPr>
                <w:rFonts w:ascii="Arial Narrow" w:hAnsi="Arial Narrow"/>
                <w:b/>
                <w:sz w:val="22"/>
                <w:szCs w:val="22"/>
              </w:rPr>
              <w:t>T/</w:t>
            </w:r>
            <w:proofErr w:type="spellStart"/>
            <w:r>
              <w:rPr>
                <w:rFonts w:ascii="Arial Narrow" w:hAnsi="Arial Narrow"/>
                <w:b/>
                <w:sz w:val="22"/>
                <w:szCs w:val="22"/>
              </w:rPr>
              <w:t>ent</w:t>
            </w:r>
            <w:proofErr w:type="spellEnd"/>
            <w:r>
              <w:rPr>
                <w:rFonts w:ascii="Arial Narrow" w:hAnsi="Arial Narrow"/>
                <w:b/>
                <w:sz w:val="22"/>
                <w:szCs w:val="22"/>
              </w:rPr>
              <w:t>.</w:t>
            </w:r>
          </w:p>
        </w:tc>
        <w:tc>
          <w:tcPr>
            <w:tcW w:w="3038" w:type="dxa"/>
            <w:tcBorders>
              <w:top w:val="single" w:sz="12" w:space="0" w:color="auto"/>
              <w:bottom w:val="single" w:sz="6" w:space="0" w:color="auto"/>
            </w:tcBorders>
            <w:shd w:val="pct30" w:color="auto" w:fill="auto"/>
          </w:tcPr>
          <w:p w14:paraId="06B49D03" w14:textId="77777777" w:rsidR="00A658D0" w:rsidRDefault="00000000">
            <w:pPr>
              <w:rPr>
                <w:rFonts w:ascii="Arial Narrow" w:hAnsi="Arial Narrow"/>
                <w:sz w:val="22"/>
                <w:szCs w:val="22"/>
              </w:rPr>
            </w:pPr>
            <w:r>
              <w:rPr>
                <w:rFonts w:ascii="Arial Narrow" w:hAnsi="Arial Narrow"/>
                <w:b/>
                <w:sz w:val="22"/>
                <w:szCs w:val="22"/>
              </w:rPr>
              <w:t>FINANCIERAS</w:t>
            </w:r>
          </w:p>
        </w:tc>
      </w:tr>
      <w:tr w:rsidR="00A658D0" w14:paraId="06B49D0B" w14:textId="77777777">
        <w:tc>
          <w:tcPr>
            <w:tcW w:w="779" w:type="dxa"/>
            <w:tcBorders>
              <w:top w:val="nil"/>
            </w:tcBorders>
          </w:tcPr>
          <w:p w14:paraId="06B49D05" w14:textId="77777777" w:rsidR="00A658D0" w:rsidRDefault="00000000">
            <w:pPr>
              <w:jc w:val="center"/>
              <w:rPr>
                <w:rFonts w:ascii="Arial Narrow" w:hAnsi="Arial Narrow"/>
                <w:sz w:val="22"/>
                <w:szCs w:val="22"/>
              </w:rPr>
            </w:pPr>
            <w:r>
              <w:rPr>
                <w:rFonts w:ascii="Arial Narrow" w:hAnsi="Arial Narrow"/>
                <w:sz w:val="22"/>
                <w:szCs w:val="22"/>
              </w:rPr>
              <w:t>01</w:t>
            </w:r>
          </w:p>
        </w:tc>
        <w:tc>
          <w:tcPr>
            <w:tcW w:w="709" w:type="dxa"/>
            <w:tcBorders>
              <w:top w:val="nil"/>
            </w:tcBorders>
          </w:tcPr>
          <w:p w14:paraId="06B49D06"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Borders>
              <w:top w:val="nil"/>
            </w:tcBorders>
          </w:tcPr>
          <w:p w14:paraId="06B49D07" w14:textId="77777777" w:rsidR="00A658D0" w:rsidRDefault="00000000">
            <w:pPr>
              <w:rPr>
                <w:rFonts w:ascii="Arial Narrow" w:hAnsi="Arial Narrow"/>
                <w:sz w:val="22"/>
                <w:szCs w:val="22"/>
              </w:rPr>
            </w:pPr>
            <w:r>
              <w:rPr>
                <w:rFonts w:ascii="Arial Narrow" w:hAnsi="Arial Narrow"/>
                <w:sz w:val="22"/>
                <w:szCs w:val="22"/>
              </w:rPr>
              <w:t>Banco de crédito del Perú</w:t>
            </w:r>
          </w:p>
        </w:tc>
        <w:tc>
          <w:tcPr>
            <w:tcW w:w="672" w:type="dxa"/>
            <w:tcBorders>
              <w:top w:val="nil"/>
            </w:tcBorders>
          </w:tcPr>
          <w:p w14:paraId="06B49D08" w14:textId="77777777" w:rsidR="00A658D0" w:rsidRDefault="00000000">
            <w:pPr>
              <w:jc w:val="center"/>
              <w:rPr>
                <w:rFonts w:ascii="Arial Narrow" w:hAnsi="Arial Narrow"/>
                <w:sz w:val="22"/>
                <w:szCs w:val="22"/>
                <w:lang w:val="en-US"/>
              </w:rPr>
            </w:pPr>
            <w:r>
              <w:rPr>
                <w:rFonts w:ascii="Arial Narrow" w:hAnsi="Arial Narrow"/>
                <w:sz w:val="22"/>
                <w:szCs w:val="22"/>
                <w:lang w:val="en-US"/>
              </w:rPr>
              <w:t>67</w:t>
            </w:r>
          </w:p>
        </w:tc>
        <w:tc>
          <w:tcPr>
            <w:tcW w:w="684" w:type="dxa"/>
            <w:tcBorders>
              <w:top w:val="nil"/>
            </w:tcBorders>
          </w:tcPr>
          <w:p w14:paraId="06B49D09" w14:textId="77777777" w:rsidR="00A658D0" w:rsidRDefault="00A658D0">
            <w:pPr>
              <w:jc w:val="center"/>
              <w:rPr>
                <w:rFonts w:ascii="Arial Narrow" w:hAnsi="Arial Narrow"/>
                <w:sz w:val="22"/>
                <w:szCs w:val="22"/>
                <w:lang w:val="en-US"/>
              </w:rPr>
            </w:pPr>
          </w:p>
        </w:tc>
        <w:tc>
          <w:tcPr>
            <w:tcW w:w="3038" w:type="dxa"/>
            <w:tcBorders>
              <w:top w:val="nil"/>
            </w:tcBorders>
          </w:tcPr>
          <w:p w14:paraId="06B49D0A" w14:textId="77777777" w:rsidR="00A658D0" w:rsidRDefault="00000000">
            <w:pPr>
              <w:rPr>
                <w:rFonts w:ascii="Arial Narrow" w:hAnsi="Arial Narrow"/>
                <w:sz w:val="22"/>
                <w:szCs w:val="22"/>
                <w:lang w:val="en-US"/>
              </w:rPr>
            </w:pPr>
            <w:r>
              <w:rPr>
                <w:rStyle w:val="Refdenotaalpie"/>
                <w:rFonts w:ascii="Arial Narrow" w:hAnsi="Arial Narrow"/>
                <w:sz w:val="22"/>
                <w:szCs w:val="22"/>
                <w:lang w:val="en-US"/>
              </w:rPr>
              <w:footnoteReference w:id="32"/>
            </w:r>
          </w:p>
        </w:tc>
      </w:tr>
      <w:tr w:rsidR="00A658D0" w14:paraId="06B49D12" w14:textId="77777777">
        <w:tc>
          <w:tcPr>
            <w:tcW w:w="779" w:type="dxa"/>
          </w:tcPr>
          <w:p w14:paraId="06B49D0C" w14:textId="77777777" w:rsidR="00A658D0" w:rsidRDefault="00000000">
            <w:pPr>
              <w:jc w:val="center"/>
              <w:rPr>
                <w:rFonts w:ascii="Arial Narrow" w:hAnsi="Arial Narrow"/>
                <w:sz w:val="22"/>
                <w:szCs w:val="22"/>
                <w:lang w:val="en-US"/>
              </w:rPr>
            </w:pPr>
            <w:r>
              <w:rPr>
                <w:rFonts w:ascii="Arial Narrow" w:hAnsi="Arial Narrow"/>
                <w:sz w:val="22"/>
                <w:szCs w:val="22"/>
                <w:lang w:val="en-US"/>
              </w:rPr>
              <w:t>02</w:t>
            </w:r>
          </w:p>
        </w:tc>
        <w:tc>
          <w:tcPr>
            <w:tcW w:w="709" w:type="dxa"/>
          </w:tcPr>
          <w:p w14:paraId="06B49D0D" w14:textId="77777777" w:rsidR="00A658D0" w:rsidRDefault="00000000">
            <w:pPr>
              <w:jc w:val="center"/>
              <w:rPr>
                <w:rFonts w:ascii="Arial Narrow" w:hAnsi="Arial Narrow"/>
                <w:sz w:val="22"/>
                <w:szCs w:val="22"/>
                <w:lang w:val="en-US"/>
              </w:rPr>
            </w:pPr>
            <w:r>
              <w:rPr>
                <w:rFonts w:ascii="Arial Narrow" w:hAnsi="Arial Narrow"/>
                <w:sz w:val="22"/>
                <w:szCs w:val="22"/>
                <w:lang w:val="en-US"/>
              </w:rPr>
              <w:t>B</w:t>
            </w:r>
          </w:p>
        </w:tc>
        <w:tc>
          <w:tcPr>
            <w:tcW w:w="2977" w:type="dxa"/>
          </w:tcPr>
          <w:p w14:paraId="06B49D0E" w14:textId="77777777" w:rsidR="00A658D0" w:rsidRDefault="00000000">
            <w:pPr>
              <w:rPr>
                <w:rFonts w:ascii="Arial Narrow" w:hAnsi="Arial Narrow"/>
                <w:sz w:val="22"/>
                <w:szCs w:val="22"/>
              </w:rPr>
            </w:pPr>
            <w:r>
              <w:rPr>
                <w:rFonts w:ascii="Arial Narrow" w:hAnsi="Arial Narrow"/>
                <w:sz w:val="22"/>
                <w:szCs w:val="22"/>
              </w:rPr>
              <w:t>Banco Internacional del Perú -INTERBANK</w:t>
            </w:r>
          </w:p>
        </w:tc>
        <w:tc>
          <w:tcPr>
            <w:tcW w:w="672" w:type="dxa"/>
          </w:tcPr>
          <w:p w14:paraId="06B49D0F" w14:textId="77777777" w:rsidR="00A658D0" w:rsidRDefault="00000000">
            <w:pPr>
              <w:jc w:val="center"/>
              <w:rPr>
                <w:rFonts w:ascii="Arial Narrow" w:hAnsi="Arial Narrow"/>
                <w:sz w:val="22"/>
                <w:szCs w:val="22"/>
              </w:rPr>
            </w:pPr>
            <w:r>
              <w:rPr>
                <w:rFonts w:ascii="Arial Narrow" w:hAnsi="Arial Narrow"/>
                <w:sz w:val="22"/>
                <w:szCs w:val="22"/>
                <w:lang w:val="en-US"/>
              </w:rPr>
              <w:t>69</w:t>
            </w:r>
          </w:p>
        </w:tc>
        <w:tc>
          <w:tcPr>
            <w:tcW w:w="684" w:type="dxa"/>
          </w:tcPr>
          <w:p w14:paraId="06B49D10" w14:textId="77777777" w:rsidR="00A658D0" w:rsidRDefault="00A658D0">
            <w:pPr>
              <w:jc w:val="center"/>
              <w:rPr>
                <w:rFonts w:ascii="Arial Narrow" w:hAnsi="Arial Narrow"/>
                <w:sz w:val="22"/>
                <w:szCs w:val="22"/>
              </w:rPr>
            </w:pPr>
          </w:p>
        </w:tc>
        <w:tc>
          <w:tcPr>
            <w:tcW w:w="3038" w:type="dxa"/>
          </w:tcPr>
          <w:p w14:paraId="06B49D11" w14:textId="77777777" w:rsidR="00A658D0" w:rsidRDefault="00000000">
            <w:pPr>
              <w:rPr>
                <w:rFonts w:ascii="Arial Narrow" w:hAnsi="Arial Narrow"/>
                <w:sz w:val="22"/>
                <w:szCs w:val="22"/>
              </w:rPr>
            </w:pPr>
            <w:r>
              <w:rPr>
                <w:rStyle w:val="Refdenotaalpie"/>
                <w:rFonts w:ascii="Arial Narrow" w:hAnsi="Arial Narrow"/>
                <w:sz w:val="22"/>
                <w:szCs w:val="22"/>
                <w:lang w:val="en-US"/>
              </w:rPr>
              <w:footnoteReference w:id="33"/>
            </w:r>
          </w:p>
        </w:tc>
      </w:tr>
      <w:tr w:rsidR="00A658D0" w14:paraId="06B49D19" w14:textId="77777777">
        <w:tc>
          <w:tcPr>
            <w:tcW w:w="779" w:type="dxa"/>
          </w:tcPr>
          <w:p w14:paraId="06B49D13" w14:textId="77777777" w:rsidR="00A658D0" w:rsidRDefault="00000000">
            <w:pPr>
              <w:jc w:val="center"/>
              <w:rPr>
                <w:rFonts w:ascii="Arial Narrow" w:hAnsi="Arial Narrow"/>
                <w:sz w:val="22"/>
                <w:szCs w:val="22"/>
                <w:lang w:val="en-US"/>
              </w:rPr>
            </w:pPr>
            <w:r>
              <w:rPr>
                <w:rFonts w:ascii="Arial Narrow" w:hAnsi="Arial Narrow"/>
                <w:sz w:val="22"/>
                <w:szCs w:val="22"/>
                <w:lang w:val="en-US"/>
              </w:rPr>
              <w:t>03</w:t>
            </w:r>
          </w:p>
        </w:tc>
        <w:tc>
          <w:tcPr>
            <w:tcW w:w="709" w:type="dxa"/>
          </w:tcPr>
          <w:p w14:paraId="06B49D14" w14:textId="77777777" w:rsidR="00A658D0" w:rsidRDefault="00000000">
            <w:pPr>
              <w:jc w:val="center"/>
              <w:rPr>
                <w:rFonts w:ascii="Arial Narrow" w:hAnsi="Arial Narrow"/>
                <w:sz w:val="22"/>
                <w:szCs w:val="22"/>
                <w:lang w:val="en-US"/>
              </w:rPr>
            </w:pPr>
            <w:r>
              <w:rPr>
                <w:rFonts w:ascii="Arial Narrow" w:hAnsi="Arial Narrow"/>
                <w:sz w:val="22"/>
                <w:szCs w:val="22"/>
                <w:lang w:val="en-US"/>
              </w:rPr>
              <w:t>B</w:t>
            </w:r>
          </w:p>
        </w:tc>
        <w:tc>
          <w:tcPr>
            <w:tcW w:w="2977" w:type="dxa"/>
          </w:tcPr>
          <w:p w14:paraId="06B49D15" w14:textId="77777777" w:rsidR="00A658D0" w:rsidRDefault="00000000">
            <w:pPr>
              <w:rPr>
                <w:rFonts w:ascii="Arial Narrow" w:hAnsi="Arial Narrow"/>
                <w:sz w:val="22"/>
                <w:szCs w:val="22"/>
                <w:lang w:val="en-US"/>
              </w:rPr>
            </w:pPr>
            <w:r>
              <w:rPr>
                <w:rFonts w:ascii="Arial Narrow" w:hAnsi="Arial Narrow"/>
                <w:sz w:val="22"/>
                <w:szCs w:val="22"/>
                <w:lang w:val="en-US"/>
              </w:rPr>
              <w:t>Scotiabank</w:t>
            </w:r>
          </w:p>
        </w:tc>
        <w:tc>
          <w:tcPr>
            <w:tcW w:w="672" w:type="dxa"/>
          </w:tcPr>
          <w:p w14:paraId="06B49D16" w14:textId="77777777" w:rsidR="00A658D0" w:rsidRDefault="00000000">
            <w:pPr>
              <w:jc w:val="center"/>
              <w:rPr>
                <w:rFonts w:ascii="Arial Narrow" w:hAnsi="Arial Narrow"/>
                <w:sz w:val="22"/>
                <w:szCs w:val="22"/>
              </w:rPr>
            </w:pPr>
            <w:r>
              <w:rPr>
                <w:rFonts w:ascii="Arial Narrow" w:hAnsi="Arial Narrow"/>
                <w:sz w:val="22"/>
                <w:szCs w:val="22"/>
              </w:rPr>
              <w:t>70</w:t>
            </w:r>
          </w:p>
        </w:tc>
        <w:tc>
          <w:tcPr>
            <w:tcW w:w="684" w:type="dxa"/>
          </w:tcPr>
          <w:p w14:paraId="06B49D17" w14:textId="77777777" w:rsidR="00A658D0" w:rsidRDefault="00A658D0">
            <w:pPr>
              <w:jc w:val="center"/>
              <w:rPr>
                <w:rFonts w:ascii="Arial Narrow" w:hAnsi="Arial Narrow"/>
                <w:sz w:val="22"/>
                <w:szCs w:val="22"/>
              </w:rPr>
            </w:pPr>
          </w:p>
        </w:tc>
        <w:tc>
          <w:tcPr>
            <w:tcW w:w="3038" w:type="dxa"/>
          </w:tcPr>
          <w:p w14:paraId="06B49D18" w14:textId="77777777" w:rsidR="00A658D0" w:rsidRDefault="00000000">
            <w:pPr>
              <w:rPr>
                <w:rFonts w:ascii="Arial Narrow" w:hAnsi="Arial Narrow"/>
                <w:sz w:val="22"/>
                <w:szCs w:val="22"/>
              </w:rPr>
            </w:pPr>
            <w:r>
              <w:rPr>
                <w:rStyle w:val="Refdenotaalpie"/>
                <w:rFonts w:ascii="Arial Narrow" w:hAnsi="Arial Narrow"/>
                <w:sz w:val="22"/>
                <w:szCs w:val="22"/>
              </w:rPr>
              <w:footnoteReference w:id="34"/>
            </w:r>
          </w:p>
        </w:tc>
      </w:tr>
      <w:tr w:rsidR="00A658D0" w14:paraId="06B49D20" w14:textId="77777777">
        <w:tc>
          <w:tcPr>
            <w:tcW w:w="779" w:type="dxa"/>
          </w:tcPr>
          <w:p w14:paraId="06B49D1A" w14:textId="77777777" w:rsidR="00A658D0" w:rsidRDefault="00000000">
            <w:pPr>
              <w:jc w:val="center"/>
              <w:rPr>
                <w:rFonts w:ascii="Arial Narrow" w:hAnsi="Arial Narrow"/>
                <w:sz w:val="22"/>
                <w:szCs w:val="22"/>
                <w:lang w:val="en-US"/>
              </w:rPr>
            </w:pPr>
            <w:r>
              <w:rPr>
                <w:rFonts w:ascii="Arial Narrow" w:hAnsi="Arial Narrow"/>
                <w:sz w:val="22"/>
                <w:szCs w:val="22"/>
                <w:lang w:val="en-US"/>
              </w:rPr>
              <w:t>04</w:t>
            </w:r>
          </w:p>
        </w:tc>
        <w:tc>
          <w:tcPr>
            <w:tcW w:w="709" w:type="dxa"/>
          </w:tcPr>
          <w:p w14:paraId="06B49D1B" w14:textId="77777777" w:rsidR="00A658D0" w:rsidRDefault="00000000">
            <w:pPr>
              <w:jc w:val="center"/>
              <w:rPr>
                <w:rFonts w:ascii="Arial Narrow" w:hAnsi="Arial Narrow"/>
                <w:sz w:val="22"/>
                <w:szCs w:val="22"/>
                <w:lang w:val="en-US"/>
              </w:rPr>
            </w:pPr>
            <w:r>
              <w:rPr>
                <w:rFonts w:ascii="Arial Narrow" w:hAnsi="Arial Narrow"/>
                <w:sz w:val="22"/>
                <w:szCs w:val="22"/>
                <w:lang w:val="en-US"/>
              </w:rPr>
              <w:t>B</w:t>
            </w:r>
          </w:p>
        </w:tc>
        <w:tc>
          <w:tcPr>
            <w:tcW w:w="2977" w:type="dxa"/>
          </w:tcPr>
          <w:p w14:paraId="06B49D1C" w14:textId="77777777" w:rsidR="00A658D0" w:rsidRDefault="00000000">
            <w:pPr>
              <w:rPr>
                <w:rFonts w:ascii="Arial Narrow" w:hAnsi="Arial Narrow"/>
                <w:sz w:val="22"/>
                <w:szCs w:val="22"/>
              </w:rPr>
            </w:pPr>
            <w:r>
              <w:rPr>
                <w:rFonts w:ascii="Arial Narrow" w:hAnsi="Arial Narrow"/>
                <w:sz w:val="22"/>
                <w:szCs w:val="22"/>
              </w:rPr>
              <w:t>Banco BBVA Perú</w:t>
            </w:r>
            <w:r>
              <w:rPr>
                <w:rStyle w:val="Refdenotaalpie"/>
                <w:rFonts w:ascii="Arial Narrow" w:hAnsi="Arial Narrow"/>
                <w:sz w:val="22"/>
                <w:szCs w:val="22"/>
              </w:rPr>
              <w:footnoteReference w:id="35"/>
            </w:r>
          </w:p>
        </w:tc>
        <w:tc>
          <w:tcPr>
            <w:tcW w:w="672" w:type="dxa"/>
          </w:tcPr>
          <w:p w14:paraId="06B49D1D" w14:textId="77777777" w:rsidR="00A658D0" w:rsidRDefault="00000000">
            <w:pPr>
              <w:jc w:val="center"/>
              <w:rPr>
                <w:rFonts w:ascii="Arial Narrow" w:hAnsi="Arial Narrow"/>
                <w:sz w:val="22"/>
                <w:szCs w:val="22"/>
              </w:rPr>
            </w:pPr>
            <w:r>
              <w:rPr>
                <w:rFonts w:ascii="Arial Narrow" w:hAnsi="Arial Narrow"/>
                <w:sz w:val="22"/>
                <w:szCs w:val="22"/>
              </w:rPr>
              <w:t>71</w:t>
            </w:r>
          </w:p>
        </w:tc>
        <w:tc>
          <w:tcPr>
            <w:tcW w:w="684" w:type="dxa"/>
          </w:tcPr>
          <w:p w14:paraId="06B49D1E" w14:textId="77777777" w:rsidR="00A658D0" w:rsidRDefault="00A658D0">
            <w:pPr>
              <w:jc w:val="center"/>
              <w:rPr>
                <w:rFonts w:ascii="Arial Narrow" w:hAnsi="Arial Narrow"/>
                <w:sz w:val="22"/>
                <w:szCs w:val="22"/>
              </w:rPr>
            </w:pPr>
          </w:p>
        </w:tc>
        <w:tc>
          <w:tcPr>
            <w:tcW w:w="3038" w:type="dxa"/>
          </w:tcPr>
          <w:p w14:paraId="06B49D1F" w14:textId="77777777" w:rsidR="00A658D0" w:rsidRDefault="00000000">
            <w:pPr>
              <w:rPr>
                <w:rFonts w:ascii="Arial Narrow" w:hAnsi="Arial Narrow"/>
                <w:sz w:val="22"/>
                <w:szCs w:val="22"/>
              </w:rPr>
            </w:pPr>
            <w:r>
              <w:rPr>
                <w:rStyle w:val="Refdenotaalpie"/>
                <w:rFonts w:ascii="Arial Narrow" w:hAnsi="Arial Narrow"/>
                <w:sz w:val="22"/>
                <w:szCs w:val="22"/>
              </w:rPr>
              <w:footnoteReference w:id="36"/>
            </w:r>
          </w:p>
        </w:tc>
      </w:tr>
      <w:tr w:rsidR="00A658D0" w14:paraId="06B49D27" w14:textId="77777777">
        <w:tc>
          <w:tcPr>
            <w:tcW w:w="779" w:type="dxa"/>
          </w:tcPr>
          <w:p w14:paraId="06B49D21" w14:textId="77777777" w:rsidR="00A658D0" w:rsidRDefault="00000000">
            <w:pPr>
              <w:jc w:val="center"/>
              <w:rPr>
                <w:rFonts w:ascii="Arial Narrow" w:hAnsi="Arial Narrow"/>
                <w:sz w:val="22"/>
                <w:szCs w:val="22"/>
              </w:rPr>
            </w:pPr>
            <w:r>
              <w:rPr>
                <w:rFonts w:ascii="Arial Narrow" w:hAnsi="Arial Narrow"/>
                <w:sz w:val="22"/>
                <w:szCs w:val="22"/>
              </w:rPr>
              <w:t>07</w:t>
            </w:r>
          </w:p>
        </w:tc>
        <w:tc>
          <w:tcPr>
            <w:tcW w:w="709" w:type="dxa"/>
          </w:tcPr>
          <w:p w14:paraId="06B49D22"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23" w14:textId="77777777" w:rsidR="00A658D0" w:rsidRDefault="00000000">
            <w:pPr>
              <w:rPr>
                <w:rFonts w:ascii="Arial Narrow" w:hAnsi="Arial Narrow"/>
                <w:sz w:val="22"/>
                <w:szCs w:val="22"/>
              </w:rPr>
            </w:pPr>
            <w:r>
              <w:rPr>
                <w:rFonts w:ascii="Arial Narrow" w:hAnsi="Arial Narrow"/>
                <w:sz w:val="22"/>
                <w:szCs w:val="22"/>
              </w:rPr>
              <w:t>Banco de Comercio</w:t>
            </w:r>
          </w:p>
        </w:tc>
        <w:tc>
          <w:tcPr>
            <w:tcW w:w="672" w:type="dxa"/>
          </w:tcPr>
          <w:p w14:paraId="06B49D24" w14:textId="77777777" w:rsidR="00A658D0" w:rsidRDefault="00000000">
            <w:pPr>
              <w:jc w:val="center"/>
              <w:rPr>
                <w:rFonts w:ascii="Arial Narrow" w:hAnsi="Arial Narrow"/>
                <w:sz w:val="22"/>
                <w:szCs w:val="22"/>
              </w:rPr>
            </w:pPr>
            <w:r>
              <w:rPr>
                <w:rFonts w:ascii="Arial Narrow" w:hAnsi="Arial Narrow"/>
                <w:sz w:val="22"/>
                <w:szCs w:val="22"/>
              </w:rPr>
              <w:t>72</w:t>
            </w:r>
          </w:p>
        </w:tc>
        <w:tc>
          <w:tcPr>
            <w:tcW w:w="684" w:type="dxa"/>
          </w:tcPr>
          <w:p w14:paraId="06B49D25" w14:textId="77777777" w:rsidR="00A658D0" w:rsidRDefault="00000000">
            <w:pPr>
              <w:jc w:val="center"/>
              <w:rPr>
                <w:rFonts w:ascii="Arial Narrow" w:hAnsi="Arial Narrow"/>
                <w:sz w:val="22"/>
                <w:szCs w:val="22"/>
              </w:rPr>
            </w:pPr>
            <w:r>
              <w:rPr>
                <w:rFonts w:ascii="Arial Narrow" w:hAnsi="Arial Narrow"/>
                <w:sz w:val="22"/>
                <w:szCs w:val="22"/>
              </w:rPr>
              <w:t>F</w:t>
            </w:r>
          </w:p>
        </w:tc>
        <w:tc>
          <w:tcPr>
            <w:tcW w:w="3038" w:type="dxa"/>
          </w:tcPr>
          <w:p w14:paraId="06B49D26" w14:textId="77777777" w:rsidR="00A658D0" w:rsidRDefault="00000000">
            <w:pPr>
              <w:rPr>
                <w:rFonts w:ascii="Arial Narrow" w:hAnsi="Arial Narrow"/>
                <w:sz w:val="22"/>
                <w:szCs w:val="22"/>
              </w:rPr>
            </w:pPr>
            <w:r>
              <w:rPr>
                <w:rFonts w:ascii="Arial Narrow" w:hAnsi="Arial Narrow"/>
                <w:sz w:val="22"/>
                <w:szCs w:val="22"/>
              </w:rPr>
              <w:t>Confianza</w:t>
            </w:r>
          </w:p>
        </w:tc>
      </w:tr>
      <w:tr w:rsidR="00A658D0" w14:paraId="06B49D2E" w14:textId="77777777">
        <w:tc>
          <w:tcPr>
            <w:tcW w:w="779" w:type="dxa"/>
          </w:tcPr>
          <w:p w14:paraId="06B49D28" w14:textId="77777777" w:rsidR="00A658D0" w:rsidRDefault="00000000">
            <w:pPr>
              <w:jc w:val="center"/>
              <w:rPr>
                <w:rFonts w:ascii="Arial Narrow" w:hAnsi="Arial Narrow"/>
                <w:sz w:val="22"/>
                <w:szCs w:val="22"/>
                <w:lang w:val="en-US"/>
              </w:rPr>
            </w:pPr>
            <w:r>
              <w:rPr>
                <w:rFonts w:ascii="Arial Narrow" w:hAnsi="Arial Narrow"/>
                <w:sz w:val="22"/>
                <w:szCs w:val="22"/>
                <w:lang w:val="en-US"/>
              </w:rPr>
              <w:t>12</w:t>
            </w:r>
          </w:p>
        </w:tc>
        <w:tc>
          <w:tcPr>
            <w:tcW w:w="709" w:type="dxa"/>
          </w:tcPr>
          <w:p w14:paraId="06B49D29" w14:textId="77777777" w:rsidR="00A658D0" w:rsidRDefault="00000000">
            <w:pPr>
              <w:jc w:val="center"/>
              <w:rPr>
                <w:rFonts w:ascii="Arial Narrow" w:hAnsi="Arial Narrow"/>
                <w:sz w:val="22"/>
                <w:szCs w:val="22"/>
                <w:lang w:val="en-US"/>
              </w:rPr>
            </w:pPr>
            <w:r>
              <w:rPr>
                <w:rFonts w:ascii="Arial Narrow" w:hAnsi="Arial Narrow"/>
                <w:sz w:val="22"/>
                <w:szCs w:val="22"/>
                <w:lang w:val="en-US"/>
              </w:rPr>
              <w:t>B</w:t>
            </w:r>
          </w:p>
        </w:tc>
        <w:tc>
          <w:tcPr>
            <w:tcW w:w="2977" w:type="dxa"/>
          </w:tcPr>
          <w:p w14:paraId="06B49D2A" w14:textId="77777777" w:rsidR="00A658D0" w:rsidRDefault="00000000">
            <w:pPr>
              <w:rPr>
                <w:rFonts w:ascii="Arial Narrow" w:hAnsi="Arial Narrow"/>
                <w:sz w:val="22"/>
                <w:szCs w:val="22"/>
              </w:rPr>
            </w:pPr>
            <w:r>
              <w:rPr>
                <w:rFonts w:ascii="Arial Narrow" w:hAnsi="Arial Narrow"/>
                <w:sz w:val="22"/>
                <w:szCs w:val="22"/>
                <w:lang w:val="en-US"/>
              </w:rPr>
              <w:t xml:space="preserve">Citibank </w:t>
            </w:r>
          </w:p>
        </w:tc>
        <w:tc>
          <w:tcPr>
            <w:tcW w:w="672" w:type="dxa"/>
          </w:tcPr>
          <w:p w14:paraId="06B49D2B" w14:textId="77777777" w:rsidR="00A658D0" w:rsidRDefault="00000000">
            <w:pPr>
              <w:jc w:val="center"/>
              <w:rPr>
                <w:rFonts w:ascii="Arial Narrow" w:hAnsi="Arial Narrow"/>
                <w:sz w:val="22"/>
                <w:szCs w:val="22"/>
              </w:rPr>
            </w:pPr>
            <w:r>
              <w:rPr>
                <w:rFonts w:ascii="Arial Narrow" w:hAnsi="Arial Narrow"/>
                <w:sz w:val="22"/>
                <w:szCs w:val="22"/>
              </w:rPr>
              <w:t>73</w:t>
            </w:r>
          </w:p>
        </w:tc>
        <w:tc>
          <w:tcPr>
            <w:tcW w:w="684" w:type="dxa"/>
          </w:tcPr>
          <w:p w14:paraId="06B49D2C" w14:textId="77777777" w:rsidR="00A658D0" w:rsidRDefault="00000000">
            <w:pPr>
              <w:jc w:val="center"/>
              <w:rPr>
                <w:rFonts w:ascii="Arial Narrow" w:hAnsi="Arial Narrow"/>
                <w:sz w:val="22"/>
                <w:szCs w:val="22"/>
              </w:rPr>
            </w:pPr>
            <w:r>
              <w:rPr>
                <w:rFonts w:ascii="Arial Narrow" w:hAnsi="Arial Narrow"/>
                <w:sz w:val="22"/>
                <w:szCs w:val="22"/>
              </w:rPr>
              <w:t>F</w:t>
            </w:r>
          </w:p>
        </w:tc>
        <w:tc>
          <w:tcPr>
            <w:tcW w:w="3038" w:type="dxa"/>
          </w:tcPr>
          <w:p w14:paraId="06B49D2D" w14:textId="77777777" w:rsidR="00A658D0" w:rsidRDefault="00000000">
            <w:pPr>
              <w:rPr>
                <w:rFonts w:ascii="Arial Narrow" w:hAnsi="Arial Narrow"/>
                <w:sz w:val="22"/>
                <w:szCs w:val="22"/>
              </w:rPr>
            </w:pPr>
            <w:r>
              <w:rPr>
                <w:rFonts w:ascii="Arial Narrow" w:hAnsi="Arial Narrow"/>
                <w:sz w:val="22"/>
                <w:szCs w:val="22"/>
              </w:rPr>
              <w:t>QAPAQ</w:t>
            </w:r>
          </w:p>
        </w:tc>
      </w:tr>
      <w:tr w:rsidR="00A658D0" w14:paraId="06B49D35" w14:textId="77777777">
        <w:tc>
          <w:tcPr>
            <w:tcW w:w="779" w:type="dxa"/>
          </w:tcPr>
          <w:p w14:paraId="06B49D2F" w14:textId="77777777" w:rsidR="00A658D0" w:rsidRDefault="00000000">
            <w:pPr>
              <w:jc w:val="center"/>
              <w:rPr>
                <w:rFonts w:ascii="Arial Narrow" w:hAnsi="Arial Narrow"/>
                <w:sz w:val="22"/>
                <w:szCs w:val="22"/>
              </w:rPr>
            </w:pPr>
            <w:r>
              <w:rPr>
                <w:rFonts w:ascii="Arial Narrow" w:hAnsi="Arial Narrow"/>
                <w:sz w:val="22"/>
                <w:szCs w:val="22"/>
              </w:rPr>
              <w:t>14</w:t>
            </w:r>
          </w:p>
        </w:tc>
        <w:tc>
          <w:tcPr>
            <w:tcW w:w="709" w:type="dxa"/>
          </w:tcPr>
          <w:p w14:paraId="06B49D30"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31" w14:textId="77777777" w:rsidR="00A658D0" w:rsidRDefault="00000000">
            <w:pPr>
              <w:rPr>
                <w:rFonts w:ascii="Arial Narrow" w:hAnsi="Arial Narrow"/>
                <w:sz w:val="22"/>
                <w:szCs w:val="22"/>
              </w:rPr>
            </w:pPr>
            <w:r>
              <w:rPr>
                <w:rFonts w:ascii="Arial Narrow" w:hAnsi="Arial Narrow"/>
                <w:sz w:val="22"/>
                <w:szCs w:val="22"/>
              </w:rPr>
              <w:t xml:space="preserve">Banco Interamericano de Finanzas </w:t>
            </w:r>
          </w:p>
        </w:tc>
        <w:tc>
          <w:tcPr>
            <w:tcW w:w="672" w:type="dxa"/>
          </w:tcPr>
          <w:p w14:paraId="06B49D32" w14:textId="77777777" w:rsidR="00A658D0" w:rsidRDefault="00000000">
            <w:pPr>
              <w:jc w:val="center"/>
              <w:rPr>
                <w:rFonts w:ascii="Arial Narrow" w:hAnsi="Arial Narrow"/>
                <w:sz w:val="22"/>
                <w:szCs w:val="22"/>
              </w:rPr>
            </w:pPr>
            <w:r>
              <w:rPr>
                <w:rFonts w:ascii="Arial Narrow" w:hAnsi="Arial Narrow"/>
                <w:sz w:val="22"/>
                <w:szCs w:val="22"/>
              </w:rPr>
              <w:t>74</w:t>
            </w:r>
          </w:p>
        </w:tc>
        <w:tc>
          <w:tcPr>
            <w:tcW w:w="684" w:type="dxa"/>
          </w:tcPr>
          <w:p w14:paraId="06B49D33" w14:textId="77777777" w:rsidR="00A658D0" w:rsidRDefault="00000000">
            <w:pPr>
              <w:jc w:val="center"/>
              <w:rPr>
                <w:rFonts w:ascii="Arial Narrow" w:hAnsi="Arial Narrow"/>
                <w:sz w:val="22"/>
                <w:szCs w:val="22"/>
              </w:rPr>
            </w:pPr>
            <w:r>
              <w:rPr>
                <w:rFonts w:ascii="Arial Narrow" w:hAnsi="Arial Narrow"/>
                <w:sz w:val="22"/>
                <w:szCs w:val="22"/>
              </w:rPr>
              <w:t>F</w:t>
            </w:r>
          </w:p>
        </w:tc>
        <w:tc>
          <w:tcPr>
            <w:tcW w:w="3038" w:type="dxa"/>
          </w:tcPr>
          <w:p w14:paraId="06B49D34" w14:textId="77777777" w:rsidR="00A658D0" w:rsidRDefault="00000000">
            <w:pPr>
              <w:rPr>
                <w:rFonts w:ascii="Arial Narrow" w:hAnsi="Arial Narrow"/>
                <w:sz w:val="22"/>
                <w:szCs w:val="22"/>
              </w:rPr>
            </w:pPr>
            <w:r>
              <w:rPr>
                <w:rFonts w:ascii="Arial Narrow" w:hAnsi="Arial Narrow"/>
                <w:sz w:val="22"/>
                <w:szCs w:val="22"/>
              </w:rPr>
              <w:t>Efectiva</w:t>
            </w:r>
          </w:p>
        </w:tc>
      </w:tr>
      <w:tr w:rsidR="00A658D0" w14:paraId="06B49D3C" w14:textId="77777777">
        <w:tc>
          <w:tcPr>
            <w:tcW w:w="779" w:type="dxa"/>
          </w:tcPr>
          <w:p w14:paraId="06B49D36" w14:textId="77777777" w:rsidR="00A658D0" w:rsidRDefault="00000000">
            <w:pPr>
              <w:jc w:val="center"/>
              <w:rPr>
                <w:rFonts w:ascii="Arial Narrow" w:hAnsi="Arial Narrow"/>
                <w:sz w:val="22"/>
                <w:szCs w:val="22"/>
              </w:rPr>
            </w:pPr>
            <w:r>
              <w:rPr>
                <w:rFonts w:ascii="Arial Narrow" w:hAnsi="Arial Narrow"/>
                <w:sz w:val="22"/>
                <w:szCs w:val="22"/>
              </w:rPr>
              <w:t>15</w:t>
            </w:r>
          </w:p>
        </w:tc>
        <w:tc>
          <w:tcPr>
            <w:tcW w:w="709" w:type="dxa"/>
          </w:tcPr>
          <w:p w14:paraId="06B49D37"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38" w14:textId="77777777" w:rsidR="00A658D0" w:rsidRDefault="00000000">
            <w:pPr>
              <w:rPr>
                <w:rFonts w:ascii="Arial Narrow" w:hAnsi="Arial Narrow"/>
                <w:sz w:val="22"/>
                <w:szCs w:val="22"/>
              </w:rPr>
            </w:pPr>
            <w:r>
              <w:rPr>
                <w:rFonts w:ascii="Arial Narrow" w:hAnsi="Arial Narrow"/>
                <w:sz w:val="22"/>
                <w:szCs w:val="22"/>
              </w:rPr>
              <w:t>Banco de la Nación</w:t>
            </w:r>
          </w:p>
        </w:tc>
        <w:tc>
          <w:tcPr>
            <w:tcW w:w="672" w:type="dxa"/>
          </w:tcPr>
          <w:p w14:paraId="06B49D39" w14:textId="77777777" w:rsidR="00A658D0" w:rsidRDefault="00000000">
            <w:pPr>
              <w:jc w:val="center"/>
              <w:rPr>
                <w:rFonts w:ascii="Arial Narrow" w:hAnsi="Arial Narrow"/>
                <w:sz w:val="22"/>
                <w:szCs w:val="22"/>
              </w:rPr>
            </w:pPr>
            <w:r>
              <w:rPr>
                <w:rFonts w:ascii="Arial Narrow" w:hAnsi="Arial Narrow"/>
                <w:sz w:val="22"/>
                <w:szCs w:val="22"/>
              </w:rPr>
              <w:t>75</w:t>
            </w:r>
          </w:p>
        </w:tc>
        <w:tc>
          <w:tcPr>
            <w:tcW w:w="684" w:type="dxa"/>
          </w:tcPr>
          <w:p w14:paraId="06B49D3A" w14:textId="77777777" w:rsidR="00A658D0" w:rsidRDefault="00A658D0">
            <w:pPr>
              <w:jc w:val="center"/>
              <w:rPr>
                <w:rFonts w:ascii="Arial Narrow" w:hAnsi="Arial Narrow"/>
                <w:sz w:val="22"/>
                <w:szCs w:val="22"/>
              </w:rPr>
            </w:pPr>
          </w:p>
        </w:tc>
        <w:tc>
          <w:tcPr>
            <w:tcW w:w="3038" w:type="dxa"/>
            <w:tcBorders>
              <w:bottom w:val="nil"/>
            </w:tcBorders>
          </w:tcPr>
          <w:p w14:paraId="06B49D3B" w14:textId="77777777" w:rsidR="00A658D0" w:rsidRDefault="00000000">
            <w:pPr>
              <w:rPr>
                <w:rFonts w:ascii="Arial Narrow" w:hAnsi="Arial Narrow"/>
                <w:sz w:val="22"/>
                <w:szCs w:val="22"/>
              </w:rPr>
            </w:pPr>
            <w:r>
              <w:rPr>
                <w:rStyle w:val="Refdenotaalpie"/>
                <w:rFonts w:ascii="Arial Narrow" w:hAnsi="Arial Narrow"/>
                <w:sz w:val="22"/>
                <w:szCs w:val="22"/>
              </w:rPr>
              <w:footnoteReference w:id="37"/>
            </w:r>
          </w:p>
        </w:tc>
      </w:tr>
      <w:tr w:rsidR="00A658D0" w14:paraId="06B49D43" w14:textId="77777777">
        <w:tc>
          <w:tcPr>
            <w:tcW w:w="779" w:type="dxa"/>
            <w:tcBorders>
              <w:bottom w:val="single" w:sz="6" w:space="0" w:color="auto"/>
            </w:tcBorders>
          </w:tcPr>
          <w:p w14:paraId="06B49D3D" w14:textId="77777777" w:rsidR="00A658D0" w:rsidRDefault="00000000">
            <w:pPr>
              <w:jc w:val="center"/>
              <w:rPr>
                <w:rFonts w:ascii="Arial Narrow" w:hAnsi="Arial Narrow"/>
                <w:sz w:val="22"/>
                <w:szCs w:val="22"/>
              </w:rPr>
            </w:pPr>
            <w:r>
              <w:rPr>
                <w:rFonts w:ascii="Arial Narrow" w:hAnsi="Arial Narrow"/>
                <w:sz w:val="22"/>
                <w:szCs w:val="22"/>
              </w:rPr>
              <w:t>23</w:t>
            </w:r>
          </w:p>
        </w:tc>
        <w:tc>
          <w:tcPr>
            <w:tcW w:w="709" w:type="dxa"/>
            <w:tcBorders>
              <w:bottom w:val="single" w:sz="6" w:space="0" w:color="auto"/>
            </w:tcBorders>
          </w:tcPr>
          <w:p w14:paraId="06B49D3E"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Borders>
              <w:bottom w:val="single" w:sz="6" w:space="0" w:color="auto"/>
            </w:tcBorders>
          </w:tcPr>
          <w:p w14:paraId="06B49D3F" w14:textId="77777777" w:rsidR="00A658D0" w:rsidRDefault="00000000">
            <w:pPr>
              <w:rPr>
                <w:rFonts w:ascii="Arial Narrow" w:hAnsi="Arial Narrow"/>
                <w:sz w:val="22"/>
                <w:szCs w:val="22"/>
              </w:rPr>
            </w:pPr>
            <w:r>
              <w:rPr>
                <w:rFonts w:ascii="Arial Narrow" w:hAnsi="Arial Narrow"/>
                <w:sz w:val="22"/>
                <w:szCs w:val="22"/>
              </w:rPr>
              <w:t>Banco Pichincha</w:t>
            </w:r>
            <w:r>
              <w:rPr>
                <w:rStyle w:val="Refdenotaalpie"/>
                <w:rFonts w:ascii="Arial Narrow" w:hAnsi="Arial Narrow"/>
                <w:sz w:val="22"/>
                <w:szCs w:val="22"/>
              </w:rPr>
              <w:footnoteReference w:id="38"/>
            </w:r>
          </w:p>
        </w:tc>
        <w:tc>
          <w:tcPr>
            <w:tcW w:w="672" w:type="dxa"/>
            <w:tcBorders>
              <w:bottom w:val="single" w:sz="6" w:space="0" w:color="auto"/>
            </w:tcBorders>
          </w:tcPr>
          <w:p w14:paraId="06B49D40" w14:textId="77777777" w:rsidR="00A658D0" w:rsidRDefault="00000000">
            <w:pPr>
              <w:jc w:val="center"/>
              <w:rPr>
                <w:rFonts w:ascii="Arial Narrow" w:hAnsi="Arial Narrow"/>
                <w:sz w:val="22"/>
                <w:szCs w:val="22"/>
              </w:rPr>
            </w:pPr>
            <w:r>
              <w:rPr>
                <w:rFonts w:ascii="Arial Narrow" w:hAnsi="Arial Narrow"/>
                <w:sz w:val="22"/>
                <w:szCs w:val="22"/>
              </w:rPr>
              <w:t>76</w:t>
            </w:r>
          </w:p>
        </w:tc>
        <w:tc>
          <w:tcPr>
            <w:tcW w:w="684" w:type="dxa"/>
            <w:tcBorders>
              <w:bottom w:val="single" w:sz="6" w:space="0" w:color="auto"/>
            </w:tcBorders>
          </w:tcPr>
          <w:p w14:paraId="06B49D41" w14:textId="77777777" w:rsidR="00A658D0" w:rsidRDefault="00000000">
            <w:pPr>
              <w:jc w:val="center"/>
              <w:rPr>
                <w:rFonts w:ascii="Arial Narrow" w:hAnsi="Arial Narrow"/>
                <w:sz w:val="22"/>
                <w:szCs w:val="22"/>
              </w:rPr>
            </w:pPr>
            <w:r>
              <w:rPr>
                <w:rFonts w:ascii="Arial Narrow" w:hAnsi="Arial Narrow"/>
                <w:sz w:val="22"/>
                <w:szCs w:val="22"/>
              </w:rPr>
              <w:t>F</w:t>
            </w:r>
          </w:p>
        </w:tc>
        <w:tc>
          <w:tcPr>
            <w:tcW w:w="3038" w:type="dxa"/>
            <w:tcBorders>
              <w:bottom w:val="single" w:sz="6" w:space="0" w:color="auto"/>
            </w:tcBorders>
          </w:tcPr>
          <w:p w14:paraId="06B49D42" w14:textId="77777777" w:rsidR="00A658D0" w:rsidRDefault="00000000">
            <w:pPr>
              <w:rPr>
                <w:rFonts w:ascii="Arial Narrow" w:hAnsi="Arial Narrow"/>
                <w:sz w:val="22"/>
                <w:szCs w:val="22"/>
              </w:rPr>
            </w:pPr>
            <w:r>
              <w:rPr>
                <w:rFonts w:ascii="Arial Narrow" w:hAnsi="Arial Narrow"/>
                <w:sz w:val="22"/>
                <w:szCs w:val="22"/>
              </w:rPr>
              <w:t>Financiera OH</w:t>
            </w:r>
            <w:r>
              <w:rPr>
                <w:rStyle w:val="Refdenotaalpie"/>
                <w:rFonts w:ascii="Arial Narrow" w:hAnsi="Arial Narrow"/>
                <w:sz w:val="22"/>
                <w:szCs w:val="22"/>
              </w:rPr>
              <w:footnoteReference w:id="39"/>
            </w:r>
          </w:p>
        </w:tc>
      </w:tr>
      <w:tr w:rsidR="00A658D0" w14:paraId="06B49D4A" w14:textId="77777777">
        <w:trPr>
          <w:trHeight w:val="285"/>
        </w:trPr>
        <w:tc>
          <w:tcPr>
            <w:tcW w:w="779" w:type="dxa"/>
            <w:tcBorders>
              <w:top w:val="single" w:sz="6" w:space="0" w:color="auto"/>
            </w:tcBorders>
          </w:tcPr>
          <w:p w14:paraId="06B49D44" w14:textId="77777777" w:rsidR="00A658D0" w:rsidRDefault="00000000">
            <w:pPr>
              <w:jc w:val="center"/>
              <w:rPr>
                <w:rFonts w:ascii="Arial Narrow" w:hAnsi="Arial Narrow"/>
                <w:sz w:val="22"/>
                <w:szCs w:val="22"/>
              </w:rPr>
            </w:pPr>
            <w:r>
              <w:rPr>
                <w:rFonts w:ascii="Arial Narrow" w:hAnsi="Arial Narrow"/>
                <w:sz w:val="22"/>
                <w:szCs w:val="22"/>
              </w:rPr>
              <w:t>25</w:t>
            </w:r>
          </w:p>
        </w:tc>
        <w:tc>
          <w:tcPr>
            <w:tcW w:w="709" w:type="dxa"/>
            <w:tcBorders>
              <w:top w:val="single" w:sz="6" w:space="0" w:color="auto"/>
            </w:tcBorders>
          </w:tcPr>
          <w:p w14:paraId="06B49D45"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Borders>
              <w:top w:val="single" w:sz="6" w:space="0" w:color="auto"/>
            </w:tcBorders>
          </w:tcPr>
          <w:p w14:paraId="06B49D46" w14:textId="77777777" w:rsidR="00A658D0" w:rsidRDefault="00000000">
            <w:pPr>
              <w:rPr>
                <w:rFonts w:ascii="Arial Narrow" w:hAnsi="Arial Narrow"/>
                <w:sz w:val="22"/>
                <w:szCs w:val="22"/>
              </w:rPr>
            </w:pPr>
            <w:r>
              <w:rPr>
                <w:rFonts w:ascii="Arial Narrow" w:hAnsi="Arial Narrow"/>
                <w:sz w:val="22"/>
                <w:szCs w:val="22"/>
              </w:rPr>
              <w:t>BCRP</w:t>
            </w:r>
          </w:p>
        </w:tc>
        <w:tc>
          <w:tcPr>
            <w:tcW w:w="672" w:type="dxa"/>
            <w:tcBorders>
              <w:top w:val="single" w:sz="6" w:space="0" w:color="auto"/>
            </w:tcBorders>
          </w:tcPr>
          <w:p w14:paraId="06B49D47" w14:textId="77777777" w:rsidR="00A658D0" w:rsidRDefault="00000000">
            <w:pPr>
              <w:jc w:val="center"/>
              <w:rPr>
                <w:rFonts w:ascii="Arial Narrow" w:hAnsi="Arial Narrow"/>
                <w:sz w:val="22"/>
                <w:szCs w:val="22"/>
                <w:lang w:val="en-US"/>
              </w:rPr>
            </w:pPr>
            <w:r>
              <w:rPr>
                <w:rFonts w:ascii="Arial Narrow" w:hAnsi="Arial Narrow"/>
                <w:sz w:val="22"/>
                <w:szCs w:val="22"/>
                <w:lang w:val="en-US"/>
              </w:rPr>
              <w:t>77</w:t>
            </w:r>
          </w:p>
        </w:tc>
        <w:tc>
          <w:tcPr>
            <w:tcW w:w="684" w:type="dxa"/>
            <w:tcBorders>
              <w:top w:val="single" w:sz="6" w:space="0" w:color="auto"/>
              <w:right w:val="nil"/>
            </w:tcBorders>
          </w:tcPr>
          <w:p w14:paraId="06B49D48" w14:textId="77777777" w:rsidR="00A658D0" w:rsidRDefault="00000000">
            <w:pPr>
              <w:jc w:val="center"/>
              <w:rPr>
                <w:rFonts w:ascii="Arial Narrow" w:hAnsi="Arial Narrow"/>
                <w:sz w:val="22"/>
                <w:szCs w:val="22"/>
                <w:lang w:val="en-US"/>
              </w:rPr>
            </w:pPr>
            <w:r>
              <w:rPr>
                <w:rFonts w:ascii="Arial Narrow" w:hAnsi="Arial Narrow"/>
                <w:sz w:val="22"/>
                <w:szCs w:val="22"/>
                <w:lang w:val="en-US"/>
              </w:rPr>
              <w:t>F</w:t>
            </w:r>
          </w:p>
        </w:tc>
        <w:tc>
          <w:tcPr>
            <w:tcW w:w="3038" w:type="dxa"/>
            <w:tcBorders>
              <w:top w:val="single" w:sz="6" w:space="0" w:color="auto"/>
              <w:left w:val="single" w:sz="6" w:space="0" w:color="auto"/>
              <w:bottom w:val="single" w:sz="6" w:space="0" w:color="auto"/>
            </w:tcBorders>
          </w:tcPr>
          <w:p w14:paraId="06B49D49" w14:textId="77777777" w:rsidR="00A658D0" w:rsidRDefault="00000000">
            <w:pPr>
              <w:rPr>
                <w:rFonts w:ascii="Arial Narrow" w:hAnsi="Arial Narrow"/>
                <w:sz w:val="22"/>
                <w:szCs w:val="22"/>
              </w:rPr>
            </w:pPr>
            <w:proofErr w:type="spellStart"/>
            <w:r>
              <w:rPr>
                <w:rFonts w:ascii="Arial Narrow" w:hAnsi="Arial Narrow"/>
                <w:sz w:val="22"/>
                <w:szCs w:val="22"/>
              </w:rPr>
              <w:t>Proempresa</w:t>
            </w:r>
            <w:proofErr w:type="spellEnd"/>
            <w:r>
              <w:rPr>
                <w:rStyle w:val="Refdenotaalpie"/>
                <w:rFonts w:ascii="Arial Narrow" w:hAnsi="Arial Narrow"/>
                <w:sz w:val="22"/>
                <w:szCs w:val="22"/>
              </w:rPr>
              <w:footnoteReference w:id="40"/>
            </w:r>
          </w:p>
        </w:tc>
      </w:tr>
      <w:tr w:rsidR="00A658D0" w14:paraId="06B49D51" w14:textId="77777777">
        <w:tc>
          <w:tcPr>
            <w:tcW w:w="779" w:type="dxa"/>
          </w:tcPr>
          <w:p w14:paraId="06B49D4B" w14:textId="77777777" w:rsidR="00A658D0" w:rsidRDefault="00000000">
            <w:pPr>
              <w:jc w:val="center"/>
              <w:rPr>
                <w:rFonts w:ascii="Arial Narrow" w:hAnsi="Arial Narrow"/>
                <w:sz w:val="22"/>
                <w:szCs w:val="22"/>
              </w:rPr>
            </w:pPr>
            <w:r>
              <w:rPr>
                <w:rFonts w:ascii="Arial Narrow" w:hAnsi="Arial Narrow"/>
                <w:sz w:val="22"/>
                <w:szCs w:val="22"/>
              </w:rPr>
              <w:t>31</w:t>
            </w:r>
          </w:p>
        </w:tc>
        <w:tc>
          <w:tcPr>
            <w:tcW w:w="709" w:type="dxa"/>
          </w:tcPr>
          <w:p w14:paraId="06B49D4C"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4D" w14:textId="77777777" w:rsidR="00A658D0" w:rsidRDefault="00000000">
            <w:pPr>
              <w:rPr>
                <w:rFonts w:ascii="Arial Narrow" w:hAnsi="Arial Narrow"/>
                <w:sz w:val="22"/>
                <w:szCs w:val="22"/>
              </w:rPr>
            </w:pPr>
            <w:proofErr w:type="spellStart"/>
            <w:r>
              <w:rPr>
                <w:rFonts w:ascii="Arial Narrow" w:hAnsi="Arial Narrow"/>
                <w:sz w:val="22"/>
                <w:szCs w:val="22"/>
              </w:rPr>
              <w:t>Mibanco</w:t>
            </w:r>
            <w:proofErr w:type="spellEnd"/>
          </w:p>
        </w:tc>
        <w:tc>
          <w:tcPr>
            <w:tcW w:w="672" w:type="dxa"/>
          </w:tcPr>
          <w:p w14:paraId="06B49D4E" w14:textId="77777777" w:rsidR="00A658D0" w:rsidRDefault="00000000">
            <w:pPr>
              <w:jc w:val="center"/>
              <w:rPr>
                <w:rFonts w:ascii="Arial Narrow" w:hAnsi="Arial Narrow"/>
                <w:sz w:val="22"/>
                <w:szCs w:val="22"/>
                <w:lang w:val="en-US"/>
              </w:rPr>
            </w:pPr>
            <w:r>
              <w:rPr>
                <w:rFonts w:ascii="Arial Narrow" w:hAnsi="Arial Narrow"/>
                <w:sz w:val="22"/>
                <w:szCs w:val="22"/>
                <w:lang w:val="en-US"/>
              </w:rPr>
              <w:t>78</w:t>
            </w:r>
          </w:p>
        </w:tc>
        <w:tc>
          <w:tcPr>
            <w:tcW w:w="684" w:type="dxa"/>
          </w:tcPr>
          <w:p w14:paraId="06B49D4F" w14:textId="77777777" w:rsidR="00A658D0" w:rsidRDefault="00000000">
            <w:pPr>
              <w:jc w:val="center"/>
              <w:rPr>
                <w:rFonts w:ascii="Arial Narrow" w:hAnsi="Arial Narrow"/>
                <w:sz w:val="22"/>
                <w:szCs w:val="22"/>
                <w:lang w:val="en-US"/>
              </w:rPr>
            </w:pPr>
            <w:r>
              <w:rPr>
                <w:rFonts w:ascii="Arial Narrow" w:hAnsi="Arial Narrow"/>
                <w:sz w:val="22"/>
                <w:szCs w:val="22"/>
                <w:lang w:val="en-US"/>
              </w:rPr>
              <w:t>F</w:t>
            </w:r>
          </w:p>
        </w:tc>
        <w:tc>
          <w:tcPr>
            <w:tcW w:w="3038" w:type="dxa"/>
            <w:tcBorders>
              <w:top w:val="nil"/>
            </w:tcBorders>
          </w:tcPr>
          <w:p w14:paraId="06B49D50" w14:textId="77777777" w:rsidR="00A658D0" w:rsidRDefault="00000000">
            <w:pPr>
              <w:rPr>
                <w:rFonts w:ascii="Arial Narrow" w:hAnsi="Arial Narrow"/>
                <w:sz w:val="22"/>
                <w:szCs w:val="22"/>
              </w:rPr>
            </w:pPr>
            <w:r>
              <w:rPr>
                <w:rFonts w:ascii="Arial Narrow" w:hAnsi="Arial Narrow"/>
                <w:sz w:val="22"/>
                <w:szCs w:val="22"/>
              </w:rPr>
              <w:t xml:space="preserve">Mitsui Auto </w:t>
            </w:r>
            <w:proofErr w:type="spellStart"/>
            <w:r>
              <w:rPr>
                <w:rFonts w:ascii="Arial Narrow" w:hAnsi="Arial Narrow"/>
                <w:sz w:val="22"/>
                <w:szCs w:val="22"/>
              </w:rPr>
              <w:t>Finance</w:t>
            </w:r>
            <w:proofErr w:type="spellEnd"/>
            <w:r>
              <w:rPr>
                <w:rFonts w:ascii="Arial Narrow" w:hAnsi="Arial Narrow"/>
                <w:sz w:val="22"/>
                <w:szCs w:val="22"/>
                <w:vertAlign w:val="superscript"/>
              </w:rPr>
              <w:t xml:space="preserve"> </w:t>
            </w:r>
          </w:p>
        </w:tc>
      </w:tr>
      <w:tr w:rsidR="00A658D0" w14:paraId="06B49D58" w14:textId="77777777">
        <w:tc>
          <w:tcPr>
            <w:tcW w:w="779" w:type="dxa"/>
          </w:tcPr>
          <w:p w14:paraId="06B49D52" w14:textId="77777777" w:rsidR="00A658D0" w:rsidRDefault="00000000">
            <w:pPr>
              <w:jc w:val="center"/>
              <w:rPr>
                <w:rFonts w:ascii="Arial Narrow" w:hAnsi="Arial Narrow"/>
                <w:sz w:val="22"/>
                <w:szCs w:val="22"/>
              </w:rPr>
            </w:pPr>
            <w:r>
              <w:rPr>
                <w:rFonts w:ascii="Arial Narrow" w:hAnsi="Arial Narrow"/>
                <w:sz w:val="22"/>
                <w:szCs w:val="22"/>
              </w:rPr>
              <w:t>33</w:t>
            </w:r>
          </w:p>
        </w:tc>
        <w:tc>
          <w:tcPr>
            <w:tcW w:w="709" w:type="dxa"/>
          </w:tcPr>
          <w:p w14:paraId="06B49D53"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54" w14:textId="77777777" w:rsidR="00A658D0" w:rsidRDefault="00000000">
            <w:pPr>
              <w:rPr>
                <w:rFonts w:ascii="Arial Narrow" w:hAnsi="Arial Narrow"/>
                <w:sz w:val="22"/>
                <w:szCs w:val="22"/>
              </w:rPr>
            </w:pPr>
            <w:r>
              <w:rPr>
                <w:rFonts w:ascii="Arial Narrow" w:hAnsi="Arial Narrow"/>
                <w:sz w:val="22"/>
                <w:szCs w:val="22"/>
              </w:rPr>
              <w:t xml:space="preserve">GNB </w:t>
            </w:r>
            <w:proofErr w:type="spellStart"/>
            <w:r>
              <w:rPr>
                <w:rFonts w:ascii="Arial Narrow" w:hAnsi="Arial Narrow"/>
                <w:sz w:val="22"/>
                <w:szCs w:val="22"/>
              </w:rPr>
              <w:t>Peru</w:t>
            </w:r>
            <w:proofErr w:type="spellEnd"/>
          </w:p>
        </w:tc>
        <w:tc>
          <w:tcPr>
            <w:tcW w:w="672" w:type="dxa"/>
          </w:tcPr>
          <w:p w14:paraId="06B49D55" w14:textId="77777777" w:rsidR="00A658D0" w:rsidRDefault="00000000">
            <w:pPr>
              <w:jc w:val="center"/>
              <w:rPr>
                <w:rFonts w:ascii="Arial Narrow" w:hAnsi="Arial Narrow"/>
                <w:sz w:val="22"/>
                <w:szCs w:val="22"/>
                <w:lang w:val="en-US"/>
              </w:rPr>
            </w:pPr>
            <w:r>
              <w:rPr>
                <w:rFonts w:ascii="Arial Narrow" w:hAnsi="Arial Narrow"/>
                <w:sz w:val="22"/>
                <w:szCs w:val="22"/>
                <w:lang w:val="en-US"/>
              </w:rPr>
              <w:t>79</w:t>
            </w:r>
          </w:p>
        </w:tc>
        <w:tc>
          <w:tcPr>
            <w:tcW w:w="684" w:type="dxa"/>
          </w:tcPr>
          <w:p w14:paraId="06B49D56" w14:textId="77777777" w:rsidR="00A658D0" w:rsidRDefault="00000000">
            <w:pPr>
              <w:jc w:val="center"/>
              <w:rPr>
                <w:rFonts w:ascii="Arial Narrow" w:hAnsi="Arial Narrow"/>
                <w:sz w:val="22"/>
                <w:szCs w:val="22"/>
                <w:lang w:val="en-US"/>
              </w:rPr>
            </w:pPr>
            <w:r>
              <w:rPr>
                <w:rFonts w:ascii="Arial Narrow" w:hAnsi="Arial Narrow"/>
                <w:sz w:val="22"/>
                <w:szCs w:val="22"/>
                <w:lang w:val="en-US"/>
              </w:rPr>
              <w:t>F</w:t>
            </w:r>
          </w:p>
        </w:tc>
        <w:tc>
          <w:tcPr>
            <w:tcW w:w="3038" w:type="dxa"/>
            <w:tcBorders>
              <w:top w:val="nil"/>
            </w:tcBorders>
          </w:tcPr>
          <w:p w14:paraId="06B49D57" w14:textId="77777777" w:rsidR="00A658D0" w:rsidRDefault="00000000">
            <w:pPr>
              <w:rPr>
                <w:rFonts w:ascii="Arial Narrow" w:hAnsi="Arial Narrow"/>
                <w:sz w:val="22"/>
                <w:szCs w:val="22"/>
              </w:rPr>
            </w:pPr>
            <w:r>
              <w:rPr>
                <w:rFonts w:ascii="Arial Narrow" w:hAnsi="Arial Narrow"/>
                <w:sz w:val="22"/>
                <w:szCs w:val="22"/>
              </w:rPr>
              <w:t>En liquidación</w:t>
            </w:r>
          </w:p>
        </w:tc>
      </w:tr>
      <w:tr w:rsidR="00A658D0" w14:paraId="06B49D5F" w14:textId="77777777">
        <w:tc>
          <w:tcPr>
            <w:tcW w:w="779" w:type="dxa"/>
          </w:tcPr>
          <w:p w14:paraId="06B49D59" w14:textId="77777777" w:rsidR="00A658D0" w:rsidRDefault="00000000">
            <w:pPr>
              <w:jc w:val="center"/>
              <w:rPr>
                <w:rFonts w:ascii="Arial Narrow" w:hAnsi="Arial Narrow"/>
                <w:sz w:val="22"/>
                <w:szCs w:val="22"/>
              </w:rPr>
            </w:pPr>
            <w:r>
              <w:rPr>
                <w:rFonts w:ascii="Arial Narrow" w:hAnsi="Arial Narrow"/>
                <w:sz w:val="22"/>
                <w:szCs w:val="22"/>
              </w:rPr>
              <w:t>34</w:t>
            </w:r>
          </w:p>
        </w:tc>
        <w:tc>
          <w:tcPr>
            <w:tcW w:w="709" w:type="dxa"/>
          </w:tcPr>
          <w:p w14:paraId="06B49D5A"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5B" w14:textId="77777777" w:rsidR="00A658D0" w:rsidRDefault="00000000">
            <w:pPr>
              <w:rPr>
                <w:rFonts w:ascii="Arial Narrow" w:hAnsi="Arial Narrow"/>
                <w:sz w:val="22"/>
                <w:szCs w:val="22"/>
              </w:rPr>
            </w:pPr>
            <w:r>
              <w:rPr>
                <w:rFonts w:ascii="Arial Narrow" w:hAnsi="Arial Narrow"/>
                <w:sz w:val="22"/>
                <w:szCs w:val="22"/>
              </w:rPr>
              <w:t xml:space="preserve">Banco Falabella </w:t>
            </w:r>
          </w:p>
        </w:tc>
        <w:tc>
          <w:tcPr>
            <w:tcW w:w="672" w:type="dxa"/>
          </w:tcPr>
          <w:p w14:paraId="06B49D5C" w14:textId="77777777" w:rsidR="00A658D0" w:rsidRDefault="00000000">
            <w:pPr>
              <w:jc w:val="center"/>
              <w:rPr>
                <w:rFonts w:ascii="Arial Narrow" w:hAnsi="Arial Narrow"/>
                <w:sz w:val="22"/>
                <w:szCs w:val="22"/>
              </w:rPr>
            </w:pPr>
            <w:r>
              <w:rPr>
                <w:rFonts w:ascii="Arial Narrow" w:hAnsi="Arial Narrow"/>
                <w:sz w:val="22"/>
                <w:szCs w:val="22"/>
              </w:rPr>
              <w:t>80</w:t>
            </w:r>
          </w:p>
        </w:tc>
        <w:tc>
          <w:tcPr>
            <w:tcW w:w="684" w:type="dxa"/>
          </w:tcPr>
          <w:p w14:paraId="06B49D5D" w14:textId="1969EC8E" w:rsidR="00A658D0" w:rsidRDefault="00A658D0">
            <w:pPr>
              <w:jc w:val="center"/>
              <w:rPr>
                <w:rFonts w:ascii="Arial Narrow" w:hAnsi="Arial Narrow"/>
                <w:sz w:val="22"/>
                <w:szCs w:val="22"/>
              </w:rPr>
            </w:pPr>
          </w:p>
        </w:tc>
        <w:tc>
          <w:tcPr>
            <w:tcW w:w="3038" w:type="dxa"/>
            <w:tcBorders>
              <w:top w:val="nil"/>
              <w:bottom w:val="single" w:sz="6" w:space="0" w:color="auto"/>
            </w:tcBorders>
          </w:tcPr>
          <w:p w14:paraId="06B49D5E" w14:textId="782730E4" w:rsidR="00A658D0" w:rsidRDefault="00000000">
            <w:pPr>
              <w:rPr>
                <w:rFonts w:ascii="Arial Narrow" w:hAnsi="Arial Narrow"/>
                <w:sz w:val="22"/>
                <w:szCs w:val="22"/>
              </w:rPr>
            </w:pPr>
            <w:r>
              <w:rPr>
                <w:rStyle w:val="Refdenotaalpie"/>
                <w:rFonts w:ascii="Arial Narrow" w:hAnsi="Arial Narrow"/>
                <w:sz w:val="22"/>
                <w:szCs w:val="22"/>
              </w:rPr>
              <w:footnoteReference w:id="41"/>
            </w:r>
          </w:p>
        </w:tc>
      </w:tr>
      <w:tr w:rsidR="00A658D0" w14:paraId="06B49D66" w14:textId="77777777">
        <w:tc>
          <w:tcPr>
            <w:tcW w:w="779" w:type="dxa"/>
          </w:tcPr>
          <w:p w14:paraId="06B49D60" w14:textId="77777777" w:rsidR="00A658D0" w:rsidRDefault="00000000">
            <w:pPr>
              <w:jc w:val="center"/>
              <w:rPr>
                <w:rFonts w:ascii="Arial Narrow" w:hAnsi="Arial Narrow"/>
                <w:sz w:val="22"/>
                <w:szCs w:val="22"/>
              </w:rPr>
            </w:pPr>
            <w:r>
              <w:rPr>
                <w:rFonts w:ascii="Arial Narrow" w:hAnsi="Arial Narrow"/>
                <w:sz w:val="22"/>
                <w:szCs w:val="22"/>
              </w:rPr>
              <w:t>35</w:t>
            </w:r>
          </w:p>
        </w:tc>
        <w:tc>
          <w:tcPr>
            <w:tcW w:w="709" w:type="dxa"/>
          </w:tcPr>
          <w:p w14:paraId="06B49D61"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62" w14:textId="77777777" w:rsidR="00A658D0" w:rsidRDefault="00000000">
            <w:pPr>
              <w:rPr>
                <w:rFonts w:ascii="Arial Narrow" w:hAnsi="Arial Narrow"/>
                <w:sz w:val="22"/>
                <w:szCs w:val="22"/>
              </w:rPr>
            </w:pPr>
            <w:r>
              <w:rPr>
                <w:rFonts w:ascii="Arial Narrow" w:hAnsi="Arial Narrow"/>
                <w:sz w:val="22"/>
                <w:szCs w:val="22"/>
              </w:rPr>
              <w:t xml:space="preserve">Banco Santander </w:t>
            </w:r>
            <w:proofErr w:type="spellStart"/>
            <w:r>
              <w:rPr>
                <w:rFonts w:ascii="Arial Narrow" w:hAnsi="Arial Narrow"/>
                <w:sz w:val="22"/>
                <w:szCs w:val="22"/>
              </w:rPr>
              <w:t>Peru</w:t>
            </w:r>
            <w:proofErr w:type="spellEnd"/>
            <w:r>
              <w:rPr>
                <w:rFonts w:ascii="Arial Narrow" w:hAnsi="Arial Narrow"/>
                <w:sz w:val="22"/>
                <w:szCs w:val="22"/>
              </w:rPr>
              <w:t xml:space="preserve"> </w:t>
            </w:r>
          </w:p>
        </w:tc>
        <w:tc>
          <w:tcPr>
            <w:tcW w:w="672" w:type="dxa"/>
          </w:tcPr>
          <w:p w14:paraId="06B49D63" w14:textId="77777777" w:rsidR="00A658D0" w:rsidRDefault="00000000">
            <w:pPr>
              <w:jc w:val="center"/>
              <w:rPr>
                <w:rFonts w:ascii="Arial Narrow" w:hAnsi="Arial Narrow"/>
                <w:sz w:val="22"/>
                <w:szCs w:val="22"/>
              </w:rPr>
            </w:pPr>
            <w:r>
              <w:rPr>
                <w:rFonts w:ascii="Arial Narrow" w:hAnsi="Arial Narrow"/>
                <w:sz w:val="22"/>
                <w:szCs w:val="22"/>
              </w:rPr>
              <w:t>81</w:t>
            </w:r>
          </w:p>
        </w:tc>
        <w:tc>
          <w:tcPr>
            <w:tcW w:w="684" w:type="dxa"/>
          </w:tcPr>
          <w:p w14:paraId="06B49D64" w14:textId="77777777" w:rsidR="00A658D0" w:rsidRDefault="00000000">
            <w:pPr>
              <w:jc w:val="center"/>
              <w:rPr>
                <w:rFonts w:ascii="Arial Narrow" w:hAnsi="Arial Narrow"/>
                <w:sz w:val="22"/>
                <w:szCs w:val="22"/>
              </w:rPr>
            </w:pPr>
            <w:r>
              <w:rPr>
                <w:rFonts w:ascii="Arial Narrow" w:hAnsi="Arial Narrow"/>
                <w:sz w:val="22"/>
                <w:szCs w:val="22"/>
              </w:rPr>
              <w:t>F</w:t>
            </w:r>
          </w:p>
        </w:tc>
        <w:tc>
          <w:tcPr>
            <w:tcW w:w="3038" w:type="dxa"/>
            <w:tcBorders>
              <w:top w:val="nil"/>
              <w:bottom w:val="single" w:sz="6" w:space="0" w:color="auto"/>
            </w:tcBorders>
          </w:tcPr>
          <w:p w14:paraId="06B49D65" w14:textId="77777777" w:rsidR="00A658D0" w:rsidRDefault="00000000">
            <w:pPr>
              <w:rPr>
                <w:rFonts w:ascii="Arial Narrow" w:hAnsi="Arial Narrow"/>
                <w:sz w:val="22"/>
                <w:szCs w:val="22"/>
              </w:rPr>
            </w:pPr>
            <w:r>
              <w:rPr>
                <w:rFonts w:ascii="Arial Narrow" w:hAnsi="Arial Narrow"/>
                <w:sz w:val="22"/>
                <w:szCs w:val="22"/>
              </w:rPr>
              <w:t xml:space="preserve">Santander Financiamientos </w:t>
            </w:r>
            <w:proofErr w:type="gramStart"/>
            <w:r>
              <w:rPr>
                <w:rFonts w:ascii="Arial Narrow" w:hAnsi="Arial Narrow"/>
                <w:sz w:val="22"/>
                <w:szCs w:val="22"/>
              </w:rPr>
              <w:t>S.A</w:t>
            </w:r>
            <w:proofErr w:type="gramEnd"/>
            <w:r>
              <w:rPr>
                <w:rStyle w:val="Refdenotaalpie"/>
                <w:rFonts w:ascii="Arial Narrow" w:hAnsi="Arial Narrow"/>
                <w:sz w:val="22"/>
                <w:szCs w:val="22"/>
              </w:rPr>
              <w:footnoteReference w:id="42"/>
            </w:r>
          </w:p>
        </w:tc>
      </w:tr>
      <w:tr w:rsidR="00A658D0" w14:paraId="06B49D6D" w14:textId="77777777">
        <w:tc>
          <w:tcPr>
            <w:tcW w:w="779" w:type="dxa"/>
          </w:tcPr>
          <w:p w14:paraId="06B49D67" w14:textId="77777777" w:rsidR="00A658D0" w:rsidRDefault="00000000">
            <w:pPr>
              <w:jc w:val="center"/>
              <w:rPr>
                <w:rFonts w:ascii="Arial Narrow" w:hAnsi="Arial Narrow"/>
                <w:sz w:val="22"/>
                <w:szCs w:val="22"/>
              </w:rPr>
            </w:pPr>
            <w:r>
              <w:rPr>
                <w:rFonts w:ascii="Arial Narrow" w:hAnsi="Arial Narrow"/>
                <w:sz w:val="22"/>
                <w:szCs w:val="22"/>
              </w:rPr>
              <w:t>36</w:t>
            </w:r>
          </w:p>
        </w:tc>
        <w:tc>
          <w:tcPr>
            <w:tcW w:w="709" w:type="dxa"/>
          </w:tcPr>
          <w:p w14:paraId="06B49D68"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69" w14:textId="77777777" w:rsidR="00A658D0" w:rsidRDefault="00000000">
            <w:pPr>
              <w:rPr>
                <w:rFonts w:ascii="Arial Narrow" w:hAnsi="Arial Narrow"/>
                <w:sz w:val="22"/>
                <w:szCs w:val="22"/>
              </w:rPr>
            </w:pPr>
            <w:r>
              <w:rPr>
                <w:rFonts w:ascii="Arial Narrow" w:hAnsi="Arial Narrow"/>
                <w:sz w:val="22"/>
                <w:szCs w:val="22"/>
              </w:rPr>
              <w:t xml:space="preserve">Banco Ripley </w:t>
            </w:r>
          </w:p>
        </w:tc>
        <w:tc>
          <w:tcPr>
            <w:tcW w:w="672" w:type="dxa"/>
          </w:tcPr>
          <w:p w14:paraId="06B49D6A" w14:textId="77777777" w:rsidR="00A658D0" w:rsidRDefault="00A658D0">
            <w:pPr>
              <w:jc w:val="center"/>
              <w:rPr>
                <w:rFonts w:ascii="Arial Narrow" w:hAnsi="Arial Narrow"/>
                <w:sz w:val="22"/>
                <w:szCs w:val="22"/>
              </w:rPr>
            </w:pPr>
          </w:p>
        </w:tc>
        <w:tc>
          <w:tcPr>
            <w:tcW w:w="684" w:type="dxa"/>
          </w:tcPr>
          <w:p w14:paraId="06B49D6B" w14:textId="77777777" w:rsidR="00A658D0" w:rsidRDefault="00A658D0">
            <w:pPr>
              <w:jc w:val="center"/>
              <w:rPr>
                <w:rFonts w:ascii="Arial Narrow" w:hAnsi="Arial Narrow"/>
                <w:sz w:val="22"/>
                <w:szCs w:val="22"/>
              </w:rPr>
            </w:pPr>
          </w:p>
        </w:tc>
        <w:tc>
          <w:tcPr>
            <w:tcW w:w="3038" w:type="dxa"/>
            <w:tcBorders>
              <w:top w:val="single" w:sz="6" w:space="0" w:color="auto"/>
              <w:bottom w:val="single" w:sz="6" w:space="0" w:color="auto"/>
            </w:tcBorders>
            <w:shd w:val="clear" w:color="auto" w:fill="A6A6A6"/>
          </w:tcPr>
          <w:p w14:paraId="06B49D6C" w14:textId="77777777" w:rsidR="00A658D0" w:rsidRDefault="00000000">
            <w:pPr>
              <w:rPr>
                <w:rFonts w:ascii="Arial Narrow" w:hAnsi="Arial Narrow"/>
                <w:bCs/>
                <w:sz w:val="22"/>
                <w:szCs w:val="22"/>
              </w:rPr>
            </w:pPr>
            <w:r>
              <w:rPr>
                <w:rFonts w:ascii="Arial Narrow" w:hAnsi="Arial Narrow"/>
                <w:b/>
                <w:sz w:val="22"/>
                <w:szCs w:val="22"/>
              </w:rPr>
              <w:t>OTRAS</w:t>
            </w:r>
          </w:p>
        </w:tc>
      </w:tr>
      <w:tr w:rsidR="00A658D0" w14:paraId="06B49D74" w14:textId="77777777">
        <w:tc>
          <w:tcPr>
            <w:tcW w:w="779" w:type="dxa"/>
          </w:tcPr>
          <w:p w14:paraId="06B49D6E" w14:textId="77777777" w:rsidR="00A658D0" w:rsidRDefault="00000000">
            <w:pPr>
              <w:jc w:val="center"/>
              <w:rPr>
                <w:rFonts w:ascii="Arial Narrow" w:hAnsi="Arial Narrow"/>
                <w:sz w:val="22"/>
                <w:szCs w:val="22"/>
              </w:rPr>
            </w:pPr>
            <w:r>
              <w:rPr>
                <w:rFonts w:ascii="Arial Narrow" w:hAnsi="Arial Narrow"/>
                <w:sz w:val="22"/>
                <w:szCs w:val="22"/>
              </w:rPr>
              <w:t>37</w:t>
            </w:r>
          </w:p>
        </w:tc>
        <w:tc>
          <w:tcPr>
            <w:tcW w:w="709" w:type="dxa"/>
          </w:tcPr>
          <w:p w14:paraId="06B49D6F"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70" w14:textId="77777777" w:rsidR="00A658D0" w:rsidRDefault="00000000">
            <w:pPr>
              <w:rPr>
                <w:rFonts w:ascii="Arial Narrow" w:hAnsi="Arial Narrow"/>
                <w:sz w:val="22"/>
                <w:szCs w:val="22"/>
              </w:rPr>
            </w:pPr>
            <w:proofErr w:type="spellStart"/>
            <w:r>
              <w:rPr>
                <w:rFonts w:ascii="Arial Narrow" w:hAnsi="Arial Narrow"/>
                <w:sz w:val="22"/>
                <w:szCs w:val="22"/>
              </w:rPr>
              <w:t>Alfin</w:t>
            </w:r>
            <w:proofErr w:type="spellEnd"/>
            <w:r>
              <w:rPr>
                <w:rFonts w:ascii="Arial Narrow" w:hAnsi="Arial Narrow"/>
                <w:sz w:val="22"/>
                <w:szCs w:val="22"/>
              </w:rPr>
              <w:t xml:space="preserve"> Banco S.A.</w:t>
            </w:r>
            <w:r>
              <w:rPr>
                <w:rStyle w:val="Refdenotaalpie"/>
                <w:rFonts w:ascii="Arial Narrow" w:hAnsi="Arial Narrow"/>
                <w:sz w:val="22"/>
                <w:szCs w:val="22"/>
              </w:rPr>
              <w:footnoteReference w:id="43"/>
            </w:r>
          </w:p>
        </w:tc>
        <w:tc>
          <w:tcPr>
            <w:tcW w:w="672" w:type="dxa"/>
          </w:tcPr>
          <w:p w14:paraId="06B49D71" w14:textId="77777777" w:rsidR="00A658D0" w:rsidRDefault="00000000">
            <w:pPr>
              <w:jc w:val="center"/>
              <w:rPr>
                <w:rFonts w:ascii="Arial Narrow" w:hAnsi="Arial Narrow"/>
                <w:sz w:val="22"/>
                <w:szCs w:val="22"/>
              </w:rPr>
            </w:pPr>
            <w:r>
              <w:rPr>
                <w:rFonts w:ascii="Arial Narrow" w:hAnsi="Arial Narrow"/>
                <w:sz w:val="22"/>
                <w:szCs w:val="22"/>
              </w:rPr>
              <w:t>92</w:t>
            </w:r>
          </w:p>
        </w:tc>
        <w:tc>
          <w:tcPr>
            <w:tcW w:w="684" w:type="dxa"/>
          </w:tcPr>
          <w:p w14:paraId="06B49D72" w14:textId="77777777" w:rsidR="00A658D0" w:rsidRDefault="00000000">
            <w:pPr>
              <w:jc w:val="center"/>
              <w:rPr>
                <w:rFonts w:ascii="Arial Narrow" w:hAnsi="Arial Narrow"/>
                <w:sz w:val="22"/>
                <w:szCs w:val="22"/>
              </w:rPr>
            </w:pPr>
            <w:r>
              <w:rPr>
                <w:rFonts w:ascii="Arial Narrow" w:hAnsi="Arial Narrow"/>
                <w:sz w:val="22"/>
                <w:szCs w:val="22"/>
              </w:rPr>
              <w:t>CM</w:t>
            </w:r>
          </w:p>
        </w:tc>
        <w:tc>
          <w:tcPr>
            <w:tcW w:w="3038" w:type="dxa"/>
            <w:tcBorders>
              <w:top w:val="single" w:sz="6" w:space="0" w:color="auto"/>
            </w:tcBorders>
          </w:tcPr>
          <w:p w14:paraId="06B49D73" w14:textId="77777777" w:rsidR="00A658D0" w:rsidRDefault="00000000">
            <w:pPr>
              <w:rPr>
                <w:rFonts w:ascii="Arial Narrow" w:hAnsi="Arial Narrow"/>
                <w:b/>
                <w:sz w:val="22"/>
                <w:szCs w:val="22"/>
              </w:rPr>
            </w:pPr>
            <w:r>
              <w:rPr>
                <w:rFonts w:ascii="Arial Narrow" w:hAnsi="Arial Narrow"/>
                <w:sz w:val="22"/>
                <w:szCs w:val="22"/>
              </w:rPr>
              <w:t>Cajas Municipales</w:t>
            </w:r>
          </w:p>
        </w:tc>
      </w:tr>
      <w:tr w:rsidR="00A658D0" w14:paraId="06B49D7B" w14:textId="77777777">
        <w:tc>
          <w:tcPr>
            <w:tcW w:w="779" w:type="dxa"/>
          </w:tcPr>
          <w:p w14:paraId="06B49D75" w14:textId="77777777" w:rsidR="00A658D0" w:rsidRDefault="00000000">
            <w:pPr>
              <w:jc w:val="center"/>
              <w:rPr>
                <w:rFonts w:ascii="Arial Narrow" w:hAnsi="Arial Narrow"/>
                <w:sz w:val="22"/>
                <w:szCs w:val="22"/>
              </w:rPr>
            </w:pPr>
            <w:r>
              <w:rPr>
                <w:rFonts w:ascii="Arial Narrow" w:hAnsi="Arial Narrow"/>
                <w:sz w:val="22"/>
                <w:szCs w:val="22"/>
              </w:rPr>
              <w:t>38</w:t>
            </w:r>
          </w:p>
        </w:tc>
        <w:tc>
          <w:tcPr>
            <w:tcW w:w="709" w:type="dxa"/>
          </w:tcPr>
          <w:p w14:paraId="06B49D76" w14:textId="77777777" w:rsidR="00A658D0" w:rsidRDefault="00A658D0">
            <w:pPr>
              <w:jc w:val="center"/>
              <w:rPr>
                <w:rFonts w:ascii="Arial Narrow" w:hAnsi="Arial Narrow"/>
                <w:sz w:val="22"/>
                <w:szCs w:val="22"/>
              </w:rPr>
            </w:pPr>
          </w:p>
        </w:tc>
        <w:tc>
          <w:tcPr>
            <w:tcW w:w="2977" w:type="dxa"/>
          </w:tcPr>
          <w:p w14:paraId="06B49D77" w14:textId="77777777" w:rsidR="00A658D0" w:rsidRDefault="00000000">
            <w:pPr>
              <w:rPr>
                <w:rFonts w:ascii="Arial Narrow" w:hAnsi="Arial Narrow"/>
                <w:sz w:val="22"/>
                <w:szCs w:val="22"/>
              </w:rPr>
            </w:pPr>
            <w:r>
              <w:rPr>
                <w:rStyle w:val="Refdenotaalpie"/>
                <w:rFonts w:ascii="Arial Narrow" w:hAnsi="Arial Narrow"/>
                <w:sz w:val="22"/>
                <w:szCs w:val="22"/>
              </w:rPr>
              <w:footnoteReference w:id="44"/>
            </w:r>
          </w:p>
        </w:tc>
        <w:tc>
          <w:tcPr>
            <w:tcW w:w="672" w:type="dxa"/>
          </w:tcPr>
          <w:p w14:paraId="06B49D78" w14:textId="77777777" w:rsidR="00A658D0" w:rsidRDefault="00000000">
            <w:pPr>
              <w:jc w:val="center"/>
              <w:rPr>
                <w:rFonts w:ascii="Arial Narrow" w:hAnsi="Arial Narrow"/>
                <w:sz w:val="22"/>
                <w:szCs w:val="22"/>
              </w:rPr>
            </w:pPr>
            <w:r>
              <w:rPr>
                <w:rFonts w:ascii="Arial Narrow" w:hAnsi="Arial Narrow"/>
                <w:sz w:val="22"/>
                <w:szCs w:val="22"/>
              </w:rPr>
              <w:t>93</w:t>
            </w:r>
          </w:p>
        </w:tc>
        <w:tc>
          <w:tcPr>
            <w:tcW w:w="684" w:type="dxa"/>
          </w:tcPr>
          <w:p w14:paraId="06B49D79" w14:textId="77777777" w:rsidR="00A658D0" w:rsidRDefault="00000000">
            <w:pPr>
              <w:jc w:val="center"/>
              <w:rPr>
                <w:rFonts w:ascii="Arial Narrow" w:hAnsi="Arial Narrow"/>
                <w:sz w:val="22"/>
                <w:szCs w:val="22"/>
              </w:rPr>
            </w:pPr>
            <w:r>
              <w:rPr>
                <w:rFonts w:ascii="Arial Narrow" w:hAnsi="Arial Narrow"/>
                <w:sz w:val="22"/>
                <w:szCs w:val="22"/>
              </w:rPr>
              <w:t>CR</w:t>
            </w:r>
          </w:p>
        </w:tc>
        <w:tc>
          <w:tcPr>
            <w:tcW w:w="3038" w:type="dxa"/>
            <w:tcBorders>
              <w:top w:val="nil"/>
            </w:tcBorders>
          </w:tcPr>
          <w:p w14:paraId="06B49D7A" w14:textId="77777777" w:rsidR="00A658D0" w:rsidRDefault="00000000">
            <w:pPr>
              <w:rPr>
                <w:rFonts w:ascii="Arial Narrow" w:hAnsi="Arial Narrow"/>
                <w:sz w:val="22"/>
                <w:szCs w:val="22"/>
              </w:rPr>
            </w:pPr>
            <w:r>
              <w:rPr>
                <w:rFonts w:ascii="Arial Narrow" w:hAnsi="Arial Narrow"/>
                <w:sz w:val="22"/>
                <w:szCs w:val="22"/>
              </w:rPr>
              <w:t>Cajas Rurales</w:t>
            </w:r>
          </w:p>
        </w:tc>
      </w:tr>
      <w:tr w:rsidR="00A658D0" w14:paraId="06B49D82" w14:textId="77777777">
        <w:tc>
          <w:tcPr>
            <w:tcW w:w="779" w:type="dxa"/>
          </w:tcPr>
          <w:p w14:paraId="06B49D7C" w14:textId="77777777" w:rsidR="00A658D0" w:rsidRDefault="00000000">
            <w:pPr>
              <w:jc w:val="center"/>
              <w:rPr>
                <w:rFonts w:ascii="Arial Narrow" w:hAnsi="Arial Narrow"/>
                <w:sz w:val="22"/>
                <w:szCs w:val="22"/>
              </w:rPr>
            </w:pPr>
            <w:r>
              <w:rPr>
                <w:rFonts w:ascii="Arial Narrow" w:hAnsi="Arial Narrow"/>
                <w:sz w:val="22"/>
                <w:szCs w:val="22"/>
              </w:rPr>
              <w:t>39</w:t>
            </w:r>
          </w:p>
        </w:tc>
        <w:tc>
          <w:tcPr>
            <w:tcW w:w="709" w:type="dxa"/>
          </w:tcPr>
          <w:p w14:paraId="06B49D7D" w14:textId="77777777" w:rsidR="00A658D0" w:rsidRDefault="00A658D0">
            <w:pPr>
              <w:jc w:val="center"/>
              <w:rPr>
                <w:rFonts w:ascii="Arial Narrow" w:hAnsi="Arial Narrow"/>
                <w:sz w:val="22"/>
                <w:szCs w:val="22"/>
              </w:rPr>
            </w:pPr>
          </w:p>
        </w:tc>
        <w:tc>
          <w:tcPr>
            <w:tcW w:w="2977" w:type="dxa"/>
          </w:tcPr>
          <w:p w14:paraId="06B49D7E" w14:textId="77777777" w:rsidR="00A658D0" w:rsidRDefault="00000000">
            <w:pPr>
              <w:rPr>
                <w:rFonts w:ascii="Arial Narrow" w:hAnsi="Arial Narrow"/>
                <w:sz w:val="22"/>
                <w:szCs w:val="22"/>
              </w:rPr>
            </w:pPr>
            <w:r>
              <w:rPr>
                <w:rStyle w:val="Refdenotaalpie"/>
                <w:rFonts w:ascii="Arial Narrow" w:hAnsi="Arial Narrow"/>
                <w:sz w:val="22"/>
                <w:szCs w:val="22"/>
              </w:rPr>
              <w:footnoteReference w:id="45"/>
            </w:r>
          </w:p>
        </w:tc>
        <w:tc>
          <w:tcPr>
            <w:tcW w:w="672" w:type="dxa"/>
          </w:tcPr>
          <w:p w14:paraId="06B49D7F" w14:textId="77777777" w:rsidR="00A658D0" w:rsidRDefault="00000000">
            <w:pPr>
              <w:jc w:val="center"/>
              <w:rPr>
                <w:rFonts w:ascii="Arial Narrow" w:hAnsi="Arial Narrow"/>
                <w:sz w:val="22"/>
                <w:szCs w:val="22"/>
              </w:rPr>
            </w:pPr>
            <w:r>
              <w:rPr>
                <w:rFonts w:ascii="Arial Narrow" w:hAnsi="Arial Narrow"/>
                <w:sz w:val="22"/>
                <w:szCs w:val="22"/>
              </w:rPr>
              <w:t>94</w:t>
            </w:r>
          </w:p>
        </w:tc>
        <w:tc>
          <w:tcPr>
            <w:tcW w:w="684" w:type="dxa"/>
          </w:tcPr>
          <w:p w14:paraId="06B49D80" w14:textId="77777777" w:rsidR="00A658D0" w:rsidRDefault="00000000">
            <w:pPr>
              <w:jc w:val="center"/>
              <w:rPr>
                <w:rFonts w:ascii="Arial Narrow" w:hAnsi="Arial Narrow"/>
                <w:sz w:val="22"/>
                <w:szCs w:val="22"/>
              </w:rPr>
            </w:pPr>
            <w:r>
              <w:rPr>
                <w:rFonts w:ascii="Arial Narrow" w:hAnsi="Arial Narrow"/>
                <w:sz w:val="22"/>
                <w:szCs w:val="22"/>
              </w:rPr>
              <w:t>CO</w:t>
            </w:r>
          </w:p>
        </w:tc>
        <w:tc>
          <w:tcPr>
            <w:tcW w:w="3038" w:type="dxa"/>
            <w:tcBorders>
              <w:top w:val="nil"/>
            </w:tcBorders>
          </w:tcPr>
          <w:p w14:paraId="06B49D81" w14:textId="77777777" w:rsidR="00A658D0" w:rsidRDefault="00000000">
            <w:pPr>
              <w:rPr>
                <w:rFonts w:ascii="Arial Narrow" w:hAnsi="Arial Narrow"/>
                <w:sz w:val="22"/>
                <w:szCs w:val="22"/>
              </w:rPr>
            </w:pPr>
            <w:r>
              <w:rPr>
                <w:rFonts w:ascii="Arial Narrow" w:hAnsi="Arial Narrow"/>
                <w:sz w:val="22"/>
                <w:szCs w:val="22"/>
              </w:rPr>
              <w:t>Cooperativas</w:t>
            </w:r>
          </w:p>
        </w:tc>
      </w:tr>
      <w:tr w:rsidR="00A658D0" w14:paraId="06B49D89" w14:textId="77777777">
        <w:tc>
          <w:tcPr>
            <w:tcW w:w="779" w:type="dxa"/>
          </w:tcPr>
          <w:p w14:paraId="06B49D83" w14:textId="77777777" w:rsidR="00A658D0" w:rsidRDefault="00000000">
            <w:pPr>
              <w:jc w:val="center"/>
              <w:rPr>
                <w:rFonts w:ascii="Arial Narrow" w:hAnsi="Arial Narrow"/>
                <w:sz w:val="22"/>
                <w:szCs w:val="22"/>
              </w:rPr>
            </w:pPr>
            <w:r>
              <w:rPr>
                <w:rFonts w:ascii="Arial Narrow" w:hAnsi="Arial Narrow"/>
                <w:sz w:val="22"/>
                <w:szCs w:val="22"/>
              </w:rPr>
              <w:t>40</w:t>
            </w:r>
          </w:p>
        </w:tc>
        <w:tc>
          <w:tcPr>
            <w:tcW w:w="709" w:type="dxa"/>
          </w:tcPr>
          <w:p w14:paraId="06B49D84"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85" w14:textId="77777777" w:rsidR="00A658D0" w:rsidRDefault="00000000">
            <w:pPr>
              <w:rPr>
                <w:rFonts w:ascii="Arial Narrow" w:hAnsi="Arial Narrow"/>
                <w:sz w:val="22"/>
                <w:szCs w:val="22"/>
              </w:rPr>
            </w:pPr>
            <w:r>
              <w:rPr>
                <w:rFonts w:ascii="Arial Narrow" w:hAnsi="Arial Narrow"/>
                <w:sz w:val="22"/>
                <w:szCs w:val="22"/>
              </w:rPr>
              <w:t xml:space="preserve">ICBC </w:t>
            </w:r>
            <w:proofErr w:type="spellStart"/>
            <w:r>
              <w:rPr>
                <w:rFonts w:ascii="Arial Narrow" w:hAnsi="Arial Narrow"/>
                <w:sz w:val="22"/>
                <w:szCs w:val="22"/>
              </w:rPr>
              <w:t>Peru</w:t>
            </w:r>
            <w:proofErr w:type="spellEnd"/>
            <w:r>
              <w:rPr>
                <w:rFonts w:ascii="Arial Narrow" w:hAnsi="Arial Narrow"/>
                <w:sz w:val="22"/>
                <w:szCs w:val="22"/>
              </w:rPr>
              <w:t xml:space="preserve"> Bank</w:t>
            </w:r>
            <w:r>
              <w:rPr>
                <w:rStyle w:val="Refdenotaalpie"/>
                <w:rFonts w:ascii="Arial Narrow" w:hAnsi="Arial Narrow"/>
                <w:sz w:val="22"/>
                <w:szCs w:val="22"/>
              </w:rPr>
              <w:footnoteReference w:id="46"/>
            </w:r>
          </w:p>
        </w:tc>
        <w:tc>
          <w:tcPr>
            <w:tcW w:w="672" w:type="dxa"/>
          </w:tcPr>
          <w:p w14:paraId="06B49D86" w14:textId="77777777" w:rsidR="00A658D0" w:rsidRDefault="00000000">
            <w:pPr>
              <w:jc w:val="center"/>
              <w:rPr>
                <w:rFonts w:ascii="Arial Narrow" w:hAnsi="Arial Narrow"/>
                <w:sz w:val="22"/>
                <w:szCs w:val="22"/>
              </w:rPr>
            </w:pPr>
            <w:r>
              <w:rPr>
                <w:rFonts w:ascii="Arial Narrow" w:hAnsi="Arial Narrow"/>
                <w:sz w:val="22"/>
                <w:szCs w:val="22"/>
              </w:rPr>
              <w:t>95</w:t>
            </w:r>
          </w:p>
        </w:tc>
        <w:tc>
          <w:tcPr>
            <w:tcW w:w="684" w:type="dxa"/>
          </w:tcPr>
          <w:p w14:paraId="06B49D87" w14:textId="77777777" w:rsidR="00A658D0" w:rsidRDefault="00000000">
            <w:pPr>
              <w:jc w:val="center"/>
              <w:rPr>
                <w:rFonts w:ascii="Arial Narrow" w:hAnsi="Arial Narrow"/>
                <w:sz w:val="22"/>
                <w:szCs w:val="22"/>
              </w:rPr>
            </w:pPr>
            <w:r>
              <w:rPr>
                <w:rFonts w:ascii="Arial Narrow" w:hAnsi="Arial Narrow"/>
                <w:sz w:val="22"/>
                <w:szCs w:val="22"/>
              </w:rPr>
              <w:t>ED</w:t>
            </w:r>
          </w:p>
        </w:tc>
        <w:tc>
          <w:tcPr>
            <w:tcW w:w="3038" w:type="dxa"/>
            <w:tcBorders>
              <w:top w:val="nil"/>
            </w:tcBorders>
          </w:tcPr>
          <w:p w14:paraId="06B49D88" w14:textId="77777777" w:rsidR="00A658D0" w:rsidRDefault="00000000">
            <w:pPr>
              <w:rPr>
                <w:rFonts w:ascii="Arial Narrow" w:hAnsi="Arial Narrow"/>
                <w:sz w:val="22"/>
                <w:szCs w:val="22"/>
              </w:rPr>
            </w:pPr>
            <w:r>
              <w:rPr>
                <w:rFonts w:ascii="Arial Narrow" w:hAnsi="Arial Narrow"/>
                <w:sz w:val="22"/>
                <w:szCs w:val="22"/>
              </w:rPr>
              <w:t>Empresa de Créditos</w:t>
            </w:r>
            <w:r>
              <w:rPr>
                <w:rStyle w:val="Refdenotaalpie"/>
                <w:rFonts w:ascii="Arial Narrow" w:hAnsi="Arial Narrow"/>
                <w:sz w:val="22"/>
                <w:szCs w:val="22"/>
              </w:rPr>
              <w:footnoteReference w:id="47"/>
            </w:r>
          </w:p>
        </w:tc>
      </w:tr>
      <w:tr w:rsidR="00A658D0" w14:paraId="06B49D90" w14:textId="77777777">
        <w:tc>
          <w:tcPr>
            <w:tcW w:w="779" w:type="dxa"/>
          </w:tcPr>
          <w:p w14:paraId="06B49D8A" w14:textId="77777777" w:rsidR="00A658D0" w:rsidRDefault="00000000">
            <w:pPr>
              <w:jc w:val="center"/>
              <w:rPr>
                <w:rFonts w:ascii="Arial Narrow" w:hAnsi="Arial Narrow"/>
                <w:sz w:val="22"/>
                <w:szCs w:val="22"/>
              </w:rPr>
            </w:pPr>
            <w:r>
              <w:rPr>
                <w:rFonts w:ascii="Arial Narrow" w:hAnsi="Arial Narrow"/>
                <w:sz w:val="22"/>
                <w:szCs w:val="22"/>
              </w:rPr>
              <w:t>41</w:t>
            </w:r>
          </w:p>
        </w:tc>
        <w:tc>
          <w:tcPr>
            <w:tcW w:w="709" w:type="dxa"/>
          </w:tcPr>
          <w:p w14:paraId="06B49D8B"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8C" w14:textId="77777777" w:rsidR="00A658D0" w:rsidRDefault="00000000">
            <w:pPr>
              <w:rPr>
                <w:rFonts w:ascii="Arial Narrow" w:hAnsi="Arial Narrow"/>
                <w:sz w:val="22"/>
                <w:szCs w:val="22"/>
                <w:lang w:val="en-US"/>
              </w:rPr>
            </w:pPr>
            <w:r>
              <w:rPr>
                <w:rFonts w:ascii="Arial Narrow" w:hAnsi="Arial Narrow"/>
                <w:sz w:val="22"/>
                <w:szCs w:val="22"/>
                <w:lang w:val="en-US"/>
              </w:rPr>
              <w:t>Bank of China (Peru) S.A.</w:t>
            </w:r>
            <w:r>
              <w:rPr>
                <w:rStyle w:val="Refdenotaalpie"/>
                <w:rFonts w:ascii="Arial Narrow" w:hAnsi="Arial Narrow"/>
                <w:sz w:val="22"/>
                <w:szCs w:val="22"/>
              </w:rPr>
              <w:footnoteReference w:id="48"/>
            </w:r>
            <w:r>
              <w:rPr>
                <w:rFonts w:ascii="Arial Narrow" w:hAnsi="Arial Narrow"/>
                <w:sz w:val="22"/>
                <w:szCs w:val="22"/>
                <w:lang w:val="en-US"/>
              </w:rPr>
              <w:t xml:space="preserve"> </w:t>
            </w:r>
          </w:p>
        </w:tc>
        <w:tc>
          <w:tcPr>
            <w:tcW w:w="672" w:type="dxa"/>
          </w:tcPr>
          <w:p w14:paraId="06B49D8D" w14:textId="77777777" w:rsidR="00A658D0" w:rsidRDefault="00A658D0">
            <w:pPr>
              <w:jc w:val="center"/>
              <w:rPr>
                <w:rFonts w:ascii="Arial Narrow" w:hAnsi="Arial Narrow"/>
                <w:sz w:val="22"/>
                <w:szCs w:val="22"/>
                <w:lang w:val="en-US"/>
              </w:rPr>
            </w:pPr>
          </w:p>
        </w:tc>
        <w:tc>
          <w:tcPr>
            <w:tcW w:w="684" w:type="dxa"/>
          </w:tcPr>
          <w:p w14:paraId="06B49D8E" w14:textId="77777777" w:rsidR="00A658D0" w:rsidRDefault="00A658D0">
            <w:pPr>
              <w:jc w:val="center"/>
              <w:rPr>
                <w:rFonts w:ascii="Arial Narrow" w:hAnsi="Arial Narrow"/>
                <w:sz w:val="22"/>
                <w:szCs w:val="22"/>
                <w:lang w:val="en-US"/>
              </w:rPr>
            </w:pPr>
          </w:p>
        </w:tc>
        <w:tc>
          <w:tcPr>
            <w:tcW w:w="3038" w:type="dxa"/>
            <w:tcBorders>
              <w:top w:val="nil"/>
            </w:tcBorders>
          </w:tcPr>
          <w:p w14:paraId="06B49D8F" w14:textId="77777777" w:rsidR="00A658D0" w:rsidRDefault="00A658D0">
            <w:pPr>
              <w:rPr>
                <w:rFonts w:ascii="Arial Narrow" w:hAnsi="Arial Narrow"/>
                <w:sz w:val="22"/>
                <w:szCs w:val="22"/>
                <w:lang w:val="en-US"/>
              </w:rPr>
            </w:pPr>
          </w:p>
        </w:tc>
      </w:tr>
      <w:tr w:rsidR="00A658D0" w14:paraId="06B49D97" w14:textId="77777777">
        <w:tc>
          <w:tcPr>
            <w:tcW w:w="779" w:type="dxa"/>
          </w:tcPr>
          <w:p w14:paraId="06B49D91" w14:textId="77777777" w:rsidR="00A658D0" w:rsidRDefault="00000000">
            <w:pPr>
              <w:jc w:val="center"/>
              <w:rPr>
                <w:rFonts w:ascii="Arial Narrow" w:hAnsi="Arial Narrow"/>
                <w:sz w:val="22"/>
                <w:szCs w:val="22"/>
              </w:rPr>
            </w:pPr>
            <w:r>
              <w:rPr>
                <w:rFonts w:ascii="Arial Narrow" w:hAnsi="Arial Narrow"/>
                <w:sz w:val="22"/>
                <w:szCs w:val="22"/>
              </w:rPr>
              <w:t>42</w:t>
            </w:r>
          </w:p>
        </w:tc>
        <w:tc>
          <w:tcPr>
            <w:tcW w:w="709" w:type="dxa"/>
          </w:tcPr>
          <w:p w14:paraId="06B49D92"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93" w14:textId="77777777" w:rsidR="00A658D0" w:rsidRDefault="00000000">
            <w:pPr>
              <w:rPr>
                <w:rFonts w:ascii="Arial Narrow" w:hAnsi="Arial Narrow"/>
                <w:sz w:val="22"/>
                <w:szCs w:val="22"/>
              </w:rPr>
            </w:pPr>
            <w:r>
              <w:rPr>
                <w:rFonts w:ascii="Arial Narrow" w:hAnsi="Arial Narrow"/>
                <w:sz w:val="22"/>
                <w:szCs w:val="22"/>
              </w:rPr>
              <w:t>Corporación Financiera del Desarrollo S.A. COFIDE</w:t>
            </w:r>
            <w:r>
              <w:rPr>
                <w:rStyle w:val="Refdenotaalpie"/>
                <w:rFonts w:ascii="Arial Narrow" w:hAnsi="Arial Narrow"/>
                <w:sz w:val="22"/>
                <w:szCs w:val="22"/>
              </w:rPr>
              <w:t xml:space="preserve"> </w:t>
            </w:r>
            <w:r>
              <w:rPr>
                <w:rStyle w:val="Refdenotaalpie"/>
                <w:rFonts w:ascii="Arial Narrow" w:hAnsi="Arial Narrow"/>
                <w:sz w:val="22"/>
                <w:szCs w:val="22"/>
              </w:rPr>
              <w:footnoteReference w:id="49"/>
            </w:r>
            <w:r>
              <w:rPr>
                <w:rFonts w:ascii="Arial Narrow" w:hAnsi="Arial Narrow"/>
                <w:sz w:val="22"/>
                <w:szCs w:val="22"/>
              </w:rPr>
              <w:t xml:space="preserve"> </w:t>
            </w:r>
          </w:p>
        </w:tc>
        <w:tc>
          <w:tcPr>
            <w:tcW w:w="672" w:type="dxa"/>
          </w:tcPr>
          <w:p w14:paraId="06B49D94" w14:textId="77777777" w:rsidR="00A658D0" w:rsidRDefault="00A658D0">
            <w:pPr>
              <w:jc w:val="center"/>
              <w:rPr>
                <w:rFonts w:ascii="Arial Narrow" w:hAnsi="Arial Narrow"/>
                <w:sz w:val="22"/>
                <w:szCs w:val="22"/>
              </w:rPr>
            </w:pPr>
          </w:p>
        </w:tc>
        <w:tc>
          <w:tcPr>
            <w:tcW w:w="684" w:type="dxa"/>
          </w:tcPr>
          <w:p w14:paraId="06B49D95" w14:textId="77777777" w:rsidR="00A658D0" w:rsidRDefault="00A658D0">
            <w:pPr>
              <w:jc w:val="center"/>
              <w:rPr>
                <w:rFonts w:ascii="Arial Narrow" w:hAnsi="Arial Narrow"/>
                <w:sz w:val="22"/>
                <w:szCs w:val="22"/>
              </w:rPr>
            </w:pPr>
          </w:p>
        </w:tc>
        <w:tc>
          <w:tcPr>
            <w:tcW w:w="3038" w:type="dxa"/>
            <w:tcBorders>
              <w:top w:val="nil"/>
            </w:tcBorders>
          </w:tcPr>
          <w:p w14:paraId="06B49D96" w14:textId="77777777" w:rsidR="00A658D0" w:rsidRDefault="00A658D0">
            <w:pPr>
              <w:rPr>
                <w:rFonts w:ascii="Arial Narrow" w:hAnsi="Arial Narrow"/>
                <w:sz w:val="22"/>
                <w:szCs w:val="22"/>
              </w:rPr>
            </w:pPr>
          </w:p>
        </w:tc>
      </w:tr>
      <w:tr w:rsidR="00A658D0" w14:paraId="06B49D9E" w14:textId="77777777">
        <w:tc>
          <w:tcPr>
            <w:tcW w:w="779" w:type="dxa"/>
          </w:tcPr>
          <w:p w14:paraId="06B49D98" w14:textId="77777777" w:rsidR="00A658D0" w:rsidRDefault="00000000">
            <w:pPr>
              <w:jc w:val="center"/>
              <w:rPr>
                <w:rFonts w:ascii="Arial Narrow" w:hAnsi="Arial Narrow"/>
                <w:sz w:val="22"/>
                <w:szCs w:val="22"/>
              </w:rPr>
            </w:pPr>
            <w:r>
              <w:rPr>
                <w:rFonts w:ascii="Arial Narrow" w:hAnsi="Arial Narrow"/>
                <w:sz w:val="22"/>
                <w:szCs w:val="22"/>
              </w:rPr>
              <w:t>43</w:t>
            </w:r>
          </w:p>
        </w:tc>
        <w:tc>
          <w:tcPr>
            <w:tcW w:w="709" w:type="dxa"/>
          </w:tcPr>
          <w:p w14:paraId="06B49D99"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9A" w14:textId="77777777" w:rsidR="00A658D0" w:rsidRDefault="00000000">
            <w:pPr>
              <w:rPr>
                <w:rFonts w:ascii="Arial Narrow" w:hAnsi="Arial Narrow"/>
                <w:sz w:val="22"/>
                <w:szCs w:val="22"/>
              </w:rPr>
            </w:pPr>
            <w:r>
              <w:rPr>
                <w:rFonts w:ascii="Arial Narrow" w:hAnsi="Arial Narrow"/>
                <w:sz w:val="22"/>
                <w:szCs w:val="22"/>
              </w:rPr>
              <w:t xml:space="preserve">Banco BCI Perú </w:t>
            </w:r>
            <w:r>
              <w:rPr>
                <w:rStyle w:val="Refdenotaalpie"/>
                <w:rFonts w:ascii="Arial Narrow" w:hAnsi="Arial Narrow"/>
                <w:sz w:val="22"/>
                <w:szCs w:val="22"/>
              </w:rPr>
              <w:footnoteReference w:id="50"/>
            </w:r>
          </w:p>
        </w:tc>
        <w:tc>
          <w:tcPr>
            <w:tcW w:w="672" w:type="dxa"/>
          </w:tcPr>
          <w:p w14:paraId="06B49D9B" w14:textId="77777777" w:rsidR="00A658D0" w:rsidRDefault="00A658D0">
            <w:pPr>
              <w:jc w:val="center"/>
              <w:rPr>
                <w:rFonts w:ascii="Arial Narrow" w:hAnsi="Arial Narrow"/>
                <w:sz w:val="22"/>
                <w:szCs w:val="22"/>
              </w:rPr>
            </w:pPr>
          </w:p>
        </w:tc>
        <w:tc>
          <w:tcPr>
            <w:tcW w:w="684" w:type="dxa"/>
          </w:tcPr>
          <w:p w14:paraId="06B49D9C" w14:textId="77777777" w:rsidR="00A658D0" w:rsidRDefault="00A658D0">
            <w:pPr>
              <w:jc w:val="center"/>
              <w:rPr>
                <w:rFonts w:ascii="Arial Narrow" w:hAnsi="Arial Narrow"/>
                <w:sz w:val="22"/>
                <w:szCs w:val="22"/>
              </w:rPr>
            </w:pPr>
          </w:p>
        </w:tc>
        <w:tc>
          <w:tcPr>
            <w:tcW w:w="3038" w:type="dxa"/>
            <w:tcBorders>
              <w:top w:val="nil"/>
            </w:tcBorders>
          </w:tcPr>
          <w:p w14:paraId="06B49D9D" w14:textId="77777777" w:rsidR="00A658D0" w:rsidRDefault="00A658D0">
            <w:pPr>
              <w:rPr>
                <w:rFonts w:ascii="Arial Narrow" w:hAnsi="Arial Narrow"/>
                <w:sz w:val="22"/>
                <w:szCs w:val="22"/>
              </w:rPr>
            </w:pPr>
          </w:p>
        </w:tc>
      </w:tr>
      <w:tr w:rsidR="00A658D0" w14:paraId="06B49DA5" w14:textId="77777777">
        <w:tc>
          <w:tcPr>
            <w:tcW w:w="779" w:type="dxa"/>
          </w:tcPr>
          <w:p w14:paraId="06B49D9F" w14:textId="77777777" w:rsidR="00A658D0" w:rsidRDefault="00000000">
            <w:pPr>
              <w:jc w:val="center"/>
              <w:rPr>
                <w:rFonts w:ascii="Arial Narrow" w:hAnsi="Arial Narrow"/>
                <w:sz w:val="22"/>
                <w:szCs w:val="22"/>
              </w:rPr>
            </w:pPr>
            <w:r>
              <w:rPr>
                <w:rFonts w:ascii="Arial Narrow" w:hAnsi="Arial Narrow"/>
                <w:sz w:val="22"/>
                <w:szCs w:val="22"/>
              </w:rPr>
              <w:lastRenderedPageBreak/>
              <w:t>44</w:t>
            </w:r>
          </w:p>
        </w:tc>
        <w:tc>
          <w:tcPr>
            <w:tcW w:w="709" w:type="dxa"/>
          </w:tcPr>
          <w:p w14:paraId="06B49DA0"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A1" w14:textId="77777777" w:rsidR="00A658D0" w:rsidRDefault="00000000">
            <w:pPr>
              <w:rPr>
                <w:rFonts w:ascii="Arial Narrow" w:hAnsi="Arial Narrow"/>
                <w:sz w:val="22"/>
                <w:szCs w:val="22"/>
              </w:rPr>
            </w:pPr>
            <w:r>
              <w:rPr>
                <w:rFonts w:ascii="Arial Narrow" w:hAnsi="Arial Narrow"/>
                <w:sz w:val="22"/>
                <w:szCs w:val="22"/>
              </w:rPr>
              <w:t>Compartamos Banco</w:t>
            </w:r>
            <w:r>
              <w:rPr>
                <w:rStyle w:val="Refdenotaalpie"/>
                <w:rFonts w:ascii="Arial Narrow" w:hAnsi="Arial Narrow"/>
                <w:sz w:val="22"/>
                <w:szCs w:val="22"/>
              </w:rPr>
              <w:footnoteReference w:id="51"/>
            </w:r>
          </w:p>
        </w:tc>
        <w:tc>
          <w:tcPr>
            <w:tcW w:w="672" w:type="dxa"/>
          </w:tcPr>
          <w:p w14:paraId="06B49DA2" w14:textId="77777777" w:rsidR="00A658D0" w:rsidRDefault="00A658D0">
            <w:pPr>
              <w:jc w:val="center"/>
              <w:rPr>
                <w:rFonts w:ascii="Arial Narrow" w:hAnsi="Arial Narrow"/>
                <w:sz w:val="22"/>
                <w:szCs w:val="22"/>
              </w:rPr>
            </w:pPr>
          </w:p>
        </w:tc>
        <w:tc>
          <w:tcPr>
            <w:tcW w:w="684" w:type="dxa"/>
          </w:tcPr>
          <w:p w14:paraId="06B49DA3" w14:textId="77777777" w:rsidR="00A658D0" w:rsidRDefault="00A658D0">
            <w:pPr>
              <w:jc w:val="center"/>
              <w:rPr>
                <w:rFonts w:ascii="Arial Narrow" w:hAnsi="Arial Narrow"/>
                <w:sz w:val="22"/>
                <w:szCs w:val="22"/>
              </w:rPr>
            </w:pPr>
          </w:p>
        </w:tc>
        <w:tc>
          <w:tcPr>
            <w:tcW w:w="3038" w:type="dxa"/>
            <w:tcBorders>
              <w:top w:val="nil"/>
            </w:tcBorders>
          </w:tcPr>
          <w:p w14:paraId="06B49DA4" w14:textId="77777777" w:rsidR="00A658D0" w:rsidRDefault="00A658D0">
            <w:pPr>
              <w:rPr>
                <w:rFonts w:ascii="Arial Narrow" w:hAnsi="Arial Narrow"/>
                <w:sz w:val="22"/>
                <w:szCs w:val="22"/>
              </w:rPr>
            </w:pPr>
          </w:p>
        </w:tc>
      </w:tr>
      <w:tr w:rsidR="00A658D0" w14:paraId="06B49DAC" w14:textId="77777777">
        <w:tc>
          <w:tcPr>
            <w:tcW w:w="779" w:type="dxa"/>
          </w:tcPr>
          <w:p w14:paraId="06B49DA6" w14:textId="77777777" w:rsidR="00A658D0" w:rsidRDefault="00000000">
            <w:pPr>
              <w:jc w:val="center"/>
              <w:rPr>
                <w:rFonts w:ascii="Arial Narrow" w:hAnsi="Arial Narrow"/>
                <w:sz w:val="22"/>
                <w:szCs w:val="22"/>
              </w:rPr>
            </w:pPr>
            <w:r>
              <w:rPr>
                <w:rFonts w:ascii="Arial Narrow" w:hAnsi="Arial Narrow"/>
                <w:sz w:val="22"/>
                <w:szCs w:val="22"/>
              </w:rPr>
              <w:t>45</w:t>
            </w:r>
          </w:p>
        </w:tc>
        <w:tc>
          <w:tcPr>
            <w:tcW w:w="709" w:type="dxa"/>
          </w:tcPr>
          <w:p w14:paraId="06B49DA7"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A8" w14:textId="77777777" w:rsidR="00A658D0" w:rsidRDefault="00000000">
            <w:pPr>
              <w:rPr>
                <w:rFonts w:ascii="Arial Narrow" w:hAnsi="Arial Narrow"/>
                <w:sz w:val="22"/>
                <w:szCs w:val="22"/>
                <w:lang w:val="en-US"/>
              </w:rPr>
            </w:pPr>
            <w:r>
              <w:rPr>
                <w:rFonts w:ascii="Arial Narrow" w:hAnsi="Arial Narrow"/>
                <w:sz w:val="22"/>
                <w:szCs w:val="22"/>
                <w:lang w:val="en-US"/>
              </w:rPr>
              <w:t>Santander Consumer Bank S.A.</w:t>
            </w:r>
            <w:r>
              <w:rPr>
                <w:rStyle w:val="Refdenotaalpie"/>
                <w:rFonts w:ascii="Arial Narrow" w:hAnsi="Arial Narrow"/>
                <w:sz w:val="22"/>
                <w:szCs w:val="22"/>
              </w:rPr>
              <w:footnoteReference w:id="52"/>
            </w:r>
          </w:p>
        </w:tc>
        <w:tc>
          <w:tcPr>
            <w:tcW w:w="672" w:type="dxa"/>
          </w:tcPr>
          <w:p w14:paraId="06B49DA9" w14:textId="77777777" w:rsidR="00A658D0" w:rsidRDefault="00A658D0">
            <w:pPr>
              <w:jc w:val="center"/>
              <w:rPr>
                <w:rFonts w:ascii="Arial Narrow" w:hAnsi="Arial Narrow"/>
                <w:sz w:val="22"/>
                <w:szCs w:val="22"/>
                <w:lang w:val="en-US"/>
              </w:rPr>
            </w:pPr>
          </w:p>
        </w:tc>
        <w:tc>
          <w:tcPr>
            <w:tcW w:w="684" w:type="dxa"/>
          </w:tcPr>
          <w:p w14:paraId="06B49DAA" w14:textId="77777777" w:rsidR="00A658D0" w:rsidRDefault="00A658D0">
            <w:pPr>
              <w:jc w:val="center"/>
              <w:rPr>
                <w:rFonts w:ascii="Arial Narrow" w:hAnsi="Arial Narrow"/>
                <w:sz w:val="22"/>
                <w:szCs w:val="22"/>
                <w:lang w:val="en-US"/>
              </w:rPr>
            </w:pPr>
          </w:p>
        </w:tc>
        <w:tc>
          <w:tcPr>
            <w:tcW w:w="3038" w:type="dxa"/>
            <w:tcBorders>
              <w:top w:val="nil"/>
            </w:tcBorders>
          </w:tcPr>
          <w:p w14:paraId="06B49DAB" w14:textId="77777777" w:rsidR="00A658D0" w:rsidRDefault="00A658D0">
            <w:pPr>
              <w:rPr>
                <w:rFonts w:ascii="Arial Narrow" w:hAnsi="Arial Narrow"/>
                <w:sz w:val="22"/>
                <w:szCs w:val="22"/>
                <w:lang w:val="en-US"/>
              </w:rPr>
            </w:pPr>
          </w:p>
        </w:tc>
      </w:tr>
      <w:tr w:rsidR="00A658D0" w14:paraId="06B49DB3" w14:textId="77777777">
        <w:tc>
          <w:tcPr>
            <w:tcW w:w="779" w:type="dxa"/>
          </w:tcPr>
          <w:p w14:paraId="06B49DAD" w14:textId="77777777" w:rsidR="00A658D0" w:rsidRDefault="00000000">
            <w:pPr>
              <w:jc w:val="center"/>
              <w:rPr>
                <w:rFonts w:ascii="Arial Narrow" w:hAnsi="Arial Narrow"/>
                <w:sz w:val="22"/>
                <w:szCs w:val="22"/>
              </w:rPr>
            </w:pPr>
            <w:r>
              <w:rPr>
                <w:rFonts w:ascii="Arial Narrow" w:hAnsi="Arial Narrow"/>
                <w:sz w:val="22"/>
                <w:szCs w:val="22"/>
              </w:rPr>
              <w:t>46</w:t>
            </w:r>
          </w:p>
        </w:tc>
        <w:tc>
          <w:tcPr>
            <w:tcW w:w="709" w:type="dxa"/>
          </w:tcPr>
          <w:p w14:paraId="06B49DAE" w14:textId="77777777" w:rsidR="00A658D0" w:rsidRDefault="00000000">
            <w:pPr>
              <w:jc w:val="center"/>
              <w:rPr>
                <w:rFonts w:ascii="Arial Narrow" w:hAnsi="Arial Narrow"/>
                <w:sz w:val="22"/>
                <w:szCs w:val="22"/>
              </w:rPr>
            </w:pPr>
            <w:r>
              <w:rPr>
                <w:rFonts w:ascii="Arial Narrow" w:hAnsi="Arial Narrow"/>
                <w:sz w:val="22"/>
                <w:szCs w:val="22"/>
              </w:rPr>
              <w:t xml:space="preserve">B </w:t>
            </w:r>
          </w:p>
        </w:tc>
        <w:tc>
          <w:tcPr>
            <w:tcW w:w="2977" w:type="dxa"/>
          </w:tcPr>
          <w:p w14:paraId="06B49DAF" w14:textId="77777777" w:rsidR="00A658D0" w:rsidRDefault="00000000">
            <w:pPr>
              <w:rPr>
                <w:rFonts w:ascii="Arial Narrow" w:hAnsi="Arial Narrow"/>
                <w:sz w:val="22"/>
                <w:szCs w:val="22"/>
              </w:rPr>
            </w:pPr>
            <w:r>
              <w:rPr>
                <w:rFonts w:ascii="Arial Narrow" w:hAnsi="Arial Narrow"/>
                <w:sz w:val="22"/>
                <w:szCs w:val="22"/>
              </w:rPr>
              <w:t xml:space="preserve">Del exterior - Con representantes registrados ante la SBS (*) </w:t>
            </w:r>
          </w:p>
        </w:tc>
        <w:tc>
          <w:tcPr>
            <w:tcW w:w="672" w:type="dxa"/>
          </w:tcPr>
          <w:p w14:paraId="06B49DB0" w14:textId="77777777" w:rsidR="00A658D0" w:rsidRDefault="00A658D0">
            <w:pPr>
              <w:jc w:val="center"/>
              <w:rPr>
                <w:rFonts w:ascii="Arial Narrow" w:hAnsi="Arial Narrow"/>
                <w:sz w:val="22"/>
                <w:szCs w:val="22"/>
              </w:rPr>
            </w:pPr>
          </w:p>
        </w:tc>
        <w:tc>
          <w:tcPr>
            <w:tcW w:w="684" w:type="dxa"/>
          </w:tcPr>
          <w:p w14:paraId="06B49DB1" w14:textId="77777777" w:rsidR="00A658D0" w:rsidRDefault="00A658D0">
            <w:pPr>
              <w:jc w:val="center"/>
              <w:rPr>
                <w:rFonts w:ascii="Arial Narrow" w:hAnsi="Arial Narrow"/>
                <w:sz w:val="22"/>
                <w:szCs w:val="22"/>
              </w:rPr>
            </w:pPr>
          </w:p>
        </w:tc>
        <w:tc>
          <w:tcPr>
            <w:tcW w:w="3038" w:type="dxa"/>
            <w:tcBorders>
              <w:top w:val="nil"/>
            </w:tcBorders>
          </w:tcPr>
          <w:p w14:paraId="06B49DB2" w14:textId="77777777" w:rsidR="00A658D0" w:rsidRDefault="00A658D0">
            <w:pPr>
              <w:rPr>
                <w:rFonts w:ascii="Arial Narrow" w:hAnsi="Arial Narrow"/>
                <w:sz w:val="22"/>
                <w:szCs w:val="22"/>
              </w:rPr>
            </w:pPr>
          </w:p>
        </w:tc>
      </w:tr>
      <w:tr w:rsidR="00A658D0" w14:paraId="06B49DBA" w14:textId="77777777">
        <w:tc>
          <w:tcPr>
            <w:tcW w:w="779" w:type="dxa"/>
          </w:tcPr>
          <w:p w14:paraId="06B49DB4" w14:textId="77777777" w:rsidR="00A658D0" w:rsidRDefault="00000000">
            <w:pPr>
              <w:jc w:val="center"/>
              <w:rPr>
                <w:rFonts w:ascii="Arial Narrow" w:hAnsi="Arial Narrow"/>
                <w:sz w:val="22"/>
                <w:szCs w:val="22"/>
              </w:rPr>
            </w:pPr>
            <w:r>
              <w:rPr>
                <w:rFonts w:ascii="Arial Narrow" w:hAnsi="Arial Narrow"/>
                <w:sz w:val="22"/>
                <w:szCs w:val="22"/>
              </w:rPr>
              <w:t>47</w:t>
            </w:r>
          </w:p>
        </w:tc>
        <w:tc>
          <w:tcPr>
            <w:tcW w:w="709" w:type="dxa"/>
          </w:tcPr>
          <w:p w14:paraId="06B49DB5"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B6" w14:textId="77777777" w:rsidR="00A658D0" w:rsidRDefault="00000000">
            <w:pPr>
              <w:rPr>
                <w:rFonts w:ascii="Arial Narrow" w:hAnsi="Arial Narrow"/>
                <w:sz w:val="22"/>
                <w:szCs w:val="22"/>
              </w:rPr>
            </w:pPr>
            <w:r>
              <w:rPr>
                <w:rFonts w:ascii="Arial Narrow" w:hAnsi="Arial Narrow"/>
                <w:sz w:val="22"/>
                <w:szCs w:val="22"/>
              </w:rPr>
              <w:t>Del exterior - Calificados como de primera categoría por el BCR (**)</w:t>
            </w:r>
          </w:p>
        </w:tc>
        <w:tc>
          <w:tcPr>
            <w:tcW w:w="672" w:type="dxa"/>
          </w:tcPr>
          <w:p w14:paraId="06B49DB7" w14:textId="77777777" w:rsidR="00A658D0" w:rsidRDefault="00A658D0">
            <w:pPr>
              <w:jc w:val="center"/>
              <w:rPr>
                <w:rFonts w:ascii="Arial Narrow" w:hAnsi="Arial Narrow"/>
                <w:sz w:val="22"/>
                <w:szCs w:val="22"/>
              </w:rPr>
            </w:pPr>
          </w:p>
        </w:tc>
        <w:tc>
          <w:tcPr>
            <w:tcW w:w="684" w:type="dxa"/>
          </w:tcPr>
          <w:p w14:paraId="06B49DB8" w14:textId="77777777" w:rsidR="00A658D0" w:rsidRDefault="00A658D0">
            <w:pPr>
              <w:jc w:val="center"/>
              <w:rPr>
                <w:rFonts w:ascii="Arial Narrow" w:hAnsi="Arial Narrow"/>
                <w:sz w:val="22"/>
                <w:szCs w:val="22"/>
              </w:rPr>
            </w:pPr>
          </w:p>
        </w:tc>
        <w:tc>
          <w:tcPr>
            <w:tcW w:w="3038" w:type="dxa"/>
            <w:tcBorders>
              <w:top w:val="nil"/>
            </w:tcBorders>
          </w:tcPr>
          <w:p w14:paraId="06B49DB9" w14:textId="77777777" w:rsidR="00A658D0" w:rsidRDefault="00A658D0">
            <w:pPr>
              <w:rPr>
                <w:rFonts w:ascii="Arial Narrow" w:hAnsi="Arial Narrow"/>
                <w:sz w:val="22"/>
                <w:szCs w:val="22"/>
              </w:rPr>
            </w:pPr>
          </w:p>
        </w:tc>
      </w:tr>
      <w:tr w:rsidR="00A658D0" w14:paraId="06B49DC1" w14:textId="77777777">
        <w:tc>
          <w:tcPr>
            <w:tcW w:w="779" w:type="dxa"/>
          </w:tcPr>
          <w:p w14:paraId="06B49DBB" w14:textId="77777777" w:rsidR="00A658D0" w:rsidRDefault="00000000">
            <w:pPr>
              <w:jc w:val="center"/>
              <w:rPr>
                <w:rFonts w:ascii="Arial Narrow" w:hAnsi="Arial Narrow"/>
                <w:sz w:val="22"/>
                <w:szCs w:val="22"/>
              </w:rPr>
            </w:pPr>
            <w:r>
              <w:rPr>
                <w:rFonts w:ascii="Arial Narrow" w:hAnsi="Arial Narrow"/>
                <w:sz w:val="22"/>
                <w:szCs w:val="22"/>
              </w:rPr>
              <w:t>48</w:t>
            </w:r>
          </w:p>
        </w:tc>
        <w:tc>
          <w:tcPr>
            <w:tcW w:w="709" w:type="dxa"/>
          </w:tcPr>
          <w:p w14:paraId="06B49DBC"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BD" w14:textId="77777777" w:rsidR="00A658D0" w:rsidRDefault="00000000">
            <w:pPr>
              <w:jc w:val="both"/>
              <w:rPr>
                <w:rFonts w:ascii="Arial Narrow" w:hAnsi="Arial Narrow"/>
                <w:sz w:val="22"/>
                <w:szCs w:val="22"/>
              </w:rPr>
            </w:pPr>
            <w:r>
              <w:rPr>
                <w:rFonts w:ascii="Arial Narrow" w:hAnsi="Arial Narrow"/>
                <w:sz w:val="22"/>
                <w:szCs w:val="22"/>
              </w:rPr>
              <w:t>Otros bancos del exterior</w:t>
            </w:r>
          </w:p>
        </w:tc>
        <w:tc>
          <w:tcPr>
            <w:tcW w:w="672" w:type="dxa"/>
          </w:tcPr>
          <w:p w14:paraId="06B49DBE" w14:textId="77777777" w:rsidR="00A658D0" w:rsidRDefault="00A658D0">
            <w:pPr>
              <w:jc w:val="center"/>
              <w:rPr>
                <w:rFonts w:ascii="Arial Narrow" w:hAnsi="Arial Narrow"/>
                <w:sz w:val="22"/>
                <w:szCs w:val="22"/>
              </w:rPr>
            </w:pPr>
          </w:p>
        </w:tc>
        <w:tc>
          <w:tcPr>
            <w:tcW w:w="684" w:type="dxa"/>
          </w:tcPr>
          <w:p w14:paraId="06B49DBF" w14:textId="77777777" w:rsidR="00A658D0" w:rsidRDefault="00A658D0">
            <w:pPr>
              <w:jc w:val="center"/>
              <w:rPr>
                <w:rFonts w:ascii="Arial Narrow" w:hAnsi="Arial Narrow"/>
                <w:sz w:val="22"/>
                <w:szCs w:val="22"/>
              </w:rPr>
            </w:pPr>
          </w:p>
        </w:tc>
        <w:tc>
          <w:tcPr>
            <w:tcW w:w="3038" w:type="dxa"/>
            <w:tcBorders>
              <w:top w:val="nil"/>
            </w:tcBorders>
          </w:tcPr>
          <w:p w14:paraId="06B49DC0" w14:textId="77777777" w:rsidR="00A658D0" w:rsidRDefault="00A658D0">
            <w:pPr>
              <w:rPr>
                <w:rFonts w:ascii="Arial Narrow" w:hAnsi="Arial Narrow"/>
                <w:sz w:val="22"/>
                <w:szCs w:val="22"/>
              </w:rPr>
            </w:pPr>
          </w:p>
        </w:tc>
      </w:tr>
      <w:tr w:rsidR="00A658D0" w14:paraId="06B49DC8" w14:textId="77777777">
        <w:tc>
          <w:tcPr>
            <w:tcW w:w="779" w:type="dxa"/>
          </w:tcPr>
          <w:p w14:paraId="06B49DC2" w14:textId="77777777" w:rsidR="00A658D0" w:rsidRDefault="00000000">
            <w:pPr>
              <w:jc w:val="center"/>
              <w:rPr>
                <w:rFonts w:ascii="Arial Narrow" w:hAnsi="Arial Narrow"/>
                <w:sz w:val="22"/>
                <w:szCs w:val="22"/>
              </w:rPr>
            </w:pPr>
            <w:r>
              <w:rPr>
                <w:rFonts w:ascii="Arial Narrow" w:hAnsi="Arial Narrow"/>
                <w:sz w:val="22"/>
                <w:szCs w:val="22"/>
              </w:rPr>
              <w:t>49</w:t>
            </w:r>
          </w:p>
        </w:tc>
        <w:tc>
          <w:tcPr>
            <w:tcW w:w="709" w:type="dxa"/>
          </w:tcPr>
          <w:p w14:paraId="06B49DC3" w14:textId="77777777" w:rsidR="00A658D0" w:rsidRDefault="00000000">
            <w:pPr>
              <w:jc w:val="center"/>
              <w:rPr>
                <w:rFonts w:ascii="Arial Narrow" w:hAnsi="Arial Narrow"/>
                <w:sz w:val="22"/>
                <w:szCs w:val="22"/>
              </w:rPr>
            </w:pPr>
            <w:r>
              <w:rPr>
                <w:rFonts w:ascii="Arial Narrow" w:hAnsi="Arial Narrow"/>
                <w:sz w:val="22"/>
                <w:szCs w:val="22"/>
              </w:rPr>
              <w:t>B</w:t>
            </w:r>
          </w:p>
        </w:tc>
        <w:tc>
          <w:tcPr>
            <w:tcW w:w="2977" w:type="dxa"/>
          </w:tcPr>
          <w:p w14:paraId="06B49DC4" w14:textId="77777777" w:rsidR="00A658D0" w:rsidRDefault="00000000">
            <w:pPr>
              <w:rPr>
                <w:rFonts w:ascii="Arial Narrow" w:hAnsi="Arial Narrow"/>
                <w:sz w:val="22"/>
                <w:szCs w:val="22"/>
              </w:rPr>
            </w:pPr>
            <w:r>
              <w:rPr>
                <w:rFonts w:ascii="Arial Narrow" w:hAnsi="Arial Narrow"/>
                <w:sz w:val="22"/>
                <w:szCs w:val="22"/>
              </w:rPr>
              <w:t>En liquidación</w:t>
            </w:r>
          </w:p>
        </w:tc>
        <w:tc>
          <w:tcPr>
            <w:tcW w:w="672" w:type="dxa"/>
          </w:tcPr>
          <w:p w14:paraId="06B49DC5" w14:textId="77777777" w:rsidR="00A658D0" w:rsidRDefault="00A658D0">
            <w:pPr>
              <w:jc w:val="center"/>
              <w:rPr>
                <w:rFonts w:ascii="Arial Narrow" w:hAnsi="Arial Narrow"/>
                <w:sz w:val="22"/>
                <w:szCs w:val="22"/>
              </w:rPr>
            </w:pPr>
          </w:p>
        </w:tc>
        <w:tc>
          <w:tcPr>
            <w:tcW w:w="684" w:type="dxa"/>
          </w:tcPr>
          <w:p w14:paraId="06B49DC6" w14:textId="77777777" w:rsidR="00A658D0" w:rsidRDefault="00A658D0">
            <w:pPr>
              <w:jc w:val="center"/>
              <w:rPr>
                <w:rFonts w:ascii="Arial Narrow" w:hAnsi="Arial Narrow"/>
                <w:sz w:val="22"/>
                <w:szCs w:val="22"/>
              </w:rPr>
            </w:pPr>
          </w:p>
        </w:tc>
        <w:tc>
          <w:tcPr>
            <w:tcW w:w="3038" w:type="dxa"/>
            <w:tcBorders>
              <w:top w:val="nil"/>
            </w:tcBorders>
          </w:tcPr>
          <w:p w14:paraId="06B49DC7" w14:textId="77777777" w:rsidR="00A658D0" w:rsidRDefault="00A658D0">
            <w:pPr>
              <w:rPr>
                <w:rFonts w:ascii="Arial Narrow" w:hAnsi="Arial Narrow"/>
                <w:sz w:val="22"/>
                <w:szCs w:val="22"/>
              </w:rPr>
            </w:pPr>
          </w:p>
        </w:tc>
      </w:tr>
    </w:tbl>
    <w:p w14:paraId="06B49DC9" w14:textId="77777777" w:rsidR="00A658D0" w:rsidRDefault="00000000">
      <w:pPr>
        <w:ind w:left="567" w:hanging="567"/>
        <w:jc w:val="both"/>
        <w:rPr>
          <w:rFonts w:ascii="Arial Narrow" w:hAnsi="Arial Narrow"/>
          <w:szCs w:val="18"/>
        </w:rPr>
      </w:pPr>
      <w:r>
        <w:rPr>
          <w:rFonts w:ascii="Arial Narrow" w:hAnsi="Arial Narrow"/>
          <w:sz w:val="18"/>
          <w:szCs w:val="18"/>
        </w:rPr>
        <w:t>(*)</w:t>
      </w:r>
      <w:r>
        <w:rPr>
          <w:rFonts w:ascii="Arial Narrow" w:hAnsi="Arial Narrow"/>
          <w:sz w:val="18"/>
          <w:szCs w:val="18"/>
        </w:rPr>
        <w:tab/>
        <w:t>Bancos extranjeros no domiciliados con representantes en el Perú, según información de la Superintendencia de Banca y Seguros.</w:t>
      </w:r>
    </w:p>
    <w:p w14:paraId="06B49DCA" w14:textId="77777777" w:rsidR="00A658D0" w:rsidRDefault="00000000">
      <w:pPr>
        <w:ind w:left="567" w:hanging="567"/>
        <w:jc w:val="both"/>
        <w:rPr>
          <w:rFonts w:ascii="Arial Narrow" w:hAnsi="Arial Narrow"/>
          <w:szCs w:val="18"/>
        </w:rPr>
      </w:pPr>
      <w:r>
        <w:rPr>
          <w:rFonts w:ascii="Arial Narrow" w:hAnsi="Arial Narrow"/>
          <w:szCs w:val="18"/>
        </w:rPr>
        <w:t>(**)</w:t>
      </w:r>
      <w:r>
        <w:rPr>
          <w:rFonts w:ascii="Arial Narrow" w:hAnsi="Arial Narrow"/>
          <w:szCs w:val="18"/>
        </w:rPr>
        <w:tab/>
        <w:t>Bancos de Primera Categoría según calificación del Banco Central de Reserva del Perú.</w:t>
      </w:r>
    </w:p>
    <w:p w14:paraId="06B49DCB" w14:textId="77777777" w:rsidR="00A658D0" w:rsidRDefault="00000000">
      <w:pPr>
        <w:ind w:left="426" w:hanging="426"/>
        <w:jc w:val="center"/>
        <w:rPr>
          <w:rFonts w:ascii="Arial Narrow" w:hAnsi="Arial Narrow"/>
          <w:b/>
          <w:sz w:val="22"/>
          <w:szCs w:val="22"/>
        </w:rPr>
      </w:pPr>
      <w:r>
        <w:br w:type="page"/>
      </w:r>
      <w:r>
        <w:rPr>
          <w:rFonts w:ascii="Arial Narrow" w:hAnsi="Arial Narrow"/>
          <w:b/>
          <w:sz w:val="22"/>
          <w:szCs w:val="22"/>
        </w:rPr>
        <w:lastRenderedPageBreak/>
        <w:t xml:space="preserve">TABLA DE ASEGURADORAS </w:t>
      </w:r>
      <w:r>
        <w:rPr>
          <w:rStyle w:val="Refdenotaalpie"/>
          <w:rFonts w:ascii="Arial Narrow" w:hAnsi="Arial Narrow"/>
          <w:b/>
          <w:sz w:val="22"/>
          <w:szCs w:val="22"/>
        </w:rPr>
        <w:footnoteReference w:id="53"/>
      </w:r>
    </w:p>
    <w:p w14:paraId="06B49DCC" w14:textId="77777777" w:rsidR="00A658D0" w:rsidRDefault="00000000">
      <w:pPr>
        <w:ind w:left="709" w:right="708"/>
        <w:jc w:val="center"/>
        <w:rPr>
          <w:rFonts w:ascii="Arial Narrow" w:hAnsi="Arial Narrow"/>
          <w:bCs/>
          <w:sz w:val="22"/>
          <w:szCs w:val="22"/>
        </w:rPr>
      </w:pPr>
      <w:r>
        <w:rPr>
          <w:rFonts w:ascii="Arial Narrow" w:hAnsi="Arial Narrow"/>
          <w:sz w:val="22"/>
          <w:szCs w:val="22"/>
        </w:rPr>
        <w:t xml:space="preserve">Para ser utilizada en rubros 12 y 57 por intermediarios y auxiliares de seguros </w:t>
      </w:r>
      <w:r>
        <w:rPr>
          <w:rFonts w:ascii="Arial Narrow" w:hAnsi="Arial Narrow"/>
          <w:bCs/>
          <w:sz w:val="22"/>
          <w:szCs w:val="22"/>
        </w:rPr>
        <w:t>y en las cuentas 1403 y 2403 por las empresas de seguros</w:t>
      </w:r>
    </w:p>
    <w:p w14:paraId="06B49DCD" w14:textId="77777777" w:rsidR="00A658D0" w:rsidRDefault="00A658D0">
      <w:pPr>
        <w:ind w:left="426" w:hanging="426"/>
        <w:jc w:val="both"/>
        <w:rPr>
          <w:rFonts w:ascii="Arial Narrow" w:hAnsi="Arial Narrow"/>
        </w:rPr>
      </w:pPr>
    </w:p>
    <w:tbl>
      <w:tblPr>
        <w:tblW w:w="0" w:type="auto"/>
        <w:tblLayout w:type="fixed"/>
        <w:tblCellMar>
          <w:left w:w="70" w:type="dxa"/>
          <w:right w:w="70" w:type="dxa"/>
        </w:tblCellMar>
        <w:tblLook w:val="04A0" w:firstRow="1" w:lastRow="0" w:firstColumn="1" w:lastColumn="0" w:noHBand="0" w:noVBand="1"/>
      </w:tblPr>
      <w:tblGrid>
        <w:gridCol w:w="779"/>
        <w:gridCol w:w="709"/>
        <w:gridCol w:w="709"/>
        <w:gridCol w:w="5103"/>
      </w:tblGrid>
      <w:tr w:rsidR="00A658D0" w14:paraId="06B49DD2" w14:textId="77777777">
        <w:tc>
          <w:tcPr>
            <w:tcW w:w="779" w:type="dxa"/>
          </w:tcPr>
          <w:p w14:paraId="06B49DCE" w14:textId="77777777" w:rsidR="00A658D0" w:rsidRDefault="00A658D0">
            <w:pPr>
              <w:jc w:val="both"/>
              <w:rPr>
                <w:rFonts w:ascii="Arial Narrow" w:hAnsi="Arial Narrow"/>
                <w:sz w:val="22"/>
                <w:szCs w:val="22"/>
              </w:rPr>
            </w:pPr>
          </w:p>
        </w:tc>
        <w:tc>
          <w:tcPr>
            <w:tcW w:w="709" w:type="dxa"/>
            <w:tcBorders>
              <w:top w:val="single" w:sz="12" w:space="0" w:color="auto"/>
              <w:left w:val="single" w:sz="12" w:space="0" w:color="auto"/>
              <w:bottom w:val="single" w:sz="6" w:space="0" w:color="auto"/>
              <w:right w:val="single" w:sz="6" w:space="0" w:color="auto"/>
            </w:tcBorders>
            <w:shd w:val="pct30" w:color="auto" w:fill="auto"/>
          </w:tcPr>
          <w:p w14:paraId="06B49DCF" w14:textId="77777777" w:rsidR="00A658D0" w:rsidRDefault="00000000">
            <w:pPr>
              <w:jc w:val="center"/>
              <w:rPr>
                <w:rFonts w:ascii="Arial Narrow" w:hAnsi="Arial Narrow"/>
                <w:b/>
                <w:sz w:val="22"/>
                <w:szCs w:val="22"/>
                <w:lang w:val="fr-FR"/>
              </w:rPr>
            </w:pPr>
            <w:proofErr w:type="spellStart"/>
            <w:r>
              <w:rPr>
                <w:rFonts w:ascii="Arial Narrow" w:hAnsi="Arial Narrow"/>
                <w:b/>
                <w:sz w:val="22"/>
                <w:szCs w:val="22"/>
                <w:lang w:val="fr-FR"/>
              </w:rPr>
              <w:t>Cód</w:t>
            </w:r>
            <w:proofErr w:type="spellEnd"/>
            <w:r>
              <w:rPr>
                <w:rFonts w:ascii="Arial Narrow" w:hAnsi="Arial Narrow"/>
                <w:b/>
                <w:sz w:val="22"/>
                <w:szCs w:val="22"/>
                <w:lang w:val="fr-FR"/>
              </w:rPr>
              <w:t>.</w:t>
            </w:r>
          </w:p>
        </w:tc>
        <w:tc>
          <w:tcPr>
            <w:tcW w:w="709" w:type="dxa"/>
            <w:tcBorders>
              <w:top w:val="single" w:sz="12" w:space="0" w:color="auto"/>
              <w:left w:val="single" w:sz="6" w:space="0" w:color="auto"/>
              <w:bottom w:val="single" w:sz="6" w:space="0" w:color="auto"/>
              <w:right w:val="single" w:sz="6" w:space="0" w:color="auto"/>
            </w:tcBorders>
            <w:shd w:val="pct30" w:color="auto" w:fill="auto"/>
          </w:tcPr>
          <w:p w14:paraId="06B49DD0" w14:textId="77777777" w:rsidR="00A658D0" w:rsidRDefault="00000000">
            <w:pPr>
              <w:jc w:val="center"/>
              <w:rPr>
                <w:rFonts w:ascii="Arial Narrow" w:hAnsi="Arial Narrow"/>
                <w:b/>
                <w:sz w:val="22"/>
                <w:szCs w:val="22"/>
                <w:lang w:val="fr-FR"/>
              </w:rPr>
            </w:pPr>
            <w:r>
              <w:rPr>
                <w:rFonts w:ascii="Arial Narrow" w:hAnsi="Arial Narrow"/>
                <w:b/>
                <w:sz w:val="22"/>
                <w:szCs w:val="22"/>
                <w:lang w:val="fr-FR"/>
              </w:rPr>
              <w:t>T/</w:t>
            </w:r>
            <w:proofErr w:type="spellStart"/>
            <w:r>
              <w:rPr>
                <w:rFonts w:ascii="Arial Narrow" w:hAnsi="Arial Narrow"/>
                <w:b/>
                <w:sz w:val="22"/>
                <w:szCs w:val="22"/>
                <w:lang w:val="fr-FR"/>
              </w:rPr>
              <w:t>ent</w:t>
            </w:r>
            <w:proofErr w:type="spellEnd"/>
            <w:r>
              <w:rPr>
                <w:rFonts w:ascii="Arial Narrow" w:hAnsi="Arial Narrow"/>
                <w:b/>
                <w:sz w:val="22"/>
                <w:szCs w:val="22"/>
                <w:lang w:val="fr-FR"/>
              </w:rPr>
              <w:t>.</w:t>
            </w:r>
          </w:p>
        </w:tc>
        <w:tc>
          <w:tcPr>
            <w:tcW w:w="5103" w:type="dxa"/>
            <w:tcBorders>
              <w:top w:val="single" w:sz="12" w:space="0" w:color="auto"/>
              <w:left w:val="single" w:sz="6" w:space="0" w:color="auto"/>
              <w:bottom w:val="single" w:sz="6" w:space="0" w:color="auto"/>
              <w:right w:val="single" w:sz="12" w:space="0" w:color="auto"/>
            </w:tcBorders>
            <w:shd w:val="pct30" w:color="auto" w:fill="auto"/>
          </w:tcPr>
          <w:p w14:paraId="06B49DD1" w14:textId="77777777" w:rsidR="00A658D0" w:rsidRDefault="00000000">
            <w:pPr>
              <w:jc w:val="center"/>
              <w:rPr>
                <w:rFonts w:ascii="Arial Narrow" w:hAnsi="Arial Narrow"/>
                <w:b/>
                <w:sz w:val="22"/>
                <w:szCs w:val="22"/>
              </w:rPr>
            </w:pPr>
            <w:r>
              <w:rPr>
                <w:rFonts w:ascii="Arial Narrow" w:hAnsi="Arial Narrow"/>
                <w:b/>
                <w:sz w:val="22"/>
                <w:szCs w:val="22"/>
              </w:rPr>
              <w:t>ASEGURADORAS</w:t>
            </w:r>
          </w:p>
        </w:tc>
      </w:tr>
      <w:tr w:rsidR="00A658D0" w14:paraId="06B49DD7" w14:textId="77777777">
        <w:tc>
          <w:tcPr>
            <w:tcW w:w="779" w:type="dxa"/>
          </w:tcPr>
          <w:p w14:paraId="06B49DD3"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DD4" w14:textId="77777777" w:rsidR="00A658D0" w:rsidRDefault="00000000">
            <w:pPr>
              <w:jc w:val="center"/>
              <w:rPr>
                <w:rFonts w:ascii="Arial Narrow" w:hAnsi="Arial Narrow"/>
                <w:sz w:val="22"/>
                <w:szCs w:val="22"/>
              </w:rPr>
            </w:pPr>
            <w:r>
              <w:rPr>
                <w:rFonts w:ascii="Arial Narrow" w:hAnsi="Arial Narrow"/>
                <w:sz w:val="22"/>
                <w:szCs w:val="22"/>
              </w:rPr>
              <w:t>01</w:t>
            </w:r>
          </w:p>
        </w:tc>
        <w:tc>
          <w:tcPr>
            <w:tcW w:w="709" w:type="dxa"/>
            <w:tcBorders>
              <w:top w:val="single" w:sz="6" w:space="0" w:color="auto"/>
              <w:left w:val="single" w:sz="6" w:space="0" w:color="auto"/>
              <w:bottom w:val="single" w:sz="6" w:space="0" w:color="auto"/>
              <w:right w:val="single" w:sz="6" w:space="0" w:color="auto"/>
            </w:tcBorders>
          </w:tcPr>
          <w:p w14:paraId="06B49DD5"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DD6" w14:textId="77777777" w:rsidR="00A658D0" w:rsidRDefault="00000000">
            <w:pPr>
              <w:jc w:val="both"/>
              <w:rPr>
                <w:rFonts w:ascii="Arial Narrow" w:hAnsi="Arial Narrow"/>
                <w:sz w:val="22"/>
                <w:szCs w:val="22"/>
              </w:rPr>
            </w:pPr>
            <w:r>
              <w:rPr>
                <w:rFonts w:ascii="Arial Narrow" w:hAnsi="Arial Narrow"/>
                <w:sz w:val="22"/>
                <w:szCs w:val="22"/>
              </w:rPr>
              <w:t>Rímac Seguros</w:t>
            </w:r>
            <w:r>
              <w:rPr>
                <w:rStyle w:val="Refdenotaalpie"/>
                <w:rFonts w:ascii="Arial Narrow" w:hAnsi="Arial Narrow"/>
                <w:sz w:val="22"/>
                <w:szCs w:val="22"/>
              </w:rPr>
              <w:footnoteReference w:id="54"/>
            </w:r>
          </w:p>
        </w:tc>
      </w:tr>
      <w:tr w:rsidR="00A658D0" w14:paraId="06B49DDC" w14:textId="77777777">
        <w:tc>
          <w:tcPr>
            <w:tcW w:w="779" w:type="dxa"/>
          </w:tcPr>
          <w:p w14:paraId="06B49DD8"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DD9" w14:textId="77777777" w:rsidR="00A658D0" w:rsidRDefault="00000000">
            <w:pPr>
              <w:jc w:val="center"/>
              <w:rPr>
                <w:rFonts w:ascii="Arial Narrow" w:hAnsi="Arial Narrow"/>
                <w:sz w:val="22"/>
                <w:szCs w:val="22"/>
              </w:rPr>
            </w:pPr>
            <w:r>
              <w:rPr>
                <w:rFonts w:ascii="Arial Narrow" w:hAnsi="Arial Narrow"/>
                <w:sz w:val="22"/>
                <w:szCs w:val="22"/>
              </w:rPr>
              <w:t>04</w:t>
            </w:r>
          </w:p>
        </w:tc>
        <w:tc>
          <w:tcPr>
            <w:tcW w:w="709" w:type="dxa"/>
            <w:tcBorders>
              <w:top w:val="single" w:sz="6" w:space="0" w:color="auto"/>
              <w:left w:val="single" w:sz="6" w:space="0" w:color="auto"/>
              <w:bottom w:val="single" w:sz="6" w:space="0" w:color="auto"/>
              <w:right w:val="single" w:sz="6" w:space="0" w:color="auto"/>
            </w:tcBorders>
          </w:tcPr>
          <w:p w14:paraId="06B49DDA" w14:textId="77777777" w:rsidR="00A658D0" w:rsidRDefault="00A658D0">
            <w:pPr>
              <w:jc w:val="center"/>
              <w:rPr>
                <w:rFonts w:ascii="Arial Narrow" w:hAnsi="Arial Narrow"/>
                <w:sz w:val="22"/>
                <w:szCs w:val="22"/>
              </w:rPr>
            </w:pPr>
          </w:p>
        </w:tc>
        <w:tc>
          <w:tcPr>
            <w:tcW w:w="5103" w:type="dxa"/>
            <w:tcBorders>
              <w:top w:val="single" w:sz="6" w:space="0" w:color="auto"/>
              <w:left w:val="single" w:sz="6" w:space="0" w:color="auto"/>
              <w:bottom w:val="single" w:sz="6" w:space="0" w:color="auto"/>
              <w:right w:val="single" w:sz="12" w:space="0" w:color="auto"/>
            </w:tcBorders>
          </w:tcPr>
          <w:p w14:paraId="06B49DDB" w14:textId="77777777" w:rsidR="00A658D0" w:rsidRDefault="00000000">
            <w:pPr>
              <w:jc w:val="both"/>
              <w:rPr>
                <w:rFonts w:ascii="Arial Narrow" w:hAnsi="Arial Narrow"/>
                <w:sz w:val="22"/>
                <w:szCs w:val="22"/>
              </w:rPr>
            </w:pPr>
            <w:r>
              <w:rPr>
                <w:rStyle w:val="Refdenotaalpie"/>
                <w:rFonts w:ascii="Arial Narrow" w:hAnsi="Arial Narrow"/>
                <w:sz w:val="22"/>
                <w:szCs w:val="22"/>
              </w:rPr>
              <w:footnoteReference w:id="55"/>
            </w:r>
          </w:p>
        </w:tc>
      </w:tr>
      <w:tr w:rsidR="00A658D0" w14:paraId="06B49DE1" w14:textId="77777777">
        <w:tc>
          <w:tcPr>
            <w:tcW w:w="779" w:type="dxa"/>
          </w:tcPr>
          <w:p w14:paraId="06B49DDD"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DDE" w14:textId="77777777" w:rsidR="00A658D0" w:rsidRDefault="00000000">
            <w:pPr>
              <w:jc w:val="center"/>
              <w:rPr>
                <w:rFonts w:ascii="Arial Narrow" w:hAnsi="Arial Narrow"/>
                <w:sz w:val="22"/>
                <w:szCs w:val="22"/>
                <w:lang w:val="en-US"/>
              </w:rPr>
            </w:pPr>
            <w:r>
              <w:rPr>
                <w:rFonts w:ascii="Arial Narrow" w:hAnsi="Arial Narrow"/>
                <w:sz w:val="22"/>
                <w:szCs w:val="22"/>
                <w:lang w:val="en-US"/>
              </w:rPr>
              <w:t>05</w:t>
            </w:r>
          </w:p>
        </w:tc>
        <w:tc>
          <w:tcPr>
            <w:tcW w:w="709" w:type="dxa"/>
            <w:tcBorders>
              <w:top w:val="single" w:sz="6" w:space="0" w:color="auto"/>
              <w:left w:val="single" w:sz="6" w:space="0" w:color="auto"/>
              <w:bottom w:val="single" w:sz="6" w:space="0" w:color="auto"/>
              <w:right w:val="single" w:sz="6" w:space="0" w:color="auto"/>
            </w:tcBorders>
          </w:tcPr>
          <w:p w14:paraId="06B49DDF"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DE0" w14:textId="77777777" w:rsidR="00A658D0" w:rsidRDefault="00000000">
            <w:pPr>
              <w:jc w:val="both"/>
              <w:rPr>
                <w:rFonts w:ascii="Arial Narrow" w:hAnsi="Arial Narrow"/>
                <w:sz w:val="22"/>
                <w:szCs w:val="22"/>
                <w:lang w:val="en-US"/>
              </w:rPr>
            </w:pPr>
            <w:proofErr w:type="spellStart"/>
            <w:r>
              <w:rPr>
                <w:rFonts w:ascii="Arial Narrow" w:hAnsi="Arial Narrow"/>
                <w:sz w:val="22"/>
                <w:szCs w:val="22"/>
                <w:lang w:val="en-US"/>
              </w:rPr>
              <w:t>Positiva</w:t>
            </w:r>
            <w:proofErr w:type="spellEnd"/>
          </w:p>
        </w:tc>
      </w:tr>
      <w:tr w:rsidR="00A658D0" w14:paraId="06B49DE6" w14:textId="77777777">
        <w:tc>
          <w:tcPr>
            <w:tcW w:w="779" w:type="dxa"/>
          </w:tcPr>
          <w:p w14:paraId="06B49DE2"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DE3" w14:textId="77777777" w:rsidR="00A658D0" w:rsidRDefault="00000000">
            <w:pPr>
              <w:jc w:val="center"/>
              <w:rPr>
                <w:rFonts w:ascii="Arial Narrow" w:hAnsi="Arial Narrow"/>
                <w:sz w:val="22"/>
                <w:szCs w:val="22"/>
              </w:rPr>
            </w:pPr>
            <w:r>
              <w:rPr>
                <w:rFonts w:ascii="Arial Narrow" w:hAnsi="Arial Narrow"/>
                <w:sz w:val="22"/>
                <w:szCs w:val="22"/>
              </w:rPr>
              <w:t>09</w:t>
            </w:r>
          </w:p>
        </w:tc>
        <w:tc>
          <w:tcPr>
            <w:tcW w:w="709" w:type="dxa"/>
            <w:tcBorders>
              <w:top w:val="single" w:sz="6" w:space="0" w:color="auto"/>
              <w:left w:val="single" w:sz="6" w:space="0" w:color="auto"/>
              <w:bottom w:val="single" w:sz="6" w:space="0" w:color="auto"/>
              <w:right w:val="single" w:sz="6" w:space="0" w:color="auto"/>
            </w:tcBorders>
          </w:tcPr>
          <w:p w14:paraId="06B49DE4"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DE5" w14:textId="77777777" w:rsidR="00A658D0" w:rsidRDefault="00000000">
            <w:pPr>
              <w:jc w:val="both"/>
              <w:rPr>
                <w:rFonts w:ascii="Arial Narrow" w:hAnsi="Arial Narrow"/>
                <w:sz w:val="22"/>
                <w:szCs w:val="22"/>
                <w:lang w:val="en-US"/>
              </w:rPr>
            </w:pPr>
            <w:proofErr w:type="spellStart"/>
            <w:r>
              <w:rPr>
                <w:rFonts w:ascii="Arial Narrow" w:hAnsi="Arial Narrow"/>
                <w:sz w:val="22"/>
                <w:szCs w:val="22"/>
                <w:lang w:val="en-US"/>
              </w:rPr>
              <w:t>Cesce</w:t>
            </w:r>
            <w:proofErr w:type="spellEnd"/>
            <w:r>
              <w:rPr>
                <w:rFonts w:ascii="Arial Narrow" w:hAnsi="Arial Narrow"/>
                <w:sz w:val="22"/>
                <w:szCs w:val="22"/>
                <w:lang w:val="en-US"/>
              </w:rPr>
              <w:t xml:space="preserve"> Perú </w:t>
            </w:r>
            <w:proofErr w:type="gramStart"/>
            <w:r>
              <w:rPr>
                <w:rFonts w:ascii="Arial Narrow" w:hAnsi="Arial Narrow"/>
                <w:sz w:val="22"/>
                <w:szCs w:val="22"/>
                <w:lang w:val="en-US"/>
              </w:rPr>
              <w:t>S.A</w:t>
            </w:r>
            <w:proofErr w:type="gramEnd"/>
            <w:r>
              <w:rPr>
                <w:rStyle w:val="Refdenotaalpie"/>
                <w:rFonts w:ascii="Arial Narrow" w:hAnsi="Arial Narrow"/>
                <w:sz w:val="22"/>
                <w:szCs w:val="22"/>
                <w:lang w:val="en-US"/>
              </w:rPr>
              <w:footnoteReference w:id="56"/>
            </w:r>
          </w:p>
        </w:tc>
      </w:tr>
      <w:tr w:rsidR="00A658D0" w14:paraId="06B49DEB" w14:textId="77777777">
        <w:tc>
          <w:tcPr>
            <w:tcW w:w="779" w:type="dxa"/>
          </w:tcPr>
          <w:p w14:paraId="06B49DE7"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DE8" w14:textId="77777777" w:rsidR="00A658D0" w:rsidRDefault="00000000">
            <w:pPr>
              <w:jc w:val="center"/>
              <w:rPr>
                <w:rFonts w:ascii="Arial Narrow" w:hAnsi="Arial Narrow"/>
                <w:sz w:val="22"/>
                <w:szCs w:val="22"/>
                <w:lang w:val="en-US"/>
              </w:rPr>
            </w:pPr>
            <w:r>
              <w:rPr>
                <w:rFonts w:ascii="Arial Narrow" w:hAnsi="Arial Narrow"/>
                <w:sz w:val="22"/>
                <w:szCs w:val="22"/>
                <w:lang w:val="en-US"/>
              </w:rPr>
              <w:t>12</w:t>
            </w:r>
          </w:p>
        </w:tc>
        <w:tc>
          <w:tcPr>
            <w:tcW w:w="709" w:type="dxa"/>
            <w:tcBorders>
              <w:top w:val="single" w:sz="6" w:space="0" w:color="auto"/>
              <w:left w:val="single" w:sz="6" w:space="0" w:color="auto"/>
              <w:bottom w:val="single" w:sz="6" w:space="0" w:color="auto"/>
              <w:right w:val="single" w:sz="6" w:space="0" w:color="auto"/>
            </w:tcBorders>
          </w:tcPr>
          <w:p w14:paraId="06B49DE9" w14:textId="77777777" w:rsidR="00A658D0" w:rsidRDefault="00A658D0">
            <w:pPr>
              <w:jc w:val="center"/>
              <w:rPr>
                <w:rFonts w:ascii="Arial Narrow" w:hAnsi="Arial Narrow"/>
                <w:sz w:val="22"/>
                <w:szCs w:val="22"/>
                <w:lang w:val="en-US"/>
              </w:rPr>
            </w:pPr>
          </w:p>
        </w:tc>
        <w:tc>
          <w:tcPr>
            <w:tcW w:w="5103" w:type="dxa"/>
            <w:tcBorders>
              <w:top w:val="single" w:sz="6" w:space="0" w:color="auto"/>
              <w:left w:val="single" w:sz="6" w:space="0" w:color="auto"/>
              <w:bottom w:val="single" w:sz="6" w:space="0" w:color="auto"/>
              <w:right w:val="single" w:sz="12" w:space="0" w:color="auto"/>
            </w:tcBorders>
          </w:tcPr>
          <w:p w14:paraId="06B49DEA" w14:textId="77777777" w:rsidR="00A658D0" w:rsidRDefault="00000000">
            <w:pPr>
              <w:jc w:val="both"/>
              <w:rPr>
                <w:rFonts w:ascii="Arial Narrow" w:hAnsi="Arial Narrow"/>
                <w:sz w:val="22"/>
                <w:szCs w:val="22"/>
                <w:lang w:val="en-US"/>
              </w:rPr>
            </w:pPr>
            <w:r>
              <w:rPr>
                <w:rStyle w:val="Refdenotaalpie"/>
                <w:rFonts w:ascii="Arial Narrow" w:hAnsi="Arial Narrow"/>
                <w:sz w:val="22"/>
                <w:szCs w:val="22"/>
              </w:rPr>
              <w:footnoteReference w:id="57"/>
            </w:r>
          </w:p>
        </w:tc>
      </w:tr>
      <w:tr w:rsidR="00A658D0" w14:paraId="06B49DF0" w14:textId="77777777">
        <w:tc>
          <w:tcPr>
            <w:tcW w:w="779" w:type="dxa"/>
          </w:tcPr>
          <w:p w14:paraId="06B49DEC"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DED" w14:textId="77777777" w:rsidR="00A658D0" w:rsidRDefault="00000000">
            <w:pPr>
              <w:jc w:val="center"/>
              <w:rPr>
                <w:rFonts w:ascii="Arial Narrow" w:hAnsi="Arial Narrow"/>
                <w:sz w:val="22"/>
                <w:szCs w:val="22"/>
                <w:lang w:val="en-US"/>
              </w:rPr>
            </w:pPr>
            <w:r>
              <w:rPr>
                <w:rFonts w:ascii="Arial Narrow" w:hAnsi="Arial Narrow"/>
                <w:sz w:val="22"/>
                <w:szCs w:val="22"/>
                <w:lang w:val="en-US"/>
              </w:rPr>
              <w:t>14</w:t>
            </w:r>
          </w:p>
        </w:tc>
        <w:tc>
          <w:tcPr>
            <w:tcW w:w="709" w:type="dxa"/>
            <w:tcBorders>
              <w:top w:val="single" w:sz="6" w:space="0" w:color="auto"/>
              <w:left w:val="single" w:sz="6" w:space="0" w:color="auto"/>
              <w:bottom w:val="single" w:sz="6" w:space="0" w:color="auto"/>
              <w:right w:val="single" w:sz="6" w:space="0" w:color="auto"/>
            </w:tcBorders>
          </w:tcPr>
          <w:p w14:paraId="06B49DEE"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DEF" w14:textId="77777777" w:rsidR="00A658D0" w:rsidRDefault="00000000">
            <w:pPr>
              <w:jc w:val="both"/>
              <w:rPr>
                <w:rFonts w:ascii="Arial Narrow" w:hAnsi="Arial Narrow"/>
                <w:sz w:val="22"/>
                <w:szCs w:val="22"/>
              </w:rPr>
            </w:pPr>
            <w:r>
              <w:rPr>
                <w:rFonts w:ascii="Arial Narrow" w:hAnsi="Arial Narrow"/>
                <w:sz w:val="22"/>
                <w:szCs w:val="22"/>
              </w:rPr>
              <w:t>Pacífico Seguros</w:t>
            </w:r>
            <w:r>
              <w:rPr>
                <w:rStyle w:val="Refdenotaalpie"/>
                <w:rFonts w:ascii="Arial Narrow" w:hAnsi="Arial Narrow"/>
                <w:sz w:val="22"/>
                <w:szCs w:val="22"/>
              </w:rPr>
              <w:footnoteReference w:id="58"/>
            </w:r>
          </w:p>
        </w:tc>
      </w:tr>
      <w:tr w:rsidR="00A658D0" w14:paraId="06B49DF5" w14:textId="77777777">
        <w:tc>
          <w:tcPr>
            <w:tcW w:w="779" w:type="dxa"/>
          </w:tcPr>
          <w:p w14:paraId="06B49DF1"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DF2" w14:textId="77777777" w:rsidR="00A658D0" w:rsidRDefault="00000000">
            <w:pPr>
              <w:jc w:val="center"/>
              <w:rPr>
                <w:rFonts w:ascii="Arial Narrow" w:hAnsi="Arial Narrow"/>
                <w:sz w:val="22"/>
                <w:szCs w:val="22"/>
              </w:rPr>
            </w:pPr>
            <w:r>
              <w:rPr>
                <w:rFonts w:ascii="Arial Narrow" w:hAnsi="Arial Narrow"/>
                <w:sz w:val="22"/>
                <w:szCs w:val="22"/>
              </w:rPr>
              <w:t>16</w:t>
            </w:r>
          </w:p>
        </w:tc>
        <w:tc>
          <w:tcPr>
            <w:tcW w:w="709" w:type="dxa"/>
            <w:tcBorders>
              <w:top w:val="single" w:sz="6" w:space="0" w:color="auto"/>
              <w:left w:val="single" w:sz="6" w:space="0" w:color="auto"/>
              <w:bottom w:val="single" w:sz="6" w:space="0" w:color="auto"/>
              <w:right w:val="single" w:sz="6" w:space="0" w:color="auto"/>
            </w:tcBorders>
          </w:tcPr>
          <w:p w14:paraId="06B49DF3"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DF4" w14:textId="77777777" w:rsidR="00A658D0" w:rsidRDefault="00000000">
            <w:pPr>
              <w:jc w:val="both"/>
              <w:rPr>
                <w:rFonts w:ascii="Arial Narrow" w:hAnsi="Arial Narrow"/>
                <w:sz w:val="22"/>
                <w:szCs w:val="22"/>
              </w:rPr>
            </w:pPr>
            <w:proofErr w:type="spellStart"/>
            <w:r>
              <w:rPr>
                <w:rFonts w:ascii="Arial Narrow" w:hAnsi="Arial Narrow"/>
                <w:sz w:val="22"/>
                <w:szCs w:val="22"/>
              </w:rPr>
              <w:t>Interseguro</w:t>
            </w:r>
            <w:proofErr w:type="spellEnd"/>
            <w:r>
              <w:rPr>
                <w:rFonts w:ascii="Arial Narrow" w:hAnsi="Arial Narrow"/>
                <w:sz w:val="22"/>
                <w:szCs w:val="22"/>
              </w:rPr>
              <w:t xml:space="preserve"> </w:t>
            </w:r>
          </w:p>
        </w:tc>
      </w:tr>
      <w:tr w:rsidR="00A658D0" w14:paraId="06B49DFA" w14:textId="77777777">
        <w:tc>
          <w:tcPr>
            <w:tcW w:w="779" w:type="dxa"/>
          </w:tcPr>
          <w:p w14:paraId="06B49DF6"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DF7" w14:textId="77777777" w:rsidR="00A658D0" w:rsidRDefault="00000000">
            <w:pPr>
              <w:jc w:val="center"/>
              <w:rPr>
                <w:rFonts w:ascii="Arial Narrow" w:hAnsi="Arial Narrow"/>
                <w:sz w:val="22"/>
                <w:szCs w:val="22"/>
              </w:rPr>
            </w:pPr>
            <w:r>
              <w:rPr>
                <w:rFonts w:ascii="Arial Narrow" w:hAnsi="Arial Narrow"/>
                <w:sz w:val="22"/>
                <w:szCs w:val="22"/>
              </w:rPr>
              <w:t>17</w:t>
            </w:r>
          </w:p>
        </w:tc>
        <w:tc>
          <w:tcPr>
            <w:tcW w:w="709" w:type="dxa"/>
            <w:tcBorders>
              <w:top w:val="single" w:sz="6" w:space="0" w:color="auto"/>
              <w:left w:val="single" w:sz="6" w:space="0" w:color="auto"/>
              <w:bottom w:val="single" w:sz="6" w:space="0" w:color="auto"/>
              <w:right w:val="single" w:sz="6" w:space="0" w:color="auto"/>
            </w:tcBorders>
          </w:tcPr>
          <w:p w14:paraId="06B49DF8"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DF9" w14:textId="77777777" w:rsidR="00A658D0" w:rsidRDefault="00000000">
            <w:pPr>
              <w:jc w:val="both"/>
              <w:rPr>
                <w:rFonts w:ascii="Arial Narrow" w:hAnsi="Arial Narrow"/>
                <w:sz w:val="22"/>
                <w:szCs w:val="22"/>
              </w:rPr>
            </w:pPr>
            <w:r>
              <w:rPr>
                <w:rFonts w:ascii="Arial Narrow" w:hAnsi="Arial Narrow"/>
                <w:sz w:val="22"/>
                <w:szCs w:val="22"/>
              </w:rPr>
              <w:t>Chubb Perú</w:t>
            </w:r>
            <w:r>
              <w:rPr>
                <w:rStyle w:val="Refdenotaalpie"/>
                <w:rFonts w:ascii="Arial Narrow" w:hAnsi="Arial Narrow"/>
                <w:sz w:val="22"/>
                <w:szCs w:val="22"/>
              </w:rPr>
              <w:footnoteReference w:id="59"/>
            </w:r>
          </w:p>
        </w:tc>
      </w:tr>
      <w:tr w:rsidR="00A658D0" w14:paraId="06B49DFF" w14:textId="77777777">
        <w:tc>
          <w:tcPr>
            <w:tcW w:w="779" w:type="dxa"/>
          </w:tcPr>
          <w:p w14:paraId="06B49DFB"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DFC" w14:textId="77777777" w:rsidR="00A658D0" w:rsidRDefault="00000000">
            <w:pPr>
              <w:jc w:val="center"/>
              <w:rPr>
                <w:rFonts w:ascii="Arial Narrow" w:hAnsi="Arial Narrow"/>
                <w:sz w:val="22"/>
                <w:szCs w:val="22"/>
              </w:rPr>
            </w:pPr>
            <w:r>
              <w:rPr>
                <w:rFonts w:ascii="Arial Narrow" w:hAnsi="Arial Narrow"/>
                <w:sz w:val="22"/>
                <w:szCs w:val="22"/>
              </w:rPr>
              <w:t>18</w:t>
            </w:r>
          </w:p>
        </w:tc>
        <w:tc>
          <w:tcPr>
            <w:tcW w:w="709" w:type="dxa"/>
            <w:tcBorders>
              <w:top w:val="single" w:sz="6" w:space="0" w:color="auto"/>
              <w:left w:val="single" w:sz="6" w:space="0" w:color="auto"/>
              <w:bottom w:val="single" w:sz="6" w:space="0" w:color="auto"/>
              <w:right w:val="single" w:sz="6" w:space="0" w:color="auto"/>
            </w:tcBorders>
          </w:tcPr>
          <w:p w14:paraId="06B49DFD"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DFE" w14:textId="77777777" w:rsidR="00A658D0" w:rsidRDefault="00000000">
            <w:pPr>
              <w:jc w:val="both"/>
              <w:rPr>
                <w:rFonts w:ascii="Arial Narrow" w:hAnsi="Arial Narrow"/>
                <w:sz w:val="22"/>
                <w:szCs w:val="22"/>
              </w:rPr>
            </w:pPr>
            <w:r>
              <w:rPr>
                <w:rFonts w:ascii="Arial Narrow" w:hAnsi="Arial Narrow"/>
                <w:sz w:val="22"/>
                <w:szCs w:val="22"/>
              </w:rPr>
              <w:t>Mapfre Perú</w:t>
            </w:r>
            <w:r>
              <w:rPr>
                <w:rStyle w:val="Refdenotaalpie"/>
                <w:rFonts w:ascii="Arial Narrow" w:hAnsi="Arial Narrow"/>
                <w:sz w:val="22"/>
                <w:szCs w:val="22"/>
              </w:rPr>
              <w:footnoteReference w:id="60"/>
            </w:r>
          </w:p>
        </w:tc>
      </w:tr>
      <w:tr w:rsidR="00A658D0" w14:paraId="06B49E04" w14:textId="77777777">
        <w:tc>
          <w:tcPr>
            <w:tcW w:w="779" w:type="dxa"/>
          </w:tcPr>
          <w:p w14:paraId="06B49E00"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E01" w14:textId="77777777" w:rsidR="00A658D0" w:rsidRDefault="00000000">
            <w:pPr>
              <w:jc w:val="center"/>
              <w:rPr>
                <w:rFonts w:ascii="Arial Narrow" w:hAnsi="Arial Narrow"/>
                <w:sz w:val="22"/>
                <w:szCs w:val="22"/>
                <w:lang w:val="en-US"/>
              </w:rPr>
            </w:pPr>
            <w:r>
              <w:rPr>
                <w:rFonts w:ascii="Arial Narrow" w:hAnsi="Arial Narrow"/>
                <w:sz w:val="22"/>
                <w:szCs w:val="22"/>
                <w:lang w:val="en-US"/>
              </w:rPr>
              <w:t>19</w:t>
            </w:r>
          </w:p>
        </w:tc>
        <w:tc>
          <w:tcPr>
            <w:tcW w:w="709" w:type="dxa"/>
            <w:tcBorders>
              <w:top w:val="single" w:sz="6" w:space="0" w:color="auto"/>
              <w:left w:val="single" w:sz="6" w:space="0" w:color="auto"/>
              <w:bottom w:val="single" w:sz="6" w:space="0" w:color="auto"/>
              <w:right w:val="single" w:sz="6" w:space="0" w:color="auto"/>
            </w:tcBorders>
          </w:tcPr>
          <w:p w14:paraId="06B49E02" w14:textId="77777777" w:rsidR="00A658D0" w:rsidRDefault="00A658D0">
            <w:pPr>
              <w:jc w:val="center"/>
              <w:rPr>
                <w:rFonts w:ascii="Arial Narrow" w:hAnsi="Arial Narrow"/>
                <w:sz w:val="22"/>
                <w:szCs w:val="22"/>
                <w:lang w:val="en-US"/>
              </w:rPr>
            </w:pPr>
          </w:p>
        </w:tc>
        <w:tc>
          <w:tcPr>
            <w:tcW w:w="5103" w:type="dxa"/>
            <w:tcBorders>
              <w:top w:val="single" w:sz="6" w:space="0" w:color="auto"/>
              <w:left w:val="single" w:sz="6" w:space="0" w:color="auto"/>
              <w:bottom w:val="single" w:sz="6" w:space="0" w:color="auto"/>
              <w:right w:val="single" w:sz="12" w:space="0" w:color="auto"/>
            </w:tcBorders>
          </w:tcPr>
          <w:p w14:paraId="06B49E03" w14:textId="77777777" w:rsidR="00A658D0" w:rsidRDefault="00000000">
            <w:pPr>
              <w:jc w:val="both"/>
              <w:rPr>
                <w:rFonts w:ascii="Arial Narrow" w:hAnsi="Arial Narrow"/>
                <w:sz w:val="22"/>
                <w:szCs w:val="22"/>
                <w:lang w:val="en-US"/>
              </w:rPr>
            </w:pPr>
            <w:r>
              <w:rPr>
                <w:rStyle w:val="Refdenotaalpie"/>
                <w:rFonts w:ascii="Arial Narrow" w:hAnsi="Arial Narrow"/>
                <w:sz w:val="22"/>
                <w:szCs w:val="22"/>
                <w:lang w:val="en-US"/>
              </w:rPr>
              <w:footnoteReference w:id="61"/>
            </w:r>
          </w:p>
        </w:tc>
      </w:tr>
      <w:tr w:rsidR="00A658D0" w14:paraId="06B49E09" w14:textId="77777777">
        <w:tc>
          <w:tcPr>
            <w:tcW w:w="779" w:type="dxa"/>
          </w:tcPr>
          <w:p w14:paraId="06B49E05"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06" w14:textId="77777777" w:rsidR="00A658D0" w:rsidRDefault="00000000">
            <w:pPr>
              <w:jc w:val="center"/>
              <w:rPr>
                <w:rFonts w:ascii="Arial Narrow" w:hAnsi="Arial Narrow"/>
                <w:sz w:val="22"/>
                <w:szCs w:val="22"/>
                <w:lang w:val="en-US"/>
              </w:rPr>
            </w:pPr>
            <w:r>
              <w:rPr>
                <w:rFonts w:ascii="Arial Narrow" w:hAnsi="Arial Narrow"/>
                <w:sz w:val="22"/>
                <w:szCs w:val="22"/>
                <w:lang w:val="en-US"/>
              </w:rPr>
              <w:t>21</w:t>
            </w:r>
          </w:p>
        </w:tc>
        <w:tc>
          <w:tcPr>
            <w:tcW w:w="709" w:type="dxa"/>
            <w:tcBorders>
              <w:top w:val="single" w:sz="6" w:space="0" w:color="auto"/>
              <w:left w:val="single" w:sz="6" w:space="0" w:color="auto"/>
              <w:bottom w:val="single" w:sz="6" w:space="0" w:color="auto"/>
              <w:right w:val="single" w:sz="6" w:space="0" w:color="auto"/>
            </w:tcBorders>
          </w:tcPr>
          <w:p w14:paraId="06B49E07"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08" w14:textId="77777777" w:rsidR="00A658D0" w:rsidRDefault="00000000">
            <w:pPr>
              <w:jc w:val="both"/>
              <w:rPr>
                <w:rFonts w:ascii="Arial Narrow" w:hAnsi="Arial Narrow"/>
                <w:sz w:val="22"/>
                <w:szCs w:val="22"/>
              </w:rPr>
            </w:pPr>
            <w:r>
              <w:rPr>
                <w:rFonts w:ascii="Arial Narrow" w:hAnsi="Arial Narrow"/>
                <w:sz w:val="22"/>
                <w:szCs w:val="22"/>
              </w:rPr>
              <w:t>Positiva Vida</w:t>
            </w:r>
          </w:p>
        </w:tc>
      </w:tr>
      <w:tr w:rsidR="00A658D0" w14:paraId="06B49E0E" w14:textId="77777777">
        <w:tc>
          <w:tcPr>
            <w:tcW w:w="779" w:type="dxa"/>
          </w:tcPr>
          <w:p w14:paraId="06B49E0A"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0B" w14:textId="77777777" w:rsidR="00A658D0" w:rsidRDefault="00000000">
            <w:pPr>
              <w:jc w:val="center"/>
              <w:rPr>
                <w:rFonts w:ascii="Arial Narrow" w:hAnsi="Arial Narrow"/>
                <w:sz w:val="22"/>
                <w:szCs w:val="22"/>
                <w:lang w:val="en-US"/>
              </w:rPr>
            </w:pPr>
            <w:r>
              <w:rPr>
                <w:rFonts w:ascii="Arial Narrow" w:hAnsi="Arial Narrow"/>
                <w:sz w:val="22"/>
                <w:szCs w:val="22"/>
                <w:lang w:val="en-US"/>
              </w:rPr>
              <w:t>22</w:t>
            </w:r>
          </w:p>
        </w:tc>
        <w:tc>
          <w:tcPr>
            <w:tcW w:w="709" w:type="dxa"/>
            <w:tcBorders>
              <w:top w:val="single" w:sz="6" w:space="0" w:color="auto"/>
              <w:left w:val="single" w:sz="6" w:space="0" w:color="auto"/>
              <w:bottom w:val="single" w:sz="6" w:space="0" w:color="auto"/>
              <w:right w:val="single" w:sz="6" w:space="0" w:color="auto"/>
            </w:tcBorders>
          </w:tcPr>
          <w:p w14:paraId="06B49E0C"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0D" w14:textId="77777777" w:rsidR="00A658D0" w:rsidRDefault="00000000">
            <w:pPr>
              <w:jc w:val="both"/>
              <w:rPr>
                <w:rFonts w:ascii="Arial Narrow" w:hAnsi="Arial Narrow"/>
                <w:sz w:val="22"/>
                <w:szCs w:val="22"/>
              </w:rPr>
            </w:pPr>
            <w:proofErr w:type="spellStart"/>
            <w:r>
              <w:rPr>
                <w:rFonts w:ascii="Arial Narrow" w:hAnsi="Arial Narrow"/>
                <w:sz w:val="22"/>
                <w:szCs w:val="22"/>
              </w:rPr>
              <w:t>Cardif</w:t>
            </w:r>
            <w:proofErr w:type="spellEnd"/>
            <w:r>
              <w:rPr>
                <w:rFonts w:ascii="Arial Narrow" w:hAnsi="Arial Narrow"/>
                <w:sz w:val="22"/>
                <w:szCs w:val="22"/>
              </w:rPr>
              <w:t xml:space="preserve"> </w:t>
            </w:r>
          </w:p>
        </w:tc>
      </w:tr>
      <w:tr w:rsidR="00A658D0" w14:paraId="06B49E13" w14:textId="77777777">
        <w:tc>
          <w:tcPr>
            <w:tcW w:w="779" w:type="dxa"/>
          </w:tcPr>
          <w:p w14:paraId="06B49E0F"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10" w14:textId="77777777" w:rsidR="00A658D0" w:rsidRDefault="00000000">
            <w:pPr>
              <w:jc w:val="center"/>
              <w:rPr>
                <w:rFonts w:ascii="Arial Narrow" w:hAnsi="Arial Narrow"/>
                <w:sz w:val="22"/>
                <w:szCs w:val="22"/>
                <w:lang w:val="en-US"/>
              </w:rPr>
            </w:pPr>
            <w:r>
              <w:rPr>
                <w:rFonts w:ascii="Arial Narrow" w:hAnsi="Arial Narrow"/>
                <w:sz w:val="22"/>
                <w:szCs w:val="22"/>
                <w:lang w:val="en-US"/>
              </w:rPr>
              <w:t>23</w:t>
            </w:r>
          </w:p>
        </w:tc>
        <w:tc>
          <w:tcPr>
            <w:tcW w:w="709" w:type="dxa"/>
            <w:tcBorders>
              <w:top w:val="single" w:sz="6" w:space="0" w:color="auto"/>
              <w:left w:val="single" w:sz="6" w:space="0" w:color="auto"/>
              <w:bottom w:val="single" w:sz="6" w:space="0" w:color="auto"/>
              <w:right w:val="single" w:sz="6" w:space="0" w:color="auto"/>
            </w:tcBorders>
          </w:tcPr>
          <w:p w14:paraId="06B49E11"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12" w14:textId="77777777" w:rsidR="00A658D0" w:rsidRDefault="00000000">
            <w:pPr>
              <w:jc w:val="both"/>
              <w:rPr>
                <w:rFonts w:ascii="Arial Narrow" w:hAnsi="Arial Narrow"/>
                <w:sz w:val="22"/>
                <w:szCs w:val="22"/>
              </w:rPr>
            </w:pPr>
            <w:proofErr w:type="spellStart"/>
            <w:r>
              <w:rPr>
                <w:rFonts w:ascii="Arial Narrow" w:hAnsi="Arial Narrow"/>
                <w:sz w:val="22"/>
                <w:szCs w:val="22"/>
              </w:rPr>
              <w:t>Protecta</w:t>
            </w:r>
            <w:proofErr w:type="spellEnd"/>
            <w:r>
              <w:rPr>
                <w:rFonts w:ascii="Arial Narrow" w:hAnsi="Arial Narrow"/>
                <w:sz w:val="22"/>
                <w:szCs w:val="22"/>
              </w:rPr>
              <w:t xml:space="preserve"> </w:t>
            </w:r>
          </w:p>
        </w:tc>
      </w:tr>
      <w:tr w:rsidR="00A658D0" w14:paraId="06B49E18" w14:textId="77777777">
        <w:tc>
          <w:tcPr>
            <w:tcW w:w="779" w:type="dxa"/>
          </w:tcPr>
          <w:p w14:paraId="06B49E14"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15" w14:textId="77777777" w:rsidR="00A658D0" w:rsidRDefault="00000000">
            <w:pPr>
              <w:jc w:val="center"/>
              <w:rPr>
                <w:rFonts w:ascii="Arial Narrow" w:hAnsi="Arial Narrow"/>
                <w:sz w:val="22"/>
                <w:szCs w:val="22"/>
                <w:lang w:val="en-US"/>
              </w:rPr>
            </w:pPr>
            <w:r>
              <w:rPr>
                <w:rFonts w:ascii="Arial Narrow" w:hAnsi="Arial Narrow"/>
                <w:sz w:val="22"/>
                <w:szCs w:val="22"/>
                <w:lang w:val="en-US"/>
              </w:rPr>
              <w:t>24</w:t>
            </w:r>
          </w:p>
        </w:tc>
        <w:tc>
          <w:tcPr>
            <w:tcW w:w="709" w:type="dxa"/>
            <w:tcBorders>
              <w:top w:val="single" w:sz="6" w:space="0" w:color="auto"/>
              <w:left w:val="single" w:sz="6" w:space="0" w:color="auto"/>
              <w:bottom w:val="single" w:sz="6" w:space="0" w:color="auto"/>
              <w:right w:val="single" w:sz="6" w:space="0" w:color="auto"/>
            </w:tcBorders>
          </w:tcPr>
          <w:p w14:paraId="06B49E16"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17" w14:textId="77777777" w:rsidR="00A658D0" w:rsidRDefault="00000000">
            <w:pPr>
              <w:jc w:val="both"/>
              <w:rPr>
                <w:rFonts w:ascii="Arial Narrow" w:hAnsi="Arial Narrow"/>
                <w:sz w:val="22"/>
                <w:szCs w:val="22"/>
              </w:rPr>
            </w:pPr>
            <w:r>
              <w:rPr>
                <w:rFonts w:ascii="Arial Narrow" w:hAnsi="Arial Narrow"/>
                <w:sz w:val="22"/>
                <w:szCs w:val="22"/>
              </w:rPr>
              <w:t xml:space="preserve">INSUR </w:t>
            </w:r>
          </w:p>
        </w:tc>
      </w:tr>
      <w:tr w:rsidR="00A658D0" w14:paraId="06B49E1D" w14:textId="77777777">
        <w:tc>
          <w:tcPr>
            <w:tcW w:w="779" w:type="dxa"/>
          </w:tcPr>
          <w:p w14:paraId="06B49E19"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1A" w14:textId="77777777" w:rsidR="00A658D0" w:rsidRDefault="00000000">
            <w:pPr>
              <w:jc w:val="center"/>
              <w:rPr>
                <w:rFonts w:ascii="Arial Narrow" w:hAnsi="Arial Narrow"/>
                <w:sz w:val="22"/>
                <w:szCs w:val="22"/>
                <w:lang w:val="en-US"/>
              </w:rPr>
            </w:pPr>
            <w:r>
              <w:rPr>
                <w:rFonts w:ascii="Arial Narrow" w:hAnsi="Arial Narrow"/>
                <w:sz w:val="22"/>
                <w:szCs w:val="22"/>
                <w:lang w:val="en-US"/>
              </w:rPr>
              <w:t>25</w:t>
            </w:r>
          </w:p>
        </w:tc>
        <w:tc>
          <w:tcPr>
            <w:tcW w:w="709" w:type="dxa"/>
            <w:tcBorders>
              <w:top w:val="single" w:sz="6" w:space="0" w:color="auto"/>
              <w:left w:val="single" w:sz="6" w:space="0" w:color="auto"/>
              <w:bottom w:val="single" w:sz="6" w:space="0" w:color="auto"/>
              <w:right w:val="single" w:sz="6" w:space="0" w:color="auto"/>
            </w:tcBorders>
          </w:tcPr>
          <w:p w14:paraId="06B49E1B" w14:textId="77777777" w:rsidR="00A658D0" w:rsidRDefault="00A658D0">
            <w:pPr>
              <w:rPr>
                <w:rFonts w:ascii="Arial Narrow" w:hAnsi="Arial Narrow"/>
                <w:sz w:val="22"/>
                <w:szCs w:val="22"/>
                <w:lang w:val="en-US"/>
              </w:rPr>
            </w:pPr>
          </w:p>
        </w:tc>
        <w:tc>
          <w:tcPr>
            <w:tcW w:w="5103" w:type="dxa"/>
            <w:tcBorders>
              <w:top w:val="single" w:sz="6" w:space="0" w:color="auto"/>
              <w:left w:val="single" w:sz="6" w:space="0" w:color="auto"/>
              <w:bottom w:val="single" w:sz="6" w:space="0" w:color="auto"/>
              <w:right w:val="single" w:sz="12" w:space="0" w:color="auto"/>
            </w:tcBorders>
          </w:tcPr>
          <w:p w14:paraId="06B49E1C" w14:textId="77777777" w:rsidR="00A658D0" w:rsidRDefault="00000000">
            <w:pPr>
              <w:jc w:val="both"/>
              <w:rPr>
                <w:rFonts w:ascii="Arial Narrow" w:hAnsi="Arial Narrow"/>
                <w:sz w:val="22"/>
                <w:szCs w:val="22"/>
              </w:rPr>
            </w:pPr>
            <w:r>
              <w:rPr>
                <w:rStyle w:val="Refdenotaalpie"/>
                <w:rFonts w:ascii="Arial Narrow" w:hAnsi="Arial Narrow"/>
                <w:sz w:val="22"/>
                <w:szCs w:val="22"/>
              </w:rPr>
              <w:footnoteReference w:id="62"/>
            </w:r>
          </w:p>
        </w:tc>
      </w:tr>
      <w:tr w:rsidR="00A658D0" w14:paraId="06B49E22" w14:textId="77777777">
        <w:tc>
          <w:tcPr>
            <w:tcW w:w="779" w:type="dxa"/>
          </w:tcPr>
          <w:p w14:paraId="06B49E1E"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1F" w14:textId="77777777" w:rsidR="00A658D0" w:rsidRDefault="00000000">
            <w:pPr>
              <w:jc w:val="center"/>
              <w:rPr>
                <w:rFonts w:ascii="Arial Narrow" w:hAnsi="Arial Narrow"/>
                <w:sz w:val="22"/>
                <w:szCs w:val="22"/>
                <w:lang w:val="en-US"/>
              </w:rPr>
            </w:pPr>
            <w:r>
              <w:rPr>
                <w:rFonts w:ascii="Arial Narrow" w:hAnsi="Arial Narrow"/>
                <w:sz w:val="22"/>
                <w:szCs w:val="22"/>
                <w:lang w:val="en-US"/>
              </w:rPr>
              <w:t>26</w:t>
            </w:r>
          </w:p>
        </w:tc>
        <w:tc>
          <w:tcPr>
            <w:tcW w:w="709" w:type="dxa"/>
            <w:tcBorders>
              <w:top w:val="single" w:sz="6" w:space="0" w:color="auto"/>
              <w:left w:val="single" w:sz="6" w:space="0" w:color="auto"/>
              <w:bottom w:val="single" w:sz="6" w:space="0" w:color="auto"/>
              <w:right w:val="single" w:sz="6" w:space="0" w:color="auto"/>
            </w:tcBorders>
          </w:tcPr>
          <w:p w14:paraId="06B49E20"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21" w14:textId="77777777" w:rsidR="00A658D0" w:rsidRDefault="00000000">
            <w:pPr>
              <w:jc w:val="both"/>
              <w:rPr>
                <w:rFonts w:ascii="Arial Narrow" w:hAnsi="Arial Narrow"/>
                <w:sz w:val="22"/>
                <w:szCs w:val="22"/>
              </w:rPr>
            </w:pPr>
            <w:r>
              <w:rPr>
                <w:rFonts w:ascii="Arial Narrow" w:hAnsi="Arial Narrow"/>
                <w:sz w:val="22"/>
                <w:szCs w:val="22"/>
              </w:rPr>
              <w:t xml:space="preserve">Qualitas Seguros </w:t>
            </w:r>
            <w:r>
              <w:rPr>
                <w:rStyle w:val="Refdenotaalpie"/>
                <w:rFonts w:ascii="Arial Narrow" w:hAnsi="Arial Narrow"/>
                <w:sz w:val="22"/>
                <w:szCs w:val="22"/>
              </w:rPr>
              <w:footnoteReference w:id="63"/>
            </w:r>
          </w:p>
        </w:tc>
      </w:tr>
      <w:tr w:rsidR="00A658D0" w14:paraId="06B49E27" w14:textId="77777777">
        <w:tc>
          <w:tcPr>
            <w:tcW w:w="779" w:type="dxa"/>
          </w:tcPr>
          <w:p w14:paraId="06B49E23"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24" w14:textId="77777777" w:rsidR="00A658D0" w:rsidRDefault="00000000">
            <w:pPr>
              <w:jc w:val="center"/>
              <w:rPr>
                <w:rFonts w:ascii="Arial Narrow" w:hAnsi="Arial Narrow"/>
                <w:sz w:val="22"/>
                <w:szCs w:val="22"/>
                <w:lang w:val="en-US"/>
              </w:rPr>
            </w:pPr>
            <w:r>
              <w:rPr>
                <w:rFonts w:ascii="Arial Narrow" w:hAnsi="Arial Narrow"/>
                <w:sz w:val="22"/>
                <w:szCs w:val="22"/>
                <w:lang w:val="en-US"/>
              </w:rPr>
              <w:t>27</w:t>
            </w:r>
          </w:p>
        </w:tc>
        <w:tc>
          <w:tcPr>
            <w:tcW w:w="709" w:type="dxa"/>
            <w:tcBorders>
              <w:top w:val="single" w:sz="6" w:space="0" w:color="auto"/>
              <w:left w:val="single" w:sz="6" w:space="0" w:color="auto"/>
              <w:bottom w:val="single" w:sz="6" w:space="0" w:color="auto"/>
              <w:right w:val="single" w:sz="6" w:space="0" w:color="auto"/>
            </w:tcBorders>
          </w:tcPr>
          <w:p w14:paraId="06B49E25"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26" w14:textId="77777777" w:rsidR="00A658D0" w:rsidRDefault="00000000">
            <w:pPr>
              <w:jc w:val="both"/>
              <w:rPr>
                <w:rFonts w:ascii="Arial Narrow" w:hAnsi="Arial Narrow"/>
                <w:sz w:val="22"/>
                <w:szCs w:val="22"/>
              </w:rPr>
            </w:pPr>
            <w:r>
              <w:rPr>
                <w:rFonts w:ascii="Arial Narrow" w:hAnsi="Arial Narrow"/>
                <w:sz w:val="22"/>
                <w:szCs w:val="22"/>
              </w:rPr>
              <w:t>Vivir Seguros</w:t>
            </w:r>
            <w:r>
              <w:rPr>
                <w:rStyle w:val="Refdenotaalpie"/>
                <w:rFonts w:ascii="Arial Narrow" w:hAnsi="Arial Narrow"/>
                <w:sz w:val="22"/>
                <w:szCs w:val="22"/>
              </w:rPr>
              <w:footnoteReference w:id="64"/>
            </w:r>
          </w:p>
        </w:tc>
      </w:tr>
      <w:tr w:rsidR="00A658D0" w14:paraId="06B49E2C" w14:textId="77777777">
        <w:tc>
          <w:tcPr>
            <w:tcW w:w="779" w:type="dxa"/>
          </w:tcPr>
          <w:p w14:paraId="06B49E28"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29" w14:textId="77777777" w:rsidR="00A658D0" w:rsidRDefault="00000000">
            <w:pPr>
              <w:jc w:val="center"/>
              <w:rPr>
                <w:rFonts w:ascii="Arial Narrow" w:hAnsi="Arial Narrow"/>
                <w:sz w:val="22"/>
                <w:szCs w:val="22"/>
                <w:lang w:val="en-US"/>
              </w:rPr>
            </w:pPr>
            <w:r>
              <w:rPr>
                <w:rFonts w:ascii="Arial Narrow" w:hAnsi="Arial Narrow"/>
                <w:sz w:val="22"/>
                <w:szCs w:val="22"/>
                <w:lang w:val="en-US"/>
              </w:rPr>
              <w:t>28</w:t>
            </w:r>
          </w:p>
        </w:tc>
        <w:tc>
          <w:tcPr>
            <w:tcW w:w="709" w:type="dxa"/>
            <w:tcBorders>
              <w:top w:val="single" w:sz="6" w:space="0" w:color="auto"/>
              <w:left w:val="single" w:sz="6" w:space="0" w:color="auto"/>
              <w:bottom w:val="single" w:sz="6" w:space="0" w:color="auto"/>
              <w:right w:val="single" w:sz="6" w:space="0" w:color="auto"/>
            </w:tcBorders>
          </w:tcPr>
          <w:p w14:paraId="06B49E2A"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2B" w14:textId="77777777" w:rsidR="00A658D0" w:rsidRDefault="00000000">
            <w:pPr>
              <w:jc w:val="both"/>
              <w:rPr>
                <w:rFonts w:ascii="Arial Narrow" w:hAnsi="Arial Narrow"/>
                <w:sz w:val="22"/>
                <w:szCs w:val="22"/>
              </w:rPr>
            </w:pPr>
            <w:r>
              <w:rPr>
                <w:rFonts w:ascii="Arial Narrow" w:hAnsi="Arial Narrow"/>
                <w:sz w:val="22"/>
                <w:szCs w:val="22"/>
              </w:rPr>
              <w:t xml:space="preserve">OHIO </w:t>
            </w:r>
            <w:proofErr w:type="spellStart"/>
            <w:r>
              <w:rPr>
                <w:rFonts w:ascii="Arial Narrow" w:hAnsi="Arial Narrow"/>
                <w:sz w:val="22"/>
                <w:szCs w:val="22"/>
              </w:rPr>
              <w:t>National</w:t>
            </w:r>
            <w:proofErr w:type="spellEnd"/>
            <w:r>
              <w:rPr>
                <w:rStyle w:val="Refdenotaalpie"/>
                <w:rFonts w:ascii="Arial Narrow" w:hAnsi="Arial Narrow"/>
                <w:sz w:val="22"/>
                <w:szCs w:val="22"/>
              </w:rPr>
              <w:footnoteReference w:id="65"/>
            </w:r>
          </w:p>
        </w:tc>
      </w:tr>
      <w:tr w:rsidR="00A658D0" w14:paraId="06B49E31" w14:textId="77777777">
        <w:tc>
          <w:tcPr>
            <w:tcW w:w="779" w:type="dxa"/>
          </w:tcPr>
          <w:p w14:paraId="06B49E2D"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2E" w14:textId="77777777" w:rsidR="00A658D0" w:rsidRDefault="00000000">
            <w:pPr>
              <w:jc w:val="center"/>
              <w:rPr>
                <w:rFonts w:ascii="Arial Narrow" w:hAnsi="Arial Narrow"/>
                <w:sz w:val="22"/>
                <w:szCs w:val="22"/>
                <w:lang w:val="en-US"/>
              </w:rPr>
            </w:pPr>
            <w:r>
              <w:rPr>
                <w:rFonts w:ascii="Arial Narrow" w:hAnsi="Arial Narrow"/>
                <w:sz w:val="22"/>
                <w:szCs w:val="22"/>
                <w:lang w:val="en-US"/>
              </w:rPr>
              <w:t>29</w:t>
            </w:r>
          </w:p>
        </w:tc>
        <w:tc>
          <w:tcPr>
            <w:tcW w:w="709" w:type="dxa"/>
            <w:tcBorders>
              <w:top w:val="single" w:sz="6" w:space="0" w:color="auto"/>
              <w:left w:val="single" w:sz="6" w:space="0" w:color="auto"/>
              <w:bottom w:val="single" w:sz="6" w:space="0" w:color="auto"/>
              <w:right w:val="single" w:sz="6" w:space="0" w:color="auto"/>
            </w:tcBorders>
          </w:tcPr>
          <w:p w14:paraId="06B49E2F"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30" w14:textId="77777777" w:rsidR="00A658D0" w:rsidRDefault="00000000">
            <w:pPr>
              <w:jc w:val="both"/>
              <w:rPr>
                <w:rFonts w:ascii="Arial Narrow" w:hAnsi="Arial Narrow"/>
                <w:sz w:val="22"/>
                <w:szCs w:val="22"/>
              </w:rPr>
            </w:pPr>
            <w:r>
              <w:rPr>
                <w:rFonts w:ascii="Arial Narrow" w:hAnsi="Arial Narrow"/>
                <w:sz w:val="22"/>
                <w:szCs w:val="22"/>
              </w:rPr>
              <w:t>Crecer Seguros</w:t>
            </w:r>
            <w:r>
              <w:rPr>
                <w:rStyle w:val="Refdenotaalpie"/>
                <w:rFonts w:ascii="Arial Narrow" w:hAnsi="Arial Narrow"/>
                <w:sz w:val="22"/>
                <w:szCs w:val="22"/>
              </w:rPr>
              <w:footnoteReference w:id="66"/>
            </w:r>
          </w:p>
        </w:tc>
      </w:tr>
      <w:tr w:rsidR="00A658D0" w14:paraId="06B49E36" w14:textId="77777777">
        <w:tc>
          <w:tcPr>
            <w:tcW w:w="779" w:type="dxa"/>
          </w:tcPr>
          <w:p w14:paraId="06B49E32"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33" w14:textId="77777777" w:rsidR="00A658D0" w:rsidRDefault="00000000">
            <w:pPr>
              <w:jc w:val="center"/>
              <w:rPr>
                <w:rFonts w:ascii="Arial Narrow" w:hAnsi="Arial Narrow"/>
                <w:sz w:val="22"/>
                <w:szCs w:val="22"/>
                <w:lang w:val="en-US"/>
              </w:rPr>
            </w:pPr>
            <w:r>
              <w:rPr>
                <w:rFonts w:ascii="Arial Narrow" w:hAnsi="Arial Narrow"/>
                <w:sz w:val="22"/>
                <w:szCs w:val="22"/>
                <w:lang w:val="en-US"/>
              </w:rPr>
              <w:t>30</w:t>
            </w:r>
          </w:p>
        </w:tc>
        <w:tc>
          <w:tcPr>
            <w:tcW w:w="709" w:type="dxa"/>
            <w:tcBorders>
              <w:top w:val="single" w:sz="6" w:space="0" w:color="auto"/>
              <w:left w:val="single" w:sz="6" w:space="0" w:color="auto"/>
              <w:bottom w:val="single" w:sz="6" w:space="0" w:color="auto"/>
              <w:right w:val="single" w:sz="6" w:space="0" w:color="auto"/>
            </w:tcBorders>
          </w:tcPr>
          <w:p w14:paraId="06B49E34" w14:textId="77777777" w:rsidR="00A658D0" w:rsidRDefault="00A658D0">
            <w:pPr>
              <w:jc w:val="center"/>
              <w:rPr>
                <w:rFonts w:ascii="Arial Narrow" w:hAnsi="Arial Narrow"/>
                <w:sz w:val="22"/>
                <w:szCs w:val="22"/>
                <w:lang w:val="en-US"/>
              </w:rPr>
            </w:pPr>
          </w:p>
        </w:tc>
        <w:tc>
          <w:tcPr>
            <w:tcW w:w="5103" w:type="dxa"/>
            <w:tcBorders>
              <w:top w:val="single" w:sz="6" w:space="0" w:color="auto"/>
              <w:left w:val="single" w:sz="6" w:space="0" w:color="auto"/>
              <w:bottom w:val="single" w:sz="6" w:space="0" w:color="auto"/>
              <w:right w:val="single" w:sz="12" w:space="0" w:color="auto"/>
            </w:tcBorders>
          </w:tcPr>
          <w:p w14:paraId="06B49E35" w14:textId="77777777" w:rsidR="00A658D0" w:rsidRDefault="00000000">
            <w:pPr>
              <w:jc w:val="both"/>
              <w:rPr>
                <w:rFonts w:ascii="Arial Narrow" w:hAnsi="Arial Narrow"/>
                <w:sz w:val="22"/>
                <w:szCs w:val="22"/>
              </w:rPr>
            </w:pPr>
            <w:r>
              <w:rPr>
                <w:rStyle w:val="Refdenotaalpie"/>
                <w:rFonts w:ascii="Arial Narrow" w:hAnsi="Arial Narrow"/>
                <w:sz w:val="22"/>
                <w:szCs w:val="22"/>
              </w:rPr>
              <w:footnoteReference w:id="67"/>
            </w:r>
          </w:p>
        </w:tc>
      </w:tr>
      <w:tr w:rsidR="00A658D0" w14:paraId="06B49E3B" w14:textId="77777777">
        <w:tc>
          <w:tcPr>
            <w:tcW w:w="779" w:type="dxa"/>
          </w:tcPr>
          <w:p w14:paraId="06B49E37"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38" w14:textId="77777777" w:rsidR="00A658D0" w:rsidRDefault="00000000">
            <w:pPr>
              <w:jc w:val="center"/>
              <w:rPr>
                <w:rFonts w:ascii="Arial Narrow" w:hAnsi="Arial Narrow"/>
                <w:sz w:val="22"/>
                <w:szCs w:val="22"/>
                <w:lang w:val="en-US"/>
              </w:rPr>
            </w:pPr>
            <w:r>
              <w:rPr>
                <w:rFonts w:ascii="Arial Narrow" w:hAnsi="Arial Narrow"/>
                <w:sz w:val="22"/>
                <w:szCs w:val="22"/>
                <w:lang w:val="en-US"/>
              </w:rPr>
              <w:t>31</w:t>
            </w:r>
          </w:p>
        </w:tc>
        <w:tc>
          <w:tcPr>
            <w:tcW w:w="709" w:type="dxa"/>
            <w:tcBorders>
              <w:top w:val="single" w:sz="6" w:space="0" w:color="auto"/>
              <w:left w:val="single" w:sz="6" w:space="0" w:color="auto"/>
              <w:bottom w:val="single" w:sz="6" w:space="0" w:color="auto"/>
              <w:right w:val="single" w:sz="6" w:space="0" w:color="auto"/>
            </w:tcBorders>
          </w:tcPr>
          <w:p w14:paraId="06B49E39"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3A" w14:textId="77777777" w:rsidR="00A658D0" w:rsidRDefault="00000000">
            <w:pPr>
              <w:jc w:val="both"/>
              <w:rPr>
                <w:rFonts w:ascii="Arial Narrow" w:hAnsi="Arial Narrow"/>
                <w:sz w:val="22"/>
                <w:szCs w:val="22"/>
              </w:rPr>
            </w:pPr>
            <w:proofErr w:type="spellStart"/>
            <w:r>
              <w:rPr>
                <w:rFonts w:ascii="Arial Narrow" w:hAnsi="Arial Narrow"/>
                <w:sz w:val="22"/>
                <w:szCs w:val="22"/>
              </w:rPr>
              <w:t>Avla</w:t>
            </w:r>
            <w:proofErr w:type="spellEnd"/>
            <w:r>
              <w:rPr>
                <w:rFonts w:ascii="Arial Narrow" w:hAnsi="Arial Narrow"/>
                <w:sz w:val="22"/>
                <w:szCs w:val="22"/>
              </w:rPr>
              <w:t xml:space="preserve"> Perú</w:t>
            </w:r>
            <w:r>
              <w:rPr>
                <w:rStyle w:val="Refdenotaalpie"/>
                <w:rFonts w:ascii="Arial Narrow" w:hAnsi="Arial Narrow"/>
                <w:sz w:val="22"/>
                <w:szCs w:val="22"/>
              </w:rPr>
              <w:footnoteReference w:id="68"/>
            </w:r>
          </w:p>
        </w:tc>
      </w:tr>
      <w:tr w:rsidR="00A658D0" w14:paraId="06B49E40" w14:textId="77777777">
        <w:tc>
          <w:tcPr>
            <w:tcW w:w="779" w:type="dxa"/>
          </w:tcPr>
          <w:p w14:paraId="06B49E3C"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3D" w14:textId="77777777" w:rsidR="00A658D0" w:rsidRDefault="00000000">
            <w:pPr>
              <w:jc w:val="center"/>
              <w:rPr>
                <w:rFonts w:ascii="Arial Narrow" w:hAnsi="Arial Narrow"/>
                <w:sz w:val="22"/>
                <w:szCs w:val="22"/>
                <w:lang w:val="en-US"/>
              </w:rPr>
            </w:pPr>
            <w:r>
              <w:rPr>
                <w:rFonts w:ascii="Arial Narrow" w:hAnsi="Arial Narrow"/>
                <w:sz w:val="22"/>
                <w:szCs w:val="22"/>
                <w:lang w:val="en-US"/>
              </w:rPr>
              <w:t>32</w:t>
            </w:r>
          </w:p>
        </w:tc>
        <w:tc>
          <w:tcPr>
            <w:tcW w:w="709" w:type="dxa"/>
            <w:tcBorders>
              <w:top w:val="single" w:sz="6" w:space="0" w:color="auto"/>
              <w:left w:val="single" w:sz="6" w:space="0" w:color="auto"/>
              <w:bottom w:val="single" w:sz="6" w:space="0" w:color="auto"/>
              <w:right w:val="single" w:sz="6" w:space="0" w:color="auto"/>
            </w:tcBorders>
          </w:tcPr>
          <w:p w14:paraId="06B49E3E"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3F" w14:textId="77777777" w:rsidR="00A658D0" w:rsidRDefault="00000000">
            <w:pPr>
              <w:jc w:val="both"/>
              <w:rPr>
                <w:rFonts w:ascii="Arial Narrow" w:hAnsi="Arial Narrow"/>
                <w:sz w:val="22"/>
                <w:szCs w:val="22"/>
              </w:rPr>
            </w:pPr>
            <w:r>
              <w:rPr>
                <w:rFonts w:ascii="Arial Narrow" w:hAnsi="Arial Narrow"/>
                <w:sz w:val="22"/>
                <w:szCs w:val="22"/>
              </w:rPr>
              <w:t>Liberty Seguros</w:t>
            </w:r>
            <w:r>
              <w:rPr>
                <w:rStyle w:val="Refdenotaalpie"/>
                <w:rFonts w:ascii="Arial Narrow" w:hAnsi="Arial Narrow"/>
                <w:sz w:val="22"/>
                <w:szCs w:val="22"/>
              </w:rPr>
              <w:footnoteReference w:id="69"/>
            </w:r>
          </w:p>
        </w:tc>
      </w:tr>
      <w:tr w:rsidR="00A658D0" w14:paraId="06B49E45" w14:textId="77777777">
        <w:tc>
          <w:tcPr>
            <w:tcW w:w="779" w:type="dxa"/>
          </w:tcPr>
          <w:p w14:paraId="06B49E41" w14:textId="77777777" w:rsidR="00A658D0" w:rsidRDefault="00A658D0">
            <w:pPr>
              <w:jc w:val="both"/>
              <w:rPr>
                <w:rFonts w:ascii="Arial Narrow" w:hAnsi="Arial Narrow"/>
                <w:sz w:val="22"/>
                <w:szCs w:val="22"/>
                <w:lang w:val="en-US"/>
              </w:rPr>
            </w:pPr>
          </w:p>
        </w:tc>
        <w:tc>
          <w:tcPr>
            <w:tcW w:w="709" w:type="dxa"/>
            <w:tcBorders>
              <w:top w:val="single" w:sz="6" w:space="0" w:color="auto"/>
              <w:left w:val="single" w:sz="12" w:space="0" w:color="auto"/>
              <w:bottom w:val="single" w:sz="6" w:space="0" w:color="auto"/>
              <w:right w:val="single" w:sz="6" w:space="0" w:color="auto"/>
            </w:tcBorders>
          </w:tcPr>
          <w:p w14:paraId="06B49E42" w14:textId="77777777" w:rsidR="00A658D0" w:rsidRDefault="00000000">
            <w:pPr>
              <w:jc w:val="center"/>
              <w:rPr>
                <w:rFonts w:ascii="Arial Narrow" w:hAnsi="Arial Narrow"/>
                <w:sz w:val="22"/>
                <w:szCs w:val="22"/>
                <w:lang w:val="en-US"/>
              </w:rPr>
            </w:pPr>
            <w:r>
              <w:rPr>
                <w:rFonts w:ascii="Arial Narrow" w:hAnsi="Arial Narrow"/>
                <w:sz w:val="22"/>
                <w:szCs w:val="22"/>
                <w:lang w:val="en-US"/>
              </w:rPr>
              <w:t>95</w:t>
            </w:r>
          </w:p>
        </w:tc>
        <w:tc>
          <w:tcPr>
            <w:tcW w:w="709" w:type="dxa"/>
            <w:tcBorders>
              <w:top w:val="single" w:sz="6" w:space="0" w:color="auto"/>
              <w:left w:val="single" w:sz="6" w:space="0" w:color="auto"/>
              <w:bottom w:val="single" w:sz="6" w:space="0" w:color="auto"/>
              <w:right w:val="single" w:sz="6" w:space="0" w:color="auto"/>
            </w:tcBorders>
          </w:tcPr>
          <w:p w14:paraId="06B49E43" w14:textId="77777777" w:rsidR="00A658D0" w:rsidRDefault="00000000">
            <w:pPr>
              <w:jc w:val="center"/>
              <w:rPr>
                <w:rFonts w:ascii="Arial Narrow" w:hAnsi="Arial Narrow"/>
                <w:sz w:val="22"/>
                <w:szCs w:val="22"/>
                <w:lang w:val="en-US"/>
              </w:rPr>
            </w:pPr>
            <w:r>
              <w:rPr>
                <w:rFonts w:ascii="Arial Narrow" w:hAnsi="Arial Narrow"/>
                <w:sz w:val="22"/>
                <w:szCs w:val="22"/>
                <w:lang w:val="en-US"/>
              </w:rPr>
              <w:t>S</w:t>
            </w:r>
          </w:p>
        </w:tc>
        <w:tc>
          <w:tcPr>
            <w:tcW w:w="5103" w:type="dxa"/>
            <w:tcBorders>
              <w:top w:val="single" w:sz="6" w:space="0" w:color="auto"/>
              <w:left w:val="single" w:sz="6" w:space="0" w:color="auto"/>
              <w:bottom w:val="single" w:sz="6" w:space="0" w:color="auto"/>
              <w:right w:val="single" w:sz="12" w:space="0" w:color="auto"/>
            </w:tcBorders>
          </w:tcPr>
          <w:p w14:paraId="06B49E44" w14:textId="77777777" w:rsidR="00A658D0" w:rsidRDefault="00000000">
            <w:pPr>
              <w:jc w:val="both"/>
              <w:rPr>
                <w:rFonts w:ascii="Arial Narrow" w:hAnsi="Arial Narrow"/>
                <w:sz w:val="22"/>
                <w:szCs w:val="22"/>
              </w:rPr>
            </w:pPr>
            <w:r>
              <w:rPr>
                <w:rFonts w:ascii="Arial Narrow" w:hAnsi="Arial Narrow"/>
                <w:sz w:val="22"/>
                <w:szCs w:val="22"/>
              </w:rPr>
              <w:t>En liquidación</w:t>
            </w:r>
          </w:p>
        </w:tc>
      </w:tr>
      <w:tr w:rsidR="00A658D0" w14:paraId="06B49E4A" w14:textId="77777777">
        <w:tc>
          <w:tcPr>
            <w:tcW w:w="779" w:type="dxa"/>
          </w:tcPr>
          <w:p w14:paraId="06B49E46"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E47" w14:textId="77777777" w:rsidR="00A658D0" w:rsidRDefault="00000000">
            <w:pPr>
              <w:jc w:val="center"/>
              <w:rPr>
                <w:rFonts w:ascii="Arial Narrow" w:hAnsi="Arial Narrow"/>
                <w:sz w:val="22"/>
                <w:szCs w:val="22"/>
              </w:rPr>
            </w:pPr>
            <w:r>
              <w:rPr>
                <w:rFonts w:ascii="Arial Narrow" w:hAnsi="Arial Narrow"/>
                <w:sz w:val="22"/>
                <w:szCs w:val="22"/>
              </w:rPr>
              <w:t>96</w:t>
            </w:r>
          </w:p>
        </w:tc>
        <w:tc>
          <w:tcPr>
            <w:tcW w:w="709" w:type="dxa"/>
            <w:tcBorders>
              <w:top w:val="single" w:sz="6" w:space="0" w:color="auto"/>
              <w:left w:val="single" w:sz="6" w:space="0" w:color="auto"/>
              <w:bottom w:val="single" w:sz="6" w:space="0" w:color="auto"/>
              <w:right w:val="single" w:sz="6" w:space="0" w:color="auto"/>
            </w:tcBorders>
          </w:tcPr>
          <w:p w14:paraId="06B49E48"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E49" w14:textId="77777777" w:rsidR="00A658D0" w:rsidRDefault="00000000">
            <w:pPr>
              <w:jc w:val="both"/>
              <w:rPr>
                <w:rFonts w:ascii="Arial Narrow" w:hAnsi="Arial Narrow"/>
                <w:sz w:val="22"/>
                <w:szCs w:val="22"/>
              </w:rPr>
            </w:pPr>
            <w:r>
              <w:rPr>
                <w:rFonts w:ascii="Arial Narrow" w:hAnsi="Arial Narrow"/>
                <w:sz w:val="22"/>
                <w:szCs w:val="22"/>
              </w:rPr>
              <w:t>Corredores de reaseguros extranjeros</w:t>
            </w:r>
          </w:p>
        </w:tc>
      </w:tr>
      <w:tr w:rsidR="00A658D0" w14:paraId="06B49E4F" w14:textId="77777777">
        <w:tc>
          <w:tcPr>
            <w:tcW w:w="779" w:type="dxa"/>
          </w:tcPr>
          <w:p w14:paraId="06B49E4B"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E4C" w14:textId="77777777" w:rsidR="00A658D0" w:rsidRDefault="00000000">
            <w:pPr>
              <w:jc w:val="center"/>
              <w:rPr>
                <w:rFonts w:ascii="Arial Narrow" w:hAnsi="Arial Narrow"/>
                <w:sz w:val="22"/>
                <w:szCs w:val="22"/>
              </w:rPr>
            </w:pPr>
            <w:r>
              <w:rPr>
                <w:rFonts w:ascii="Arial Narrow" w:hAnsi="Arial Narrow"/>
                <w:sz w:val="22"/>
                <w:szCs w:val="22"/>
              </w:rPr>
              <w:t>97</w:t>
            </w:r>
          </w:p>
        </w:tc>
        <w:tc>
          <w:tcPr>
            <w:tcW w:w="709" w:type="dxa"/>
            <w:tcBorders>
              <w:top w:val="single" w:sz="6" w:space="0" w:color="auto"/>
              <w:left w:val="single" w:sz="6" w:space="0" w:color="auto"/>
              <w:bottom w:val="single" w:sz="6" w:space="0" w:color="auto"/>
              <w:right w:val="single" w:sz="6" w:space="0" w:color="auto"/>
            </w:tcBorders>
          </w:tcPr>
          <w:p w14:paraId="06B49E4D"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E4E" w14:textId="77777777" w:rsidR="00A658D0" w:rsidRDefault="00000000">
            <w:pPr>
              <w:jc w:val="both"/>
              <w:rPr>
                <w:rFonts w:ascii="Arial Narrow" w:hAnsi="Arial Narrow"/>
                <w:sz w:val="22"/>
                <w:szCs w:val="22"/>
              </w:rPr>
            </w:pPr>
            <w:r>
              <w:rPr>
                <w:rFonts w:ascii="Arial Narrow" w:hAnsi="Arial Narrow"/>
                <w:sz w:val="22"/>
                <w:szCs w:val="22"/>
              </w:rPr>
              <w:t xml:space="preserve">Reaseguradoras extranjeras que cuentan con calificación </w:t>
            </w:r>
          </w:p>
        </w:tc>
      </w:tr>
      <w:tr w:rsidR="00A658D0" w14:paraId="06B49E54" w14:textId="77777777">
        <w:tc>
          <w:tcPr>
            <w:tcW w:w="779" w:type="dxa"/>
          </w:tcPr>
          <w:p w14:paraId="06B49E50" w14:textId="77777777" w:rsidR="00A658D0" w:rsidRDefault="00A658D0">
            <w:pPr>
              <w:jc w:val="both"/>
              <w:rPr>
                <w:rFonts w:ascii="Arial Narrow" w:hAnsi="Arial Narrow"/>
                <w:sz w:val="22"/>
                <w:szCs w:val="22"/>
              </w:rPr>
            </w:pPr>
          </w:p>
        </w:tc>
        <w:tc>
          <w:tcPr>
            <w:tcW w:w="709" w:type="dxa"/>
            <w:tcBorders>
              <w:top w:val="single" w:sz="6" w:space="0" w:color="auto"/>
              <w:left w:val="single" w:sz="12" w:space="0" w:color="auto"/>
              <w:bottom w:val="single" w:sz="6" w:space="0" w:color="auto"/>
              <w:right w:val="single" w:sz="6" w:space="0" w:color="auto"/>
            </w:tcBorders>
          </w:tcPr>
          <w:p w14:paraId="06B49E51" w14:textId="77777777" w:rsidR="00A658D0" w:rsidRDefault="00000000">
            <w:pPr>
              <w:jc w:val="center"/>
              <w:rPr>
                <w:rFonts w:ascii="Arial Narrow" w:hAnsi="Arial Narrow"/>
                <w:sz w:val="22"/>
                <w:szCs w:val="22"/>
              </w:rPr>
            </w:pPr>
            <w:r>
              <w:rPr>
                <w:rFonts w:ascii="Arial Narrow" w:hAnsi="Arial Narrow"/>
                <w:sz w:val="22"/>
                <w:szCs w:val="22"/>
              </w:rPr>
              <w:t>98</w:t>
            </w:r>
          </w:p>
        </w:tc>
        <w:tc>
          <w:tcPr>
            <w:tcW w:w="709" w:type="dxa"/>
            <w:tcBorders>
              <w:top w:val="single" w:sz="6" w:space="0" w:color="auto"/>
              <w:left w:val="single" w:sz="6" w:space="0" w:color="auto"/>
              <w:bottom w:val="single" w:sz="6" w:space="0" w:color="auto"/>
              <w:right w:val="single" w:sz="6" w:space="0" w:color="auto"/>
            </w:tcBorders>
          </w:tcPr>
          <w:p w14:paraId="06B49E52" w14:textId="77777777" w:rsidR="00A658D0" w:rsidRDefault="00000000">
            <w:pPr>
              <w:jc w:val="center"/>
              <w:rPr>
                <w:rFonts w:ascii="Arial Narrow" w:hAnsi="Arial Narrow"/>
                <w:sz w:val="22"/>
                <w:szCs w:val="22"/>
              </w:rPr>
            </w:pPr>
            <w:r>
              <w:rPr>
                <w:rFonts w:ascii="Arial Narrow" w:hAnsi="Arial Narrow"/>
                <w:sz w:val="22"/>
                <w:szCs w:val="22"/>
              </w:rPr>
              <w:t>S</w:t>
            </w:r>
          </w:p>
        </w:tc>
        <w:tc>
          <w:tcPr>
            <w:tcW w:w="5103" w:type="dxa"/>
            <w:tcBorders>
              <w:top w:val="single" w:sz="6" w:space="0" w:color="auto"/>
              <w:left w:val="single" w:sz="6" w:space="0" w:color="auto"/>
              <w:bottom w:val="single" w:sz="6" w:space="0" w:color="auto"/>
              <w:right w:val="single" w:sz="12" w:space="0" w:color="auto"/>
            </w:tcBorders>
          </w:tcPr>
          <w:p w14:paraId="06B49E53" w14:textId="77777777" w:rsidR="00A658D0" w:rsidRDefault="00000000">
            <w:pPr>
              <w:jc w:val="both"/>
              <w:rPr>
                <w:rFonts w:ascii="Arial Narrow" w:hAnsi="Arial Narrow"/>
                <w:sz w:val="22"/>
                <w:szCs w:val="22"/>
              </w:rPr>
            </w:pPr>
            <w:r>
              <w:rPr>
                <w:rFonts w:ascii="Arial Narrow" w:hAnsi="Arial Narrow"/>
                <w:sz w:val="22"/>
                <w:szCs w:val="22"/>
              </w:rPr>
              <w:t xml:space="preserve">Reaseguradoras extranjeras que no cuentan con calificación </w:t>
            </w:r>
          </w:p>
        </w:tc>
      </w:tr>
      <w:tr w:rsidR="00A658D0" w14:paraId="06B49E59" w14:textId="77777777">
        <w:tc>
          <w:tcPr>
            <w:tcW w:w="779" w:type="dxa"/>
          </w:tcPr>
          <w:p w14:paraId="06B49E55" w14:textId="77777777" w:rsidR="00A658D0" w:rsidRDefault="00A658D0">
            <w:pPr>
              <w:jc w:val="both"/>
              <w:rPr>
                <w:rFonts w:ascii="Arial Narrow" w:hAnsi="Arial Narrow"/>
                <w:sz w:val="22"/>
                <w:szCs w:val="22"/>
              </w:rPr>
            </w:pPr>
          </w:p>
        </w:tc>
        <w:tc>
          <w:tcPr>
            <w:tcW w:w="709" w:type="dxa"/>
            <w:tcBorders>
              <w:left w:val="single" w:sz="12" w:space="0" w:color="auto"/>
              <w:bottom w:val="single" w:sz="12" w:space="0" w:color="auto"/>
              <w:right w:val="single" w:sz="6" w:space="0" w:color="auto"/>
            </w:tcBorders>
          </w:tcPr>
          <w:p w14:paraId="06B49E56" w14:textId="77777777" w:rsidR="00A658D0" w:rsidRDefault="00000000">
            <w:pPr>
              <w:jc w:val="center"/>
              <w:rPr>
                <w:rFonts w:ascii="Arial Narrow" w:hAnsi="Arial Narrow"/>
                <w:sz w:val="22"/>
                <w:szCs w:val="22"/>
              </w:rPr>
            </w:pPr>
            <w:r>
              <w:rPr>
                <w:rFonts w:ascii="Arial Narrow" w:hAnsi="Arial Narrow"/>
                <w:sz w:val="22"/>
                <w:szCs w:val="22"/>
              </w:rPr>
              <w:t>99</w:t>
            </w:r>
          </w:p>
        </w:tc>
        <w:tc>
          <w:tcPr>
            <w:tcW w:w="709" w:type="dxa"/>
            <w:tcBorders>
              <w:left w:val="single" w:sz="6" w:space="0" w:color="auto"/>
              <w:bottom w:val="single" w:sz="12" w:space="0" w:color="auto"/>
              <w:right w:val="single" w:sz="6" w:space="0" w:color="auto"/>
            </w:tcBorders>
          </w:tcPr>
          <w:p w14:paraId="06B49E57" w14:textId="77777777" w:rsidR="00A658D0" w:rsidRDefault="00000000">
            <w:pPr>
              <w:jc w:val="center"/>
              <w:rPr>
                <w:rFonts w:ascii="Arial Narrow" w:hAnsi="Arial Narrow"/>
                <w:sz w:val="22"/>
                <w:szCs w:val="22"/>
              </w:rPr>
            </w:pPr>
            <w:r>
              <w:rPr>
                <w:rFonts w:ascii="Arial Narrow" w:hAnsi="Arial Narrow"/>
                <w:sz w:val="22"/>
                <w:szCs w:val="22"/>
              </w:rPr>
              <w:t>(*)</w:t>
            </w:r>
          </w:p>
        </w:tc>
        <w:tc>
          <w:tcPr>
            <w:tcW w:w="5103" w:type="dxa"/>
            <w:tcBorders>
              <w:left w:val="single" w:sz="6" w:space="0" w:color="auto"/>
              <w:bottom w:val="single" w:sz="12" w:space="0" w:color="auto"/>
              <w:right w:val="single" w:sz="12" w:space="0" w:color="auto"/>
            </w:tcBorders>
          </w:tcPr>
          <w:p w14:paraId="06B49E58" w14:textId="77777777" w:rsidR="00A658D0" w:rsidRDefault="00000000">
            <w:pPr>
              <w:jc w:val="both"/>
              <w:rPr>
                <w:rFonts w:ascii="Arial Narrow" w:hAnsi="Arial Narrow"/>
                <w:sz w:val="22"/>
                <w:szCs w:val="22"/>
              </w:rPr>
            </w:pPr>
            <w:r>
              <w:rPr>
                <w:rFonts w:ascii="Arial Narrow" w:hAnsi="Arial Narrow"/>
                <w:sz w:val="22"/>
                <w:szCs w:val="22"/>
              </w:rPr>
              <w:t>Clientes varios</w:t>
            </w:r>
          </w:p>
        </w:tc>
      </w:tr>
    </w:tbl>
    <w:p w14:paraId="06B49E5A" w14:textId="77777777" w:rsidR="00A658D0" w:rsidRDefault="00000000">
      <w:pPr>
        <w:ind w:left="568" w:firstLine="284"/>
        <w:rPr>
          <w:rFonts w:ascii="Arial Narrow" w:hAnsi="Arial Narrow"/>
          <w:sz w:val="18"/>
          <w:szCs w:val="18"/>
        </w:rPr>
      </w:pPr>
      <w:r>
        <w:rPr>
          <w:rFonts w:ascii="Arial Narrow" w:hAnsi="Arial Narrow"/>
          <w:sz w:val="18"/>
          <w:szCs w:val="18"/>
        </w:rPr>
        <w:lastRenderedPageBreak/>
        <w:t xml:space="preserve">(*) </w:t>
      </w:r>
      <w:r>
        <w:rPr>
          <w:rFonts w:ascii="Arial Narrow" w:hAnsi="Arial Narrow"/>
          <w:sz w:val="18"/>
          <w:szCs w:val="18"/>
        </w:rPr>
        <w:tab/>
        <w:t>Para ser utilizado cuando las cuentas por cobrar y los ingresos provengan de clientes.</w:t>
      </w:r>
    </w:p>
    <w:p w14:paraId="06B49E5B" w14:textId="77777777" w:rsidR="00A658D0" w:rsidRDefault="00A658D0">
      <w:pPr>
        <w:sectPr w:rsidR="00A658D0">
          <w:headerReference w:type="default" r:id="rId8"/>
          <w:footerReference w:type="default" r:id="rId9"/>
          <w:pgSz w:w="11907" w:h="16840"/>
          <w:pgMar w:top="2268" w:right="1701" w:bottom="1418" w:left="1985" w:header="720" w:footer="720" w:gutter="0"/>
          <w:cols w:space="720"/>
          <w:docGrid w:linePitch="272"/>
        </w:sectPr>
      </w:pPr>
    </w:p>
    <w:p w14:paraId="06B49E5C" w14:textId="77777777" w:rsidR="00A658D0" w:rsidRDefault="00000000">
      <w:pPr>
        <w:jc w:val="right"/>
        <w:rPr>
          <w:rFonts w:ascii="Arial Narrow" w:hAnsi="Arial Narrow"/>
          <w:b/>
          <w:sz w:val="22"/>
          <w:szCs w:val="18"/>
        </w:rPr>
      </w:pPr>
      <w:r>
        <w:rPr>
          <w:rFonts w:ascii="Arial Narrow" w:hAnsi="Arial Narrow"/>
          <w:b/>
          <w:sz w:val="22"/>
          <w:szCs w:val="18"/>
        </w:rPr>
        <w:lastRenderedPageBreak/>
        <w:t>ANEXO 1</w:t>
      </w:r>
    </w:p>
    <w:p w14:paraId="06B49E5D" w14:textId="77777777" w:rsidR="00A658D0" w:rsidRDefault="00000000">
      <w:pPr>
        <w:jc w:val="center"/>
        <w:rPr>
          <w:rFonts w:ascii="Arial Narrow" w:hAnsi="Arial Narrow"/>
          <w:b/>
          <w:sz w:val="22"/>
          <w:szCs w:val="18"/>
        </w:rPr>
      </w:pPr>
      <w:r>
        <w:rPr>
          <w:rFonts w:ascii="Arial Narrow" w:hAnsi="Arial Narrow"/>
          <w:b/>
          <w:sz w:val="22"/>
          <w:szCs w:val="18"/>
        </w:rPr>
        <w:t>NOTA REFERIDA A LAS CATEGORÍAS DE INSTRUMENTOS FINANCIEROS</w:t>
      </w:r>
    </w:p>
    <w:p w14:paraId="06B49E5E" w14:textId="77777777" w:rsidR="00A658D0" w:rsidRDefault="00A658D0"/>
    <w:tbl>
      <w:tblPr>
        <w:tblW w:w="11484" w:type="dxa"/>
        <w:jc w:val="center"/>
        <w:tblCellMar>
          <w:left w:w="70" w:type="dxa"/>
          <w:right w:w="70" w:type="dxa"/>
        </w:tblCellMar>
        <w:tblLook w:val="04A0" w:firstRow="1" w:lastRow="0" w:firstColumn="1" w:lastColumn="0" w:noHBand="0" w:noVBand="1"/>
      </w:tblPr>
      <w:tblGrid>
        <w:gridCol w:w="5016"/>
        <w:gridCol w:w="1183"/>
        <w:gridCol w:w="752"/>
        <w:gridCol w:w="177"/>
        <w:gridCol w:w="956"/>
        <w:gridCol w:w="177"/>
        <w:gridCol w:w="1176"/>
        <w:gridCol w:w="177"/>
        <w:gridCol w:w="982"/>
        <w:gridCol w:w="888"/>
      </w:tblGrid>
      <w:tr w:rsidR="00A658D0" w14:paraId="06B49E67" w14:textId="77777777">
        <w:trPr>
          <w:trHeight w:val="765"/>
          <w:jc w:val="center"/>
        </w:trPr>
        <w:tc>
          <w:tcPr>
            <w:tcW w:w="5016" w:type="dxa"/>
            <w:tcBorders>
              <w:top w:val="nil"/>
              <w:left w:val="nil"/>
              <w:bottom w:val="nil"/>
              <w:right w:val="nil"/>
            </w:tcBorders>
            <w:shd w:val="clear" w:color="000000" w:fill="FFFFFF"/>
            <w:noWrap/>
            <w:vAlign w:val="bottom"/>
          </w:tcPr>
          <w:p w14:paraId="06B49E5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935" w:type="dxa"/>
            <w:gridSpan w:val="2"/>
            <w:tcBorders>
              <w:top w:val="nil"/>
              <w:left w:val="nil"/>
              <w:bottom w:val="single" w:sz="4" w:space="0" w:color="auto"/>
              <w:right w:val="nil"/>
            </w:tcBorders>
            <w:shd w:val="clear" w:color="000000" w:fill="FFFFFF"/>
            <w:noWrap/>
            <w:vAlign w:val="bottom"/>
          </w:tcPr>
          <w:p w14:paraId="06B49E60"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Activos y pasivos financieros designados a valor razonable</w:t>
            </w:r>
          </w:p>
        </w:tc>
        <w:tc>
          <w:tcPr>
            <w:tcW w:w="177" w:type="dxa"/>
            <w:tcBorders>
              <w:top w:val="nil"/>
              <w:left w:val="nil"/>
              <w:bottom w:val="nil"/>
              <w:right w:val="nil"/>
            </w:tcBorders>
            <w:shd w:val="clear" w:color="000000" w:fill="FFFFFF"/>
            <w:noWrap/>
            <w:vAlign w:val="bottom"/>
          </w:tcPr>
          <w:p w14:paraId="06B49E61"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956" w:type="dxa"/>
            <w:tcBorders>
              <w:top w:val="nil"/>
              <w:left w:val="nil"/>
              <w:bottom w:val="single" w:sz="4" w:space="0" w:color="auto"/>
              <w:right w:val="nil"/>
            </w:tcBorders>
            <w:shd w:val="clear" w:color="000000" w:fill="FFFFFF"/>
            <w:noWrap/>
            <w:vAlign w:val="bottom"/>
          </w:tcPr>
          <w:p w14:paraId="06B49E62"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Préstamos y Cuentas por Cobrar</w:t>
            </w:r>
          </w:p>
        </w:tc>
        <w:tc>
          <w:tcPr>
            <w:tcW w:w="177" w:type="dxa"/>
            <w:tcBorders>
              <w:top w:val="nil"/>
              <w:left w:val="nil"/>
              <w:bottom w:val="nil"/>
              <w:right w:val="nil"/>
            </w:tcBorders>
            <w:shd w:val="clear" w:color="000000" w:fill="FFFFFF"/>
            <w:noWrap/>
            <w:vAlign w:val="bottom"/>
          </w:tcPr>
          <w:p w14:paraId="06B49E63"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176" w:type="dxa"/>
            <w:tcBorders>
              <w:top w:val="nil"/>
              <w:left w:val="nil"/>
              <w:bottom w:val="single" w:sz="4" w:space="0" w:color="auto"/>
              <w:right w:val="nil"/>
            </w:tcBorders>
            <w:shd w:val="clear" w:color="000000" w:fill="FFFFFF"/>
            <w:noWrap/>
            <w:vAlign w:val="bottom"/>
          </w:tcPr>
          <w:p w14:paraId="06B49E64"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Inversiones Disponibles para la venta</w:t>
            </w:r>
          </w:p>
        </w:tc>
        <w:tc>
          <w:tcPr>
            <w:tcW w:w="177" w:type="dxa"/>
            <w:tcBorders>
              <w:top w:val="nil"/>
              <w:left w:val="nil"/>
              <w:bottom w:val="nil"/>
              <w:right w:val="nil"/>
            </w:tcBorders>
            <w:shd w:val="clear" w:color="000000" w:fill="FFFFFF"/>
            <w:noWrap/>
            <w:vAlign w:val="bottom"/>
          </w:tcPr>
          <w:p w14:paraId="06B49E65"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870" w:type="dxa"/>
            <w:gridSpan w:val="2"/>
            <w:tcBorders>
              <w:top w:val="nil"/>
              <w:left w:val="nil"/>
              <w:bottom w:val="single" w:sz="4" w:space="0" w:color="auto"/>
              <w:right w:val="nil"/>
            </w:tcBorders>
            <w:shd w:val="clear" w:color="000000" w:fill="FFFFFF"/>
            <w:noWrap/>
            <w:vAlign w:val="bottom"/>
          </w:tcPr>
          <w:p w14:paraId="06B49E66"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Instrumentos Financieros al costo amortizado</w:t>
            </w:r>
          </w:p>
        </w:tc>
      </w:tr>
      <w:tr w:rsidR="00A658D0" w14:paraId="06B49E72" w14:textId="77777777">
        <w:trPr>
          <w:trHeight w:val="66"/>
          <w:jc w:val="center"/>
        </w:trPr>
        <w:tc>
          <w:tcPr>
            <w:tcW w:w="5016" w:type="dxa"/>
            <w:tcBorders>
              <w:top w:val="nil"/>
              <w:left w:val="nil"/>
              <w:bottom w:val="nil"/>
              <w:right w:val="nil"/>
            </w:tcBorders>
            <w:shd w:val="clear" w:color="000000" w:fill="FFFFFF"/>
            <w:noWrap/>
            <w:vAlign w:val="bottom"/>
          </w:tcPr>
          <w:p w14:paraId="06B49E6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83" w:type="dxa"/>
            <w:tcBorders>
              <w:top w:val="nil"/>
              <w:left w:val="nil"/>
              <w:bottom w:val="nil"/>
              <w:right w:val="nil"/>
            </w:tcBorders>
            <w:shd w:val="clear" w:color="000000" w:fill="FFFFFF"/>
            <w:noWrap/>
          </w:tcPr>
          <w:p w14:paraId="06B49E69"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Para Negociación o con fines de cobertura</w:t>
            </w:r>
          </w:p>
        </w:tc>
        <w:tc>
          <w:tcPr>
            <w:tcW w:w="752" w:type="dxa"/>
            <w:tcBorders>
              <w:top w:val="nil"/>
              <w:left w:val="nil"/>
              <w:bottom w:val="nil"/>
              <w:right w:val="nil"/>
            </w:tcBorders>
            <w:shd w:val="clear" w:color="000000" w:fill="FFFFFF"/>
            <w:noWrap/>
          </w:tcPr>
          <w:p w14:paraId="06B49E6A"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Al momento inicial</w:t>
            </w:r>
          </w:p>
        </w:tc>
        <w:tc>
          <w:tcPr>
            <w:tcW w:w="177" w:type="dxa"/>
            <w:tcBorders>
              <w:top w:val="nil"/>
              <w:left w:val="nil"/>
              <w:bottom w:val="nil"/>
              <w:right w:val="nil"/>
            </w:tcBorders>
            <w:shd w:val="clear" w:color="000000" w:fill="FFFFFF"/>
            <w:vAlign w:val="bottom"/>
          </w:tcPr>
          <w:p w14:paraId="06B49E6B"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E6C"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6D"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E6E"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6F"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E70"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Activos mantenidos al vencimiento</w:t>
            </w:r>
          </w:p>
        </w:tc>
        <w:tc>
          <w:tcPr>
            <w:tcW w:w="888" w:type="dxa"/>
            <w:tcBorders>
              <w:top w:val="nil"/>
              <w:left w:val="nil"/>
              <w:bottom w:val="nil"/>
              <w:right w:val="nil"/>
            </w:tcBorders>
            <w:shd w:val="clear" w:color="000000" w:fill="FFFFFF"/>
            <w:noWrap/>
          </w:tcPr>
          <w:p w14:paraId="06B49E71"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Pasivos al costo amortizado</w:t>
            </w:r>
          </w:p>
        </w:tc>
      </w:tr>
      <w:tr w:rsidR="00A658D0" w14:paraId="06B49E7D" w14:textId="77777777">
        <w:trPr>
          <w:trHeight w:val="70"/>
          <w:jc w:val="center"/>
        </w:trPr>
        <w:tc>
          <w:tcPr>
            <w:tcW w:w="5016" w:type="dxa"/>
            <w:tcBorders>
              <w:top w:val="nil"/>
              <w:left w:val="nil"/>
              <w:bottom w:val="nil"/>
              <w:right w:val="nil"/>
            </w:tcBorders>
            <w:shd w:val="clear" w:color="000000" w:fill="FFFFFF"/>
            <w:noWrap/>
            <w:vAlign w:val="bottom"/>
          </w:tcPr>
          <w:p w14:paraId="06B49E73" w14:textId="77777777" w:rsidR="00A658D0" w:rsidRDefault="00000000">
            <w:pPr>
              <w:rPr>
                <w:rFonts w:ascii="Arial Narrow" w:hAnsi="Arial Narrow"/>
                <w:b/>
                <w:bCs/>
                <w:color w:val="000000"/>
                <w:sz w:val="16"/>
                <w:szCs w:val="16"/>
                <w:u w:val="single"/>
                <w:lang w:eastAsia="es-PE"/>
              </w:rPr>
            </w:pPr>
            <w:r>
              <w:rPr>
                <w:rFonts w:ascii="Arial Narrow" w:hAnsi="Arial Narrow"/>
                <w:b/>
                <w:bCs/>
                <w:color w:val="000000"/>
                <w:sz w:val="16"/>
                <w:szCs w:val="16"/>
                <w:u w:val="single"/>
                <w:lang w:eastAsia="es-PE"/>
              </w:rPr>
              <w:t>ACTIVO</w:t>
            </w:r>
          </w:p>
        </w:tc>
        <w:tc>
          <w:tcPr>
            <w:tcW w:w="1183" w:type="dxa"/>
            <w:tcBorders>
              <w:top w:val="nil"/>
              <w:left w:val="nil"/>
              <w:bottom w:val="nil"/>
              <w:right w:val="nil"/>
            </w:tcBorders>
            <w:shd w:val="clear" w:color="000000" w:fill="FFFFFF"/>
            <w:noWrap/>
            <w:vAlign w:val="bottom"/>
          </w:tcPr>
          <w:p w14:paraId="06B49E74"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S/. 000</w:t>
            </w:r>
          </w:p>
        </w:tc>
        <w:tc>
          <w:tcPr>
            <w:tcW w:w="752" w:type="dxa"/>
            <w:tcBorders>
              <w:top w:val="nil"/>
              <w:left w:val="nil"/>
              <w:bottom w:val="nil"/>
              <w:right w:val="nil"/>
            </w:tcBorders>
            <w:shd w:val="clear" w:color="000000" w:fill="FFFFFF"/>
            <w:noWrap/>
            <w:vAlign w:val="bottom"/>
          </w:tcPr>
          <w:p w14:paraId="06B49E75"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S/. 000</w:t>
            </w:r>
          </w:p>
        </w:tc>
        <w:tc>
          <w:tcPr>
            <w:tcW w:w="177" w:type="dxa"/>
            <w:tcBorders>
              <w:top w:val="nil"/>
              <w:left w:val="nil"/>
              <w:bottom w:val="nil"/>
              <w:right w:val="nil"/>
            </w:tcBorders>
            <w:shd w:val="clear" w:color="000000" w:fill="FFFFFF"/>
            <w:noWrap/>
            <w:vAlign w:val="bottom"/>
          </w:tcPr>
          <w:p w14:paraId="06B49E76"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E77"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78"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E79"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7A"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E7B"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S/. 000</w:t>
            </w:r>
          </w:p>
        </w:tc>
        <w:tc>
          <w:tcPr>
            <w:tcW w:w="888" w:type="dxa"/>
            <w:tcBorders>
              <w:top w:val="nil"/>
              <w:left w:val="nil"/>
              <w:bottom w:val="nil"/>
              <w:right w:val="nil"/>
            </w:tcBorders>
            <w:shd w:val="clear" w:color="000000" w:fill="FFFFFF"/>
            <w:noWrap/>
            <w:vAlign w:val="bottom"/>
          </w:tcPr>
          <w:p w14:paraId="06B49E7C"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S/. 000</w:t>
            </w:r>
          </w:p>
        </w:tc>
      </w:tr>
      <w:tr w:rsidR="00A658D0" w14:paraId="06B49E84" w14:textId="77777777">
        <w:trPr>
          <w:trHeight w:val="92"/>
          <w:jc w:val="center"/>
        </w:trPr>
        <w:tc>
          <w:tcPr>
            <w:tcW w:w="5016" w:type="dxa"/>
            <w:tcBorders>
              <w:top w:val="nil"/>
              <w:left w:val="nil"/>
              <w:bottom w:val="nil"/>
              <w:right w:val="nil"/>
            </w:tcBorders>
            <w:shd w:val="clear" w:color="000000" w:fill="FFFFFF"/>
          </w:tcPr>
          <w:p w14:paraId="06B49E7E"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Caja y Bancos</w:t>
            </w:r>
          </w:p>
        </w:tc>
        <w:tc>
          <w:tcPr>
            <w:tcW w:w="1183" w:type="dxa"/>
            <w:tcBorders>
              <w:top w:val="nil"/>
              <w:left w:val="nil"/>
              <w:bottom w:val="nil"/>
              <w:right w:val="nil"/>
            </w:tcBorders>
            <w:shd w:val="clear" w:color="000000" w:fill="FFFFFF"/>
          </w:tcPr>
          <w:p w14:paraId="06B49E7F"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80"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81"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82"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8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8B" w14:textId="77777777">
        <w:trPr>
          <w:trHeight w:val="70"/>
          <w:jc w:val="center"/>
        </w:trPr>
        <w:tc>
          <w:tcPr>
            <w:tcW w:w="5016" w:type="dxa"/>
            <w:tcBorders>
              <w:top w:val="nil"/>
              <w:left w:val="nil"/>
              <w:bottom w:val="nil"/>
              <w:right w:val="nil"/>
            </w:tcBorders>
            <w:shd w:val="clear" w:color="000000" w:fill="FFFFFF"/>
          </w:tcPr>
          <w:p w14:paraId="06B49E85"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 xml:space="preserve">Inversiones </w:t>
            </w:r>
            <w:proofErr w:type="gramStart"/>
            <w:r>
              <w:rPr>
                <w:rFonts w:ascii="Arial Narrow" w:hAnsi="Arial Narrow"/>
                <w:color w:val="000000"/>
                <w:sz w:val="16"/>
                <w:szCs w:val="16"/>
                <w:lang w:eastAsia="es-PE"/>
              </w:rPr>
              <w:t>Financieras  (</w:t>
            </w:r>
            <w:proofErr w:type="gramEnd"/>
            <w:r>
              <w:rPr>
                <w:rFonts w:ascii="Arial Narrow" w:hAnsi="Arial Narrow"/>
                <w:color w:val="000000"/>
                <w:sz w:val="16"/>
                <w:szCs w:val="16"/>
                <w:lang w:eastAsia="es-PE"/>
              </w:rPr>
              <w:t>neto)</w:t>
            </w:r>
          </w:p>
        </w:tc>
        <w:tc>
          <w:tcPr>
            <w:tcW w:w="1183" w:type="dxa"/>
            <w:tcBorders>
              <w:top w:val="nil"/>
              <w:left w:val="nil"/>
              <w:bottom w:val="nil"/>
              <w:right w:val="nil"/>
            </w:tcBorders>
            <w:shd w:val="clear" w:color="000000" w:fill="FFFFFF"/>
          </w:tcPr>
          <w:p w14:paraId="06B49E86"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87"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88"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89"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8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92" w14:textId="77777777">
        <w:trPr>
          <w:trHeight w:val="140"/>
          <w:jc w:val="center"/>
        </w:trPr>
        <w:tc>
          <w:tcPr>
            <w:tcW w:w="5016" w:type="dxa"/>
            <w:tcBorders>
              <w:top w:val="nil"/>
              <w:left w:val="nil"/>
              <w:bottom w:val="nil"/>
              <w:right w:val="nil"/>
            </w:tcBorders>
            <w:shd w:val="clear" w:color="000000" w:fill="FFFFFF"/>
          </w:tcPr>
          <w:p w14:paraId="06B49E8C"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Cobrar por Operaciones de Seguros (neto)</w:t>
            </w:r>
          </w:p>
        </w:tc>
        <w:tc>
          <w:tcPr>
            <w:tcW w:w="1183" w:type="dxa"/>
            <w:tcBorders>
              <w:top w:val="nil"/>
              <w:left w:val="nil"/>
              <w:bottom w:val="nil"/>
              <w:right w:val="nil"/>
            </w:tcBorders>
            <w:shd w:val="clear" w:color="000000" w:fill="FFFFFF"/>
          </w:tcPr>
          <w:p w14:paraId="06B49E8D"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8E"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8F"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90"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9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99" w14:textId="77777777">
        <w:trPr>
          <w:trHeight w:val="100"/>
          <w:jc w:val="center"/>
        </w:trPr>
        <w:tc>
          <w:tcPr>
            <w:tcW w:w="5016" w:type="dxa"/>
            <w:tcBorders>
              <w:top w:val="nil"/>
              <w:left w:val="nil"/>
              <w:bottom w:val="nil"/>
              <w:right w:val="nil"/>
            </w:tcBorders>
            <w:shd w:val="clear" w:color="000000" w:fill="FFFFFF"/>
          </w:tcPr>
          <w:p w14:paraId="06B49E93" w14:textId="77777777" w:rsidR="00A658D0" w:rsidRDefault="00000000">
            <w:pPr>
              <w:ind w:firstLineChars="100" w:firstLine="160"/>
              <w:rPr>
                <w:rFonts w:ascii="Arial Narrow" w:hAnsi="Arial Narrow"/>
                <w:color w:val="000000"/>
                <w:sz w:val="16"/>
                <w:szCs w:val="16"/>
                <w:lang w:eastAsia="es-PE"/>
              </w:rPr>
            </w:pPr>
            <w:r>
              <w:rPr>
                <w:rFonts w:ascii="Arial Narrow" w:hAnsi="Arial Narrow"/>
                <w:color w:val="000000"/>
                <w:sz w:val="16"/>
                <w:szCs w:val="16"/>
                <w:lang w:eastAsia="es-PE"/>
              </w:rPr>
              <w:t>Menos:  Cargas aplicadas sobre pólizas</w:t>
            </w:r>
          </w:p>
        </w:tc>
        <w:tc>
          <w:tcPr>
            <w:tcW w:w="1183" w:type="dxa"/>
            <w:tcBorders>
              <w:top w:val="nil"/>
              <w:left w:val="nil"/>
              <w:bottom w:val="nil"/>
              <w:right w:val="nil"/>
            </w:tcBorders>
            <w:shd w:val="clear" w:color="000000" w:fill="FFFFFF"/>
          </w:tcPr>
          <w:p w14:paraId="06B49E94"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95"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96"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97"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9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A0" w14:textId="77777777">
        <w:trPr>
          <w:trHeight w:val="187"/>
          <w:jc w:val="center"/>
        </w:trPr>
        <w:tc>
          <w:tcPr>
            <w:tcW w:w="5016" w:type="dxa"/>
            <w:tcBorders>
              <w:top w:val="nil"/>
              <w:left w:val="nil"/>
              <w:bottom w:val="nil"/>
              <w:right w:val="nil"/>
            </w:tcBorders>
            <w:shd w:val="clear" w:color="000000" w:fill="FFFFFF"/>
          </w:tcPr>
          <w:p w14:paraId="06B49E9A"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cobrar por operaciones sujetas a riesgo crediticio (neto)</w:t>
            </w:r>
          </w:p>
        </w:tc>
        <w:tc>
          <w:tcPr>
            <w:tcW w:w="1183" w:type="dxa"/>
            <w:tcBorders>
              <w:top w:val="nil"/>
              <w:left w:val="nil"/>
              <w:bottom w:val="nil"/>
              <w:right w:val="nil"/>
            </w:tcBorders>
            <w:shd w:val="clear" w:color="000000" w:fill="FFFFFF"/>
          </w:tcPr>
          <w:p w14:paraId="06B49E9B"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9C"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9D"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9E"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9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A7" w14:textId="77777777">
        <w:trPr>
          <w:trHeight w:val="148"/>
          <w:jc w:val="center"/>
        </w:trPr>
        <w:tc>
          <w:tcPr>
            <w:tcW w:w="5016" w:type="dxa"/>
            <w:tcBorders>
              <w:top w:val="nil"/>
              <w:left w:val="nil"/>
              <w:bottom w:val="nil"/>
              <w:right w:val="nil"/>
            </w:tcBorders>
            <w:shd w:val="clear" w:color="000000" w:fill="FFFFFF"/>
          </w:tcPr>
          <w:p w14:paraId="06B49EA1"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cobrar a Reaseguradores y Coaseguradores (neto)</w:t>
            </w:r>
          </w:p>
        </w:tc>
        <w:tc>
          <w:tcPr>
            <w:tcW w:w="1183" w:type="dxa"/>
            <w:tcBorders>
              <w:top w:val="nil"/>
              <w:left w:val="nil"/>
              <w:bottom w:val="nil"/>
              <w:right w:val="nil"/>
            </w:tcBorders>
            <w:shd w:val="clear" w:color="000000" w:fill="FFFFFF"/>
          </w:tcPr>
          <w:p w14:paraId="06B49EA2"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A3"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A4"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A5"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A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AE" w14:textId="77777777">
        <w:trPr>
          <w:trHeight w:val="70"/>
          <w:jc w:val="center"/>
        </w:trPr>
        <w:tc>
          <w:tcPr>
            <w:tcW w:w="5016" w:type="dxa"/>
            <w:tcBorders>
              <w:top w:val="nil"/>
              <w:left w:val="nil"/>
              <w:bottom w:val="nil"/>
              <w:right w:val="nil"/>
            </w:tcBorders>
            <w:shd w:val="clear" w:color="000000" w:fill="FFFFFF"/>
          </w:tcPr>
          <w:p w14:paraId="06B49EA8"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cobrar diversas (neto)</w:t>
            </w:r>
          </w:p>
        </w:tc>
        <w:tc>
          <w:tcPr>
            <w:tcW w:w="1183" w:type="dxa"/>
            <w:tcBorders>
              <w:top w:val="nil"/>
              <w:left w:val="nil"/>
              <w:bottom w:val="nil"/>
              <w:right w:val="nil"/>
            </w:tcBorders>
            <w:shd w:val="clear" w:color="000000" w:fill="FFFFFF"/>
          </w:tcPr>
          <w:p w14:paraId="06B49EA9"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AA"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AB"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AC"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A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B5" w14:textId="77777777">
        <w:trPr>
          <w:trHeight w:val="70"/>
          <w:jc w:val="center"/>
        </w:trPr>
        <w:tc>
          <w:tcPr>
            <w:tcW w:w="5016" w:type="dxa"/>
            <w:tcBorders>
              <w:top w:val="nil"/>
              <w:left w:val="nil"/>
              <w:bottom w:val="nil"/>
              <w:right w:val="nil"/>
            </w:tcBorders>
            <w:shd w:val="clear" w:color="000000" w:fill="FFFFFF"/>
          </w:tcPr>
          <w:p w14:paraId="06B49EAF"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cobrar por productos financieros derivados para negociación</w:t>
            </w:r>
          </w:p>
        </w:tc>
        <w:tc>
          <w:tcPr>
            <w:tcW w:w="1183" w:type="dxa"/>
            <w:tcBorders>
              <w:top w:val="nil"/>
              <w:left w:val="nil"/>
              <w:bottom w:val="nil"/>
              <w:right w:val="nil"/>
            </w:tcBorders>
            <w:shd w:val="clear" w:color="000000" w:fill="FFFFFF"/>
          </w:tcPr>
          <w:p w14:paraId="06B49EB0"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B1"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B2"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B3"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B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BC" w14:textId="77777777">
        <w:trPr>
          <w:trHeight w:val="142"/>
          <w:jc w:val="center"/>
        </w:trPr>
        <w:tc>
          <w:tcPr>
            <w:tcW w:w="5016" w:type="dxa"/>
            <w:tcBorders>
              <w:top w:val="nil"/>
              <w:left w:val="nil"/>
              <w:bottom w:val="nil"/>
              <w:right w:val="nil"/>
            </w:tcBorders>
            <w:shd w:val="clear" w:color="000000" w:fill="FFFFFF"/>
          </w:tcPr>
          <w:p w14:paraId="06B49EB6"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cobrar por productos financieros derivados con fines de cobertura</w:t>
            </w:r>
          </w:p>
        </w:tc>
        <w:tc>
          <w:tcPr>
            <w:tcW w:w="1183" w:type="dxa"/>
            <w:tcBorders>
              <w:top w:val="nil"/>
              <w:left w:val="nil"/>
              <w:bottom w:val="nil"/>
              <w:right w:val="nil"/>
            </w:tcBorders>
            <w:shd w:val="clear" w:color="000000" w:fill="FFFFFF"/>
          </w:tcPr>
          <w:p w14:paraId="06B49EB7"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B8"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B9"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BA"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B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C3" w14:textId="77777777">
        <w:trPr>
          <w:trHeight w:val="102"/>
          <w:jc w:val="center"/>
        </w:trPr>
        <w:tc>
          <w:tcPr>
            <w:tcW w:w="5016" w:type="dxa"/>
            <w:tcBorders>
              <w:top w:val="nil"/>
              <w:left w:val="nil"/>
              <w:bottom w:val="nil"/>
              <w:right w:val="nil"/>
            </w:tcBorders>
            <w:shd w:val="clear" w:color="000000" w:fill="FFFFFF"/>
          </w:tcPr>
          <w:p w14:paraId="06B49EBD"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 xml:space="preserve">Cuentas por cobrar por </w:t>
            </w:r>
            <w:proofErr w:type="spellStart"/>
            <w:r>
              <w:rPr>
                <w:rFonts w:ascii="Arial Narrow" w:hAnsi="Arial Narrow"/>
                <w:color w:val="000000"/>
                <w:sz w:val="16"/>
                <w:szCs w:val="16"/>
                <w:lang w:eastAsia="es-PE"/>
              </w:rPr>
              <w:t>macro-coberturas</w:t>
            </w:r>
            <w:proofErr w:type="spellEnd"/>
          </w:p>
        </w:tc>
        <w:tc>
          <w:tcPr>
            <w:tcW w:w="1183" w:type="dxa"/>
            <w:tcBorders>
              <w:top w:val="nil"/>
              <w:left w:val="nil"/>
              <w:bottom w:val="nil"/>
              <w:right w:val="nil"/>
            </w:tcBorders>
            <w:shd w:val="clear" w:color="000000" w:fill="FFFFFF"/>
          </w:tcPr>
          <w:p w14:paraId="06B49EBE"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BF"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C0"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C1"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C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CA" w14:textId="77777777">
        <w:trPr>
          <w:trHeight w:val="203"/>
          <w:jc w:val="center"/>
        </w:trPr>
        <w:tc>
          <w:tcPr>
            <w:tcW w:w="5016" w:type="dxa"/>
            <w:tcBorders>
              <w:top w:val="nil"/>
              <w:left w:val="nil"/>
              <w:bottom w:val="nil"/>
              <w:right w:val="nil"/>
            </w:tcBorders>
            <w:shd w:val="clear" w:color="000000" w:fill="FFFFFF"/>
          </w:tcPr>
          <w:p w14:paraId="06B49EC4"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Inversiones (neto)</w:t>
            </w:r>
          </w:p>
        </w:tc>
        <w:tc>
          <w:tcPr>
            <w:tcW w:w="1183" w:type="dxa"/>
            <w:tcBorders>
              <w:top w:val="nil"/>
              <w:left w:val="nil"/>
              <w:bottom w:val="nil"/>
              <w:right w:val="nil"/>
            </w:tcBorders>
            <w:shd w:val="clear" w:color="000000" w:fill="FFFFFF"/>
          </w:tcPr>
          <w:p w14:paraId="06B49EC5"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885" w:type="dxa"/>
            <w:gridSpan w:val="3"/>
            <w:tcBorders>
              <w:top w:val="nil"/>
              <w:left w:val="nil"/>
              <w:bottom w:val="nil"/>
              <w:right w:val="nil"/>
            </w:tcBorders>
            <w:shd w:val="clear" w:color="000000" w:fill="FFFFFF"/>
          </w:tcPr>
          <w:p w14:paraId="06B49EC6"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C7"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2335" w:type="dxa"/>
            <w:gridSpan w:val="3"/>
            <w:tcBorders>
              <w:top w:val="nil"/>
              <w:left w:val="nil"/>
              <w:bottom w:val="nil"/>
              <w:right w:val="nil"/>
            </w:tcBorders>
            <w:shd w:val="clear" w:color="000000" w:fill="FFFFFF"/>
          </w:tcPr>
          <w:p w14:paraId="06B49EC8"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C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D5" w14:textId="77777777">
        <w:trPr>
          <w:trHeight w:val="70"/>
          <w:jc w:val="center"/>
        </w:trPr>
        <w:tc>
          <w:tcPr>
            <w:tcW w:w="5016" w:type="dxa"/>
            <w:tcBorders>
              <w:top w:val="nil"/>
              <w:left w:val="nil"/>
              <w:bottom w:val="nil"/>
              <w:right w:val="nil"/>
            </w:tcBorders>
            <w:shd w:val="clear" w:color="000000" w:fill="FFFFFF"/>
          </w:tcPr>
          <w:p w14:paraId="06B49ECB"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83" w:type="dxa"/>
            <w:tcBorders>
              <w:top w:val="nil"/>
              <w:left w:val="nil"/>
              <w:bottom w:val="nil"/>
              <w:right w:val="nil"/>
            </w:tcBorders>
            <w:shd w:val="clear" w:color="000000" w:fill="FFFFFF"/>
          </w:tcPr>
          <w:p w14:paraId="06B49ECC"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2" w:type="dxa"/>
            <w:tcBorders>
              <w:top w:val="nil"/>
              <w:left w:val="nil"/>
              <w:bottom w:val="nil"/>
              <w:right w:val="nil"/>
            </w:tcBorders>
            <w:shd w:val="clear" w:color="000000" w:fill="FFFFFF"/>
          </w:tcPr>
          <w:p w14:paraId="06B49ECD"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CE"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956" w:type="dxa"/>
            <w:tcBorders>
              <w:top w:val="nil"/>
              <w:left w:val="nil"/>
              <w:bottom w:val="nil"/>
              <w:right w:val="nil"/>
            </w:tcBorders>
            <w:shd w:val="clear" w:color="000000" w:fill="FFFFFF"/>
          </w:tcPr>
          <w:p w14:paraId="06B49ECF"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D0"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76" w:type="dxa"/>
            <w:tcBorders>
              <w:top w:val="nil"/>
              <w:left w:val="nil"/>
              <w:bottom w:val="nil"/>
              <w:right w:val="nil"/>
            </w:tcBorders>
            <w:shd w:val="clear" w:color="000000" w:fill="FFFFFF"/>
          </w:tcPr>
          <w:p w14:paraId="06B49ED1"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D2"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982" w:type="dxa"/>
            <w:tcBorders>
              <w:top w:val="nil"/>
              <w:left w:val="nil"/>
              <w:bottom w:val="nil"/>
              <w:right w:val="nil"/>
            </w:tcBorders>
            <w:shd w:val="clear" w:color="000000" w:fill="FFFFFF"/>
          </w:tcPr>
          <w:p w14:paraId="06B49ED3"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nil"/>
              <w:left w:val="nil"/>
              <w:bottom w:val="nil"/>
              <w:right w:val="nil"/>
            </w:tcBorders>
            <w:shd w:val="clear" w:color="000000" w:fill="FFFFFF"/>
            <w:vAlign w:val="bottom"/>
          </w:tcPr>
          <w:p w14:paraId="06B49ED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E0" w14:textId="77777777">
        <w:trPr>
          <w:trHeight w:val="315"/>
          <w:jc w:val="center"/>
        </w:trPr>
        <w:tc>
          <w:tcPr>
            <w:tcW w:w="5016" w:type="dxa"/>
            <w:tcBorders>
              <w:top w:val="nil"/>
              <w:left w:val="nil"/>
              <w:bottom w:val="nil"/>
              <w:right w:val="nil"/>
            </w:tcBorders>
            <w:shd w:val="clear" w:color="000000" w:fill="FFFFFF"/>
          </w:tcPr>
          <w:p w14:paraId="06B49ED6" w14:textId="77777777" w:rsidR="00A658D0" w:rsidRDefault="00000000">
            <w:pPr>
              <w:jc w:val="both"/>
              <w:rPr>
                <w:rFonts w:ascii="Arial Narrow" w:hAnsi="Arial Narrow"/>
                <w:b/>
                <w:bCs/>
                <w:color w:val="000000"/>
                <w:sz w:val="16"/>
                <w:szCs w:val="16"/>
                <w:lang w:eastAsia="es-PE"/>
              </w:rPr>
            </w:pPr>
            <w:proofErr w:type="gramStart"/>
            <w:r>
              <w:rPr>
                <w:rFonts w:ascii="Arial Narrow" w:hAnsi="Arial Narrow"/>
                <w:b/>
                <w:bCs/>
                <w:color w:val="000000"/>
                <w:sz w:val="16"/>
                <w:szCs w:val="16"/>
                <w:lang w:eastAsia="es-PE"/>
              </w:rPr>
              <w:t>TOTAL</w:t>
            </w:r>
            <w:proofErr w:type="gramEnd"/>
            <w:r>
              <w:rPr>
                <w:rFonts w:ascii="Arial Narrow" w:hAnsi="Arial Narrow"/>
                <w:b/>
                <w:bCs/>
                <w:color w:val="000000"/>
                <w:sz w:val="16"/>
                <w:szCs w:val="16"/>
                <w:lang w:eastAsia="es-PE"/>
              </w:rPr>
              <w:t xml:space="preserve"> ACTIVO</w:t>
            </w:r>
          </w:p>
        </w:tc>
        <w:tc>
          <w:tcPr>
            <w:tcW w:w="1183" w:type="dxa"/>
            <w:tcBorders>
              <w:top w:val="single" w:sz="4" w:space="0" w:color="auto"/>
              <w:left w:val="nil"/>
              <w:bottom w:val="single" w:sz="8" w:space="0" w:color="auto"/>
              <w:right w:val="nil"/>
            </w:tcBorders>
            <w:shd w:val="clear" w:color="000000" w:fill="FFFFFF"/>
          </w:tcPr>
          <w:p w14:paraId="06B49ED7"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2" w:type="dxa"/>
            <w:tcBorders>
              <w:top w:val="single" w:sz="4" w:space="0" w:color="auto"/>
              <w:left w:val="nil"/>
              <w:bottom w:val="single" w:sz="8" w:space="0" w:color="auto"/>
              <w:right w:val="nil"/>
            </w:tcBorders>
            <w:shd w:val="clear" w:color="000000" w:fill="FFFFFF"/>
          </w:tcPr>
          <w:p w14:paraId="06B49ED8"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D9"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956" w:type="dxa"/>
            <w:tcBorders>
              <w:top w:val="single" w:sz="4" w:space="0" w:color="auto"/>
              <w:left w:val="nil"/>
              <w:bottom w:val="single" w:sz="8" w:space="0" w:color="auto"/>
              <w:right w:val="nil"/>
            </w:tcBorders>
            <w:shd w:val="clear" w:color="000000" w:fill="FFFFFF"/>
          </w:tcPr>
          <w:p w14:paraId="06B49EDA"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DB"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76" w:type="dxa"/>
            <w:tcBorders>
              <w:top w:val="single" w:sz="4" w:space="0" w:color="auto"/>
              <w:left w:val="nil"/>
              <w:bottom w:val="single" w:sz="8" w:space="0" w:color="auto"/>
              <w:right w:val="nil"/>
            </w:tcBorders>
            <w:shd w:val="clear" w:color="000000" w:fill="FFFFFF"/>
          </w:tcPr>
          <w:p w14:paraId="06B49EDC"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EDD"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982" w:type="dxa"/>
            <w:tcBorders>
              <w:top w:val="single" w:sz="4" w:space="0" w:color="auto"/>
              <w:left w:val="nil"/>
              <w:bottom w:val="single" w:sz="8" w:space="0" w:color="auto"/>
              <w:right w:val="nil"/>
            </w:tcBorders>
            <w:shd w:val="clear" w:color="000000" w:fill="FFFFFF"/>
          </w:tcPr>
          <w:p w14:paraId="06B49EDE"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single" w:sz="4" w:space="0" w:color="auto"/>
              <w:left w:val="nil"/>
              <w:bottom w:val="single" w:sz="8" w:space="0" w:color="auto"/>
              <w:right w:val="nil"/>
            </w:tcBorders>
            <w:shd w:val="clear" w:color="000000" w:fill="FFFFFF"/>
          </w:tcPr>
          <w:p w14:paraId="06B49EDF"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EEB" w14:textId="77777777">
        <w:trPr>
          <w:trHeight w:val="300"/>
          <w:jc w:val="center"/>
        </w:trPr>
        <w:tc>
          <w:tcPr>
            <w:tcW w:w="5016" w:type="dxa"/>
            <w:tcBorders>
              <w:top w:val="nil"/>
              <w:left w:val="nil"/>
              <w:bottom w:val="nil"/>
              <w:right w:val="nil"/>
            </w:tcBorders>
            <w:shd w:val="clear" w:color="000000" w:fill="FFFFFF"/>
            <w:noWrap/>
            <w:vAlign w:val="bottom"/>
          </w:tcPr>
          <w:p w14:paraId="06B49EE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83" w:type="dxa"/>
            <w:tcBorders>
              <w:top w:val="nil"/>
              <w:left w:val="nil"/>
              <w:bottom w:val="nil"/>
              <w:right w:val="nil"/>
            </w:tcBorders>
            <w:shd w:val="clear" w:color="000000" w:fill="FFFFFF"/>
            <w:noWrap/>
            <w:vAlign w:val="bottom"/>
          </w:tcPr>
          <w:p w14:paraId="06B49EE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EE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E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EE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E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EE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E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EE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EE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EF6" w14:textId="77777777">
        <w:trPr>
          <w:trHeight w:val="70"/>
          <w:jc w:val="center"/>
        </w:trPr>
        <w:tc>
          <w:tcPr>
            <w:tcW w:w="5016" w:type="dxa"/>
            <w:tcBorders>
              <w:top w:val="nil"/>
              <w:left w:val="nil"/>
              <w:bottom w:val="nil"/>
              <w:right w:val="nil"/>
            </w:tcBorders>
            <w:shd w:val="clear" w:color="000000" w:fill="FFFFFF"/>
            <w:noWrap/>
            <w:vAlign w:val="bottom"/>
          </w:tcPr>
          <w:p w14:paraId="06B49EEC" w14:textId="77777777" w:rsidR="00A658D0" w:rsidRDefault="00000000">
            <w:pPr>
              <w:rPr>
                <w:rFonts w:ascii="Arial Narrow" w:hAnsi="Arial Narrow"/>
                <w:b/>
                <w:bCs/>
                <w:color w:val="000000"/>
                <w:sz w:val="16"/>
                <w:szCs w:val="16"/>
                <w:u w:val="single"/>
                <w:lang w:eastAsia="es-PE"/>
              </w:rPr>
            </w:pPr>
            <w:r>
              <w:rPr>
                <w:rFonts w:ascii="Arial Narrow" w:hAnsi="Arial Narrow"/>
                <w:b/>
                <w:bCs/>
                <w:color w:val="000000"/>
                <w:sz w:val="16"/>
                <w:szCs w:val="16"/>
                <w:u w:val="single"/>
                <w:lang w:eastAsia="es-PE"/>
              </w:rPr>
              <w:t>PASIVO</w:t>
            </w:r>
          </w:p>
        </w:tc>
        <w:tc>
          <w:tcPr>
            <w:tcW w:w="1183" w:type="dxa"/>
            <w:tcBorders>
              <w:top w:val="nil"/>
              <w:left w:val="nil"/>
              <w:bottom w:val="nil"/>
              <w:right w:val="nil"/>
            </w:tcBorders>
            <w:shd w:val="clear" w:color="000000" w:fill="FFFFFF"/>
            <w:noWrap/>
            <w:vAlign w:val="bottom"/>
          </w:tcPr>
          <w:p w14:paraId="06B49EE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EE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E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EF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F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EF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F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EF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EF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01" w14:textId="77777777">
        <w:trPr>
          <w:trHeight w:val="108"/>
          <w:jc w:val="center"/>
        </w:trPr>
        <w:tc>
          <w:tcPr>
            <w:tcW w:w="5016" w:type="dxa"/>
            <w:tcBorders>
              <w:top w:val="nil"/>
              <w:left w:val="nil"/>
              <w:bottom w:val="nil"/>
              <w:right w:val="nil"/>
            </w:tcBorders>
            <w:shd w:val="clear" w:color="000000" w:fill="FFFFFF"/>
          </w:tcPr>
          <w:p w14:paraId="06B49EF7"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pagar por Productos Financieros derivados para negociación</w:t>
            </w:r>
          </w:p>
        </w:tc>
        <w:tc>
          <w:tcPr>
            <w:tcW w:w="1183" w:type="dxa"/>
            <w:tcBorders>
              <w:top w:val="nil"/>
              <w:left w:val="nil"/>
              <w:bottom w:val="nil"/>
              <w:right w:val="nil"/>
            </w:tcBorders>
            <w:shd w:val="clear" w:color="000000" w:fill="FFFFFF"/>
            <w:noWrap/>
            <w:vAlign w:val="bottom"/>
          </w:tcPr>
          <w:p w14:paraId="06B49EF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EF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F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EF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F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EF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EF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EF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0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0C" w14:textId="77777777">
        <w:trPr>
          <w:trHeight w:val="182"/>
          <w:jc w:val="center"/>
        </w:trPr>
        <w:tc>
          <w:tcPr>
            <w:tcW w:w="5016" w:type="dxa"/>
            <w:tcBorders>
              <w:top w:val="nil"/>
              <w:left w:val="nil"/>
              <w:bottom w:val="nil"/>
              <w:right w:val="nil"/>
            </w:tcBorders>
            <w:shd w:val="clear" w:color="000000" w:fill="FFFFFF"/>
          </w:tcPr>
          <w:p w14:paraId="06B49F02"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pagar por Productos Financieros derivados con fines de cobertura</w:t>
            </w:r>
          </w:p>
        </w:tc>
        <w:tc>
          <w:tcPr>
            <w:tcW w:w="1183" w:type="dxa"/>
            <w:tcBorders>
              <w:top w:val="nil"/>
              <w:left w:val="nil"/>
              <w:bottom w:val="nil"/>
              <w:right w:val="nil"/>
            </w:tcBorders>
            <w:shd w:val="clear" w:color="000000" w:fill="FFFFFF"/>
            <w:noWrap/>
            <w:vAlign w:val="bottom"/>
          </w:tcPr>
          <w:p w14:paraId="06B49F0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0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0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0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0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0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0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0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0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17" w14:textId="77777777">
        <w:trPr>
          <w:trHeight w:val="127"/>
          <w:jc w:val="center"/>
        </w:trPr>
        <w:tc>
          <w:tcPr>
            <w:tcW w:w="5016" w:type="dxa"/>
            <w:tcBorders>
              <w:top w:val="nil"/>
              <w:left w:val="nil"/>
              <w:bottom w:val="nil"/>
              <w:right w:val="nil"/>
            </w:tcBorders>
            <w:shd w:val="clear" w:color="000000" w:fill="FFFFFF"/>
          </w:tcPr>
          <w:p w14:paraId="06B49F0D"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 xml:space="preserve">Cuentas por pagar por </w:t>
            </w:r>
            <w:proofErr w:type="spellStart"/>
            <w:r>
              <w:rPr>
                <w:rFonts w:ascii="Arial Narrow" w:hAnsi="Arial Narrow"/>
                <w:color w:val="000000"/>
                <w:sz w:val="16"/>
                <w:szCs w:val="16"/>
                <w:lang w:eastAsia="es-PE"/>
              </w:rPr>
              <w:t>Macro-coberturas</w:t>
            </w:r>
            <w:proofErr w:type="spellEnd"/>
          </w:p>
        </w:tc>
        <w:tc>
          <w:tcPr>
            <w:tcW w:w="1183" w:type="dxa"/>
            <w:tcBorders>
              <w:top w:val="nil"/>
              <w:left w:val="nil"/>
              <w:bottom w:val="nil"/>
              <w:right w:val="nil"/>
            </w:tcBorders>
            <w:shd w:val="clear" w:color="000000" w:fill="FFFFFF"/>
            <w:noWrap/>
            <w:vAlign w:val="bottom"/>
          </w:tcPr>
          <w:p w14:paraId="06B49F0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0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1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1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1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1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1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1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1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22" w14:textId="77777777">
        <w:trPr>
          <w:trHeight w:val="230"/>
          <w:jc w:val="center"/>
        </w:trPr>
        <w:tc>
          <w:tcPr>
            <w:tcW w:w="5016" w:type="dxa"/>
            <w:tcBorders>
              <w:top w:val="nil"/>
              <w:left w:val="nil"/>
              <w:bottom w:val="nil"/>
              <w:right w:val="nil"/>
            </w:tcBorders>
            <w:shd w:val="clear" w:color="000000" w:fill="FFFFFF"/>
          </w:tcPr>
          <w:p w14:paraId="06B49F18"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Obligaciones Financieras</w:t>
            </w:r>
          </w:p>
        </w:tc>
        <w:tc>
          <w:tcPr>
            <w:tcW w:w="1183" w:type="dxa"/>
            <w:tcBorders>
              <w:top w:val="nil"/>
              <w:left w:val="nil"/>
              <w:bottom w:val="nil"/>
              <w:right w:val="nil"/>
            </w:tcBorders>
            <w:shd w:val="clear" w:color="000000" w:fill="FFFFFF"/>
            <w:noWrap/>
            <w:vAlign w:val="bottom"/>
          </w:tcPr>
          <w:p w14:paraId="06B49F1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1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1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1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1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1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1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2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2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2D" w14:textId="77777777">
        <w:trPr>
          <w:trHeight w:val="134"/>
          <w:jc w:val="center"/>
        </w:trPr>
        <w:tc>
          <w:tcPr>
            <w:tcW w:w="5016" w:type="dxa"/>
            <w:tcBorders>
              <w:top w:val="nil"/>
              <w:left w:val="nil"/>
              <w:bottom w:val="nil"/>
              <w:right w:val="nil"/>
            </w:tcBorders>
            <w:shd w:val="clear" w:color="000000" w:fill="FFFFFF"/>
          </w:tcPr>
          <w:p w14:paraId="06B49F23"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pagar a Intermediarios y Auxiliares</w:t>
            </w:r>
          </w:p>
        </w:tc>
        <w:tc>
          <w:tcPr>
            <w:tcW w:w="1183" w:type="dxa"/>
            <w:tcBorders>
              <w:top w:val="nil"/>
              <w:left w:val="nil"/>
              <w:bottom w:val="nil"/>
              <w:right w:val="nil"/>
            </w:tcBorders>
            <w:shd w:val="clear" w:color="000000" w:fill="FFFFFF"/>
            <w:noWrap/>
            <w:vAlign w:val="bottom"/>
          </w:tcPr>
          <w:p w14:paraId="06B49F2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2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2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2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2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2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2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2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2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38" w14:textId="77777777">
        <w:trPr>
          <w:trHeight w:val="70"/>
          <w:jc w:val="center"/>
        </w:trPr>
        <w:tc>
          <w:tcPr>
            <w:tcW w:w="5016" w:type="dxa"/>
            <w:tcBorders>
              <w:top w:val="nil"/>
              <w:left w:val="nil"/>
              <w:bottom w:val="nil"/>
              <w:right w:val="nil"/>
            </w:tcBorders>
            <w:shd w:val="clear" w:color="000000" w:fill="FFFFFF"/>
          </w:tcPr>
          <w:p w14:paraId="06B49F2E"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pagar a asegurados</w:t>
            </w:r>
          </w:p>
        </w:tc>
        <w:tc>
          <w:tcPr>
            <w:tcW w:w="1183" w:type="dxa"/>
            <w:tcBorders>
              <w:top w:val="nil"/>
              <w:left w:val="nil"/>
              <w:bottom w:val="nil"/>
              <w:right w:val="nil"/>
            </w:tcBorders>
            <w:shd w:val="clear" w:color="000000" w:fill="FFFFFF"/>
            <w:noWrap/>
            <w:vAlign w:val="bottom"/>
          </w:tcPr>
          <w:p w14:paraId="06B49F2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3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3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3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3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3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3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3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3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43" w14:textId="77777777">
        <w:trPr>
          <w:trHeight w:val="168"/>
          <w:jc w:val="center"/>
        </w:trPr>
        <w:tc>
          <w:tcPr>
            <w:tcW w:w="5016" w:type="dxa"/>
            <w:tcBorders>
              <w:top w:val="nil"/>
              <w:left w:val="nil"/>
              <w:bottom w:val="nil"/>
              <w:right w:val="nil"/>
            </w:tcBorders>
            <w:shd w:val="clear" w:color="000000" w:fill="FFFFFF"/>
          </w:tcPr>
          <w:p w14:paraId="06B49F39"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Cuentas por pagar a Reaseguradores y Coaseguradores (neto)</w:t>
            </w:r>
          </w:p>
        </w:tc>
        <w:tc>
          <w:tcPr>
            <w:tcW w:w="1183" w:type="dxa"/>
            <w:tcBorders>
              <w:top w:val="nil"/>
              <w:left w:val="nil"/>
              <w:bottom w:val="nil"/>
              <w:right w:val="nil"/>
            </w:tcBorders>
            <w:shd w:val="clear" w:color="000000" w:fill="FFFFFF"/>
            <w:noWrap/>
            <w:vAlign w:val="bottom"/>
          </w:tcPr>
          <w:p w14:paraId="06B49F3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3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3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3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3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3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4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4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4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4E" w14:textId="77777777">
        <w:trPr>
          <w:trHeight w:val="300"/>
          <w:jc w:val="center"/>
        </w:trPr>
        <w:tc>
          <w:tcPr>
            <w:tcW w:w="5016" w:type="dxa"/>
            <w:tcBorders>
              <w:top w:val="nil"/>
              <w:left w:val="nil"/>
              <w:bottom w:val="nil"/>
              <w:right w:val="nil"/>
            </w:tcBorders>
            <w:shd w:val="clear" w:color="000000" w:fill="FFFFFF"/>
          </w:tcPr>
          <w:p w14:paraId="06B49F44"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Obligaciones Financieras</w:t>
            </w:r>
          </w:p>
        </w:tc>
        <w:tc>
          <w:tcPr>
            <w:tcW w:w="1183" w:type="dxa"/>
            <w:tcBorders>
              <w:top w:val="nil"/>
              <w:left w:val="nil"/>
              <w:bottom w:val="nil"/>
              <w:right w:val="nil"/>
            </w:tcBorders>
            <w:shd w:val="clear" w:color="000000" w:fill="FFFFFF"/>
            <w:noWrap/>
            <w:vAlign w:val="bottom"/>
          </w:tcPr>
          <w:p w14:paraId="06B49F4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4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4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4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4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4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4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4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4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59" w14:textId="77777777">
        <w:trPr>
          <w:trHeight w:val="70"/>
          <w:jc w:val="center"/>
        </w:trPr>
        <w:tc>
          <w:tcPr>
            <w:tcW w:w="5016" w:type="dxa"/>
            <w:tcBorders>
              <w:top w:val="nil"/>
              <w:left w:val="nil"/>
              <w:bottom w:val="nil"/>
              <w:right w:val="nil"/>
            </w:tcBorders>
            <w:shd w:val="clear" w:color="000000" w:fill="FFFFFF"/>
          </w:tcPr>
          <w:p w14:paraId="06B49F4F" w14:textId="77777777" w:rsidR="00A658D0" w:rsidRDefault="00000000">
            <w:pPr>
              <w:jc w:val="both"/>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83" w:type="dxa"/>
            <w:tcBorders>
              <w:top w:val="nil"/>
              <w:left w:val="nil"/>
              <w:bottom w:val="nil"/>
              <w:right w:val="nil"/>
            </w:tcBorders>
            <w:shd w:val="clear" w:color="000000" w:fill="FFFFFF"/>
            <w:noWrap/>
            <w:vAlign w:val="bottom"/>
          </w:tcPr>
          <w:p w14:paraId="06B49F5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752" w:type="dxa"/>
            <w:tcBorders>
              <w:top w:val="nil"/>
              <w:left w:val="nil"/>
              <w:bottom w:val="nil"/>
              <w:right w:val="nil"/>
            </w:tcBorders>
            <w:shd w:val="clear" w:color="000000" w:fill="FFFFFF"/>
            <w:noWrap/>
            <w:vAlign w:val="bottom"/>
          </w:tcPr>
          <w:p w14:paraId="06B49F5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5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56" w:type="dxa"/>
            <w:tcBorders>
              <w:top w:val="nil"/>
              <w:left w:val="nil"/>
              <w:bottom w:val="nil"/>
              <w:right w:val="nil"/>
            </w:tcBorders>
            <w:shd w:val="clear" w:color="000000" w:fill="FFFFFF"/>
            <w:noWrap/>
            <w:vAlign w:val="bottom"/>
          </w:tcPr>
          <w:p w14:paraId="06B49F5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5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76" w:type="dxa"/>
            <w:tcBorders>
              <w:top w:val="nil"/>
              <w:left w:val="nil"/>
              <w:bottom w:val="nil"/>
              <w:right w:val="nil"/>
            </w:tcBorders>
            <w:shd w:val="clear" w:color="000000" w:fill="FFFFFF"/>
            <w:noWrap/>
            <w:vAlign w:val="bottom"/>
          </w:tcPr>
          <w:p w14:paraId="06B49F5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77" w:type="dxa"/>
            <w:tcBorders>
              <w:top w:val="nil"/>
              <w:left w:val="nil"/>
              <w:bottom w:val="nil"/>
              <w:right w:val="nil"/>
            </w:tcBorders>
            <w:shd w:val="clear" w:color="000000" w:fill="FFFFFF"/>
            <w:noWrap/>
            <w:vAlign w:val="bottom"/>
          </w:tcPr>
          <w:p w14:paraId="06B49F5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982" w:type="dxa"/>
            <w:tcBorders>
              <w:top w:val="nil"/>
              <w:left w:val="nil"/>
              <w:bottom w:val="nil"/>
              <w:right w:val="nil"/>
            </w:tcBorders>
            <w:shd w:val="clear" w:color="000000" w:fill="FFFFFF"/>
            <w:noWrap/>
            <w:vAlign w:val="bottom"/>
          </w:tcPr>
          <w:p w14:paraId="06B49F5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888" w:type="dxa"/>
            <w:tcBorders>
              <w:top w:val="nil"/>
              <w:left w:val="nil"/>
              <w:bottom w:val="nil"/>
              <w:right w:val="nil"/>
            </w:tcBorders>
            <w:shd w:val="clear" w:color="000000" w:fill="FFFFFF"/>
            <w:noWrap/>
            <w:vAlign w:val="bottom"/>
          </w:tcPr>
          <w:p w14:paraId="06B49F5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64" w14:textId="77777777">
        <w:trPr>
          <w:trHeight w:val="315"/>
          <w:jc w:val="center"/>
        </w:trPr>
        <w:tc>
          <w:tcPr>
            <w:tcW w:w="5016" w:type="dxa"/>
            <w:tcBorders>
              <w:top w:val="nil"/>
              <w:left w:val="nil"/>
              <w:bottom w:val="nil"/>
              <w:right w:val="nil"/>
            </w:tcBorders>
            <w:shd w:val="clear" w:color="000000" w:fill="FFFFFF"/>
          </w:tcPr>
          <w:p w14:paraId="06B49F5A" w14:textId="77777777" w:rsidR="00A658D0" w:rsidRDefault="00000000">
            <w:pPr>
              <w:jc w:val="both"/>
              <w:rPr>
                <w:rFonts w:ascii="Arial Narrow" w:hAnsi="Arial Narrow"/>
                <w:b/>
                <w:bCs/>
                <w:color w:val="000000"/>
                <w:sz w:val="16"/>
                <w:szCs w:val="16"/>
                <w:lang w:eastAsia="es-PE"/>
              </w:rPr>
            </w:pPr>
            <w:proofErr w:type="gramStart"/>
            <w:r>
              <w:rPr>
                <w:rFonts w:ascii="Arial Narrow" w:hAnsi="Arial Narrow"/>
                <w:b/>
                <w:bCs/>
                <w:color w:val="000000"/>
                <w:sz w:val="16"/>
                <w:szCs w:val="16"/>
                <w:lang w:eastAsia="es-PE"/>
              </w:rPr>
              <w:t>TOTAL</w:t>
            </w:r>
            <w:proofErr w:type="gramEnd"/>
            <w:r>
              <w:rPr>
                <w:rFonts w:ascii="Arial Narrow" w:hAnsi="Arial Narrow"/>
                <w:b/>
                <w:bCs/>
                <w:color w:val="000000"/>
                <w:sz w:val="16"/>
                <w:szCs w:val="16"/>
                <w:lang w:eastAsia="es-PE"/>
              </w:rPr>
              <w:t xml:space="preserve"> PASIVO</w:t>
            </w:r>
          </w:p>
        </w:tc>
        <w:tc>
          <w:tcPr>
            <w:tcW w:w="1183" w:type="dxa"/>
            <w:tcBorders>
              <w:top w:val="single" w:sz="4" w:space="0" w:color="auto"/>
              <w:left w:val="nil"/>
              <w:bottom w:val="single" w:sz="8" w:space="0" w:color="auto"/>
              <w:right w:val="nil"/>
            </w:tcBorders>
            <w:shd w:val="clear" w:color="000000" w:fill="FFFFFF"/>
          </w:tcPr>
          <w:p w14:paraId="06B49F5B"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2" w:type="dxa"/>
            <w:tcBorders>
              <w:top w:val="single" w:sz="4" w:space="0" w:color="auto"/>
              <w:left w:val="nil"/>
              <w:bottom w:val="single" w:sz="8" w:space="0" w:color="auto"/>
              <w:right w:val="nil"/>
            </w:tcBorders>
            <w:shd w:val="clear" w:color="000000" w:fill="FFFFFF"/>
          </w:tcPr>
          <w:p w14:paraId="06B49F5C"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F5D"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956" w:type="dxa"/>
            <w:tcBorders>
              <w:top w:val="single" w:sz="4" w:space="0" w:color="auto"/>
              <w:left w:val="nil"/>
              <w:bottom w:val="single" w:sz="8" w:space="0" w:color="auto"/>
              <w:right w:val="nil"/>
            </w:tcBorders>
            <w:shd w:val="clear" w:color="000000" w:fill="FFFFFF"/>
          </w:tcPr>
          <w:p w14:paraId="06B49F5E"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F5F"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176" w:type="dxa"/>
            <w:tcBorders>
              <w:top w:val="single" w:sz="4" w:space="0" w:color="auto"/>
              <w:left w:val="nil"/>
              <w:bottom w:val="single" w:sz="8" w:space="0" w:color="auto"/>
              <w:right w:val="nil"/>
            </w:tcBorders>
            <w:shd w:val="clear" w:color="000000" w:fill="FFFFFF"/>
          </w:tcPr>
          <w:p w14:paraId="06B49F60"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77" w:type="dxa"/>
            <w:tcBorders>
              <w:top w:val="nil"/>
              <w:left w:val="nil"/>
              <w:bottom w:val="nil"/>
              <w:right w:val="nil"/>
            </w:tcBorders>
            <w:shd w:val="clear" w:color="000000" w:fill="FFFFFF"/>
          </w:tcPr>
          <w:p w14:paraId="06B49F61"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982" w:type="dxa"/>
            <w:tcBorders>
              <w:top w:val="single" w:sz="4" w:space="0" w:color="auto"/>
              <w:left w:val="nil"/>
              <w:bottom w:val="single" w:sz="8" w:space="0" w:color="auto"/>
              <w:right w:val="nil"/>
            </w:tcBorders>
            <w:shd w:val="clear" w:color="000000" w:fill="FFFFFF"/>
          </w:tcPr>
          <w:p w14:paraId="06B49F62"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c>
          <w:tcPr>
            <w:tcW w:w="888" w:type="dxa"/>
            <w:tcBorders>
              <w:top w:val="single" w:sz="4" w:space="0" w:color="auto"/>
              <w:left w:val="nil"/>
              <w:bottom w:val="single" w:sz="8" w:space="0" w:color="auto"/>
              <w:right w:val="nil"/>
            </w:tcBorders>
            <w:shd w:val="clear" w:color="000000" w:fill="FFFFFF"/>
          </w:tcPr>
          <w:p w14:paraId="06B49F63" w14:textId="77777777" w:rsidR="00A658D0" w:rsidRDefault="00000000">
            <w:pPr>
              <w:jc w:val="center"/>
              <w:rPr>
                <w:rFonts w:ascii="Arial Narrow" w:hAnsi="Arial Narrow"/>
                <w:color w:val="000000"/>
                <w:sz w:val="16"/>
                <w:szCs w:val="16"/>
                <w:lang w:eastAsia="es-PE"/>
              </w:rPr>
            </w:pPr>
            <w:r>
              <w:rPr>
                <w:rFonts w:ascii="Arial Narrow" w:hAnsi="Arial Narrow"/>
                <w:color w:val="000000"/>
                <w:sz w:val="16"/>
                <w:szCs w:val="16"/>
                <w:lang w:eastAsia="es-PE"/>
              </w:rPr>
              <w:t> </w:t>
            </w:r>
          </w:p>
        </w:tc>
      </w:tr>
    </w:tbl>
    <w:p w14:paraId="06B49F65" w14:textId="77777777" w:rsidR="00A658D0" w:rsidRDefault="00A658D0">
      <w:pPr>
        <w:sectPr w:rsidR="00A658D0">
          <w:pgSz w:w="16840" w:h="11907" w:orient="landscape"/>
          <w:pgMar w:top="1701" w:right="2835" w:bottom="1134" w:left="1418" w:header="720" w:footer="720" w:gutter="0"/>
          <w:cols w:space="720"/>
          <w:docGrid w:linePitch="272"/>
        </w:sectPr>
      </w:pPr>
    </w:p>
    <w:p w14:paraId="06B49F66" w14:textId="77777777" w:rsidR="00A658D0" w:rsidRDefault="00A658D0"/>
    <w:p w14:paraId="06B49F67" w14:textId="77777777" w:rsidR="00A658D0" w:rsidRDefault="00000000">
      <w:pPr>
        <w:jc w:val="right"/>
        <w:rPr>
          <w:rFonts w:ascii="Arial Narrow" w:hAnsi="Arial Narrow"/>
          <w:b/>
          <w:sz w:val="22"/>
          <w:szCs w:val="18"/>
        </w:rPr>
      </w:pPr>
      <w:r>
        <w:rPr>
          <w:rFonts w:ascii="Arial Narrow" w:hAnsi="Arial Narrow"/>
          <w:b/>
          <w:sz w:val="22"/>
          <w:szCs w:val="18"/>
        </w:rPr>
        <w:t>ANEXO 2</w:t>
      </w:r>
    </w:p>
    <w:p w14:paraId="06B49F68" w14:textId="77777777" w:rsidR="00A658D0" w:rsidRDefault="00000000">
      <w:pPr>
        <w:ind w:left="-851"/>
        <w:jc w:val="center"/>
        <w:rPr>
          <w:rFonts w:ascii="Arial Narrow" w:hAnsi="Arial Narrow"/>
          <w:b/>
          <w:sz w:val="22"/>
          <w:szCs w:val="18"/>
        </w:rPr>
      </w:pPr>
      <w:r>
        <w:rPr>
          <w:rFonts w:ascii="Arial Narrow" w:hAnsi="Arial Narrow"/>
          <w:b/>
          <w:sz w:val="22"/>
          <w:szCs w:val="18"/>
        </w:rPr>
        <w:t>NOTA REFERIDA A LAS CONCENTRACIONES DE INSTRUMENTOS FINANCIEROS</w:t>
      </w:r>
    </w:p>
    <w:p w14:paraId="06B49F69" w14:textId="77777777" w:rsidR="00A658D0" w:rsidRDefault="00000000">
      <w:pPr>
        <w:ind w:left="-851"/>
        <w:jc w:val="center"/>
        <w:rPr>
          <w:rFonts w:ascii="Arial Narrow" w:hAnsi="Arial Narrow"/>
          <w:b/>
          <w:sz w:val="18"/>
          <w:szCs w:val="18"/>
        </w:rPr>
      </w:pPr>
      <w:r>
        <w:rPr>
          <w:rFonts w:ascii="Arial Narrow" w:hAnsi="Arial Narrow"/>
          <w:b/>
          <w:sz w:val="22"/>
          <w:szCs w:val="18"/>
        </w:rPr>
        <w:t>POR ÁREA GEOGRÁFICA</w:t>
      </w:r>
    </w:p>
    <w:tbl>
      <w:tblPr>
        <w:tblW w:w="9303" w:type="dxa"/>
        <w:tblInd w:w="-728" w:type="dxa"/>
        <w:tblCellMar>
          <w:left w:w="70" w:type="dxa"/>
          <w:right w:w="70" w:type="dxa"/>
        </w:tblCellMar>
        <w:tblLook w:val="04A0" w:firstRow="1" w:lastRow="0" w:firstColumn="1" w:lastColumn="0" w:noHBand="0" w:noVBand="1"/>
      </w:tblPr>
      <w:tblGrid>
        <w:gridCol w:w="2268"/>
        <w:gridCol w:w="1843"/>
        <w:gridCol w:w="1134"/>
        <w:gridCol w:w="1276"/>
        <w:gridCol w:w="1559"/>
        <w:gridCol w:w="1223"/>
      </w:tblGrid>
      <w:tr w:rsidR="00A658D0" w14:paraId="06B49F6B" w14:textId="77777777">
        <w:trPr>
          <w:trHeight w:val="300"/>
        </w:trPr>
        <w:tc>
          <w:tcPr>
            <w:tcW w:w="9303"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tcPr>
          <w:p w14:paraId="06B49F6A"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20X2</w:t>
            </w:r>
          </w:p>
        </w:tc>
      </w:tr>
      <w:tr w:rsidR="00A658D0" w14:paraId="06B49F6E" w14:textId="77777777">
        <w:trPr>
          <w:trHeight w:val="300"/>
        </w:trPr>
        <w:tc>
          <w:tcPr>
            <w:tcW w:w="2268" w:type="dxa"/>
            <w:tcBorders>
              <w:top w:val="nil"/>
              <w:left w:val="single" w:sz="4" w:space="0" w:color="auto"/>
              <w:right w:val="single" w:sz="4" w:space="0" w:color="auto"/>
            </w:tcBorders>
            <w:shd w:val="clear" w:color="000000" w:fill="FFFFFF"/>
            <w:noWrap/>
            <w:vAlign w:val="bottom"/>
          </w:tcPr>
          <w:p w14:paraId="06B49F6C" w14:textId="77777777" w:rsidR="00A658D0" w:rsidRDefault="00000000">
            <w:pPr>
              <w:jc w:val="right"/>
              <w:rPr>
                <w:rFonts w:ascii="Calibri" w:hAnsi="Calibri"/>
                <w:b/>
                <w:bCs/>
                <w:color w:val="000000"/>
                <w:sz w:val="16"/>
                <w:szCs w:val="16"/>
                <w:lang w:eastAsia="es-PE"/>
              </w:rPr>
            </w:pPr>
            <w:r>
              <w:rPr>
                <w:rFonts w:ascii="Calibri" w:hAnsi="Calibri"/>
                <w:b/>
                <w:bCs/>
                <w:color w:val="000000"/>
                <w:sz w:val="16"/>
                <w:szCs w:val="16"/>
                <w:lang w:eastAsia="es-PE"/>
              </w:rPr>
              <w:t>Instrumentos financieros</w:t>
            </w:r>
          </w:p>
        </w:tc>
        <w:tc>
          <w:tcPr>
            <w:tcW w:w="7035" w:type="dxa"/>
            <w:gridSpan w:val="5"/>
            <w:tcBorders>
              <w:top w:val="single" w:sz="4" w:space="0" w:color="auto"/>
              <w:left w:val="nil"/>
              <w:bottom w:val="single" w:sz="4" w:space="0" w:color="auto"/>
              <w:right w:val="single" w:sz="4" w:space="0" w:color="000000"/>
            </w:tcBorders>
            <w:shd w:val="clear" w:color="000000" w:fill="FFFFFF"/>
            <w:noWrap/>
            <w:vAlign w:val="bottom"/>
          </w:tcPr>
          <w:p w14:paraId="06B49F6D"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A valor razonable con cambios en resultados</w:t>
            </w:r>
          </w:p>
        </w:tc>
      </w:tr>
      <w:tr w:rsidR="00A658D0" w14:paraId="06B49F75" w14:textId="77777777">
        <w:trPr>
          <w:trHeight w:val="585"/>
        </w:trPr>
        <w:tc>
          <w:tcPr>
            <w:tcW w:w="2268" w:type="dxa"/>
            <w:tcBorders>
              <w:top w:val="nil"/>
              <w:left w:val="single" w:sz="4" w:space="0" w:color="auto"/>
              <w:bottom w:val="single" w:sz="4" w:space="0" w:color="auto"/>
              <w:right w:val="single" w:sz="4" w:space="0" w:color="auto"/>
              <w:tl2br w:val="single" w:sz="4" w:space="0" w:color="auto"/>
            </w:tcBorders>
            <w:shd w:val="clear" w:color="000000" w:fill="FFFFFF"/>
            <w:noWrap/>
            <w:vAlign w:val="bottom"/>
          </w:tcPr>
          <w:p w14:paraId="06B49F6F" w14:textId="77777777" w:rsidR="00A658D0" w:rsidRDefault="00000000">
            <w:pPr>
              <w:rPr>
                <w:rFonts w:ascii="Calibri" w:hAnsi="Calibri"/>
                <w:b/>
                <w:bCs/>
                <w:color w:val="000000"/>
                <w:sz w:val="16"/>
                <w:szCs w:val="16"/>
                <w:lang w:eastAsia="es-PE"/>
              </w:rPr>
            </w:pPr>
            <w:r>
              <w:rPr>
                <w:rFonts w:ascii="Calibri" w:hAnsi="Calibri"/>
                <w:b/>
                <w:bCs/>
                <w:color w:val="000000"/>
                <w:sz w:val="16"/>
                <w:szCs w:val="16"/>
                <w:lang w:eastAsia="es-PE"/>
              </w:rPr>
              <w:t>País</w:t>
            </w:r>
          </w:p>
        </w:tc>
        <w:tc>
          <w:tcPr>
            <w:tcW w:w="1843" w:type="dxa"/>
            <w:tcBorders>
              <w:top w:val="nil"/>
              <w:left w:val="nil"/>
              <w:bottom w:val="single" w:sz="4" w:space="0" w:color="auto"/>
              <w:right w:val="nil"/>
            </w:tcBorders>
            <w:shd w:val="clear" w:color="000000" w:fill="FFFFFF"/>
            <w:noWrap/>
            <w:vAlign w:val="bottom"/>
          </w:tcPr>
          <w:p w14:paraId="06B49F70"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Para negociación o con fines de cobertura</w:t>
            </w:r>
          </w:p>
        </w:tc>
        <w:tc>
          <w:tcPr>
            <w:tcW w:w="1134" w:type="dxa"/>
            <w:tcBorders>
              <w:top w:val="nil"/>
              <w:left w:val="single" w:sz="4" w:space="0" w:color="auto"/>
              <w:bottom w:val="single" w:sz="4" w:space="0" w:color="auto"/>
              <w:right w:val="single" w:sz="4" w:space="0" w:color="auto"/>
            </w:tcBorders>
            <w:shd w:val="clear" w:color="000000" w:fill="FFFFFF"/>
            <w:noWrap/>
          </w:tcPr>
          <w:p w14:paraId="06B49F71"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Al momento inicial</w:t>
            </w:r>
          </w:p>
        </w:tc>
        <w:tc>
          <w:tcPr>
            <w:tcW w:w="1276" w:type="dxa"/>
            <w:tcBorders>
              <w:top w:val="nil"/>
              <w:left w:val="nil"/>
              <w:bottom w:val="single" w:sz="4" w:space="0" w:color="auto"/>
              <w:right w:val="single" w:sz="4" w:space="0" w:color="auto"/>
            </w:tcBorders>
            <w:shd w:val="clear" w:color="000000" w:fill="FFFFFF"/>
            <w:noWrap/>
            <w:vAlign w:val="bottom"/>
          </w:tcPr>
          <w:p w14:paraId="06B49F72"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Cuentas por cobrar</w:t>
            </w:r>
          </w:p>
        </w:tc>
        <w:tc>
          <w:tcPr>
            <w:tcW w:w="1559" w:type="dxa"/>
            <w:tcBorders>
              <w:top w:val="nil"/>
              <w:left w:val="nil"/>
              <w:bottom w:val="single" w:sz="4" w:space="0" w:color="auto"/>
              <w:right w:val="single" w:sz="4" w:space="0" w:color="auto"/>
            </w:tcBorders>
            <w:shd w:val="clear" w:color="000000" w:fill="FFFFFF"/>
            <w:noWrap/>
            <w:vAlign w:val="bottom"/>
          </w:tcPr>
          <w:p w14:paraId="06B49F73"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Inversiones Disponibles para la venta</w:t>
            </w:r>
          </w:p>
        </w:tc>
        <w:tc>
          <w:tcPr>
            <w:tcW w:w="1223" w:type="dxa"/>
            <w:tcBorders>
              <w:top w:val="nil"/>
              <w:left w:val="nil"/>
              <w:bottom w:val="single" w:sz="4" w:space="0" w:color="auto"/>
              <w:right w:val="single" w:sz="4" w:space="0" w:color="auto"/>
            </w:tcBorders>
            <w:shd w:val="clear" w:color="000000" w:fill="FFFFFF"/>
            <w:noWrap/>
            <w:vAlign w:val="bottom"/>
          </w:tcPr>
          <w:p w14:paraId="06B49F74"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Total</w:t>
            </w:r>
          </w:p>
        </w:tc>
      </w:tr>
      <w:tr w:rsidR="00A658D0" w14:paraId="06B49F7C" w14:textId="77777777">
        <w:trPr>
          <w:trHeight w:val="18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7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xml:space="preserve">Perú </w:t>
            </w:r>
          </w:p>
        </w:tc>
        <w:tc>
          <w:tcPr>
            <w:tcW w:w="1843" w:type="dxa"/>
            <w:tcBorders>
              <w:top w:val="nil"/>
              <w:left w:val="nil"/>
              <w:bottom w:val="single" w:sz="4" w:space="0" w:color="auto"/>
              <w:right w:val="single" w:sz="4" w:space="0" w:color="auto"/>
            </w:tcBorders>
            <w:shd w:val="clear" w:color="000000" w:fill="FFFFFF"/>
            <w:noWrap/>
            <w:vAlign w:val="bottom"/>
          </w:tcPr>
          <w:p w14:paraId="06B49F7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7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7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7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7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83" w14:textId="77777777">
        <w:trPr>
          <w:trHeight w:val="112"/>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7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Estados Unidos</w:t>
            </w:r>
          </w:p>
        </w:tc>
        <w:tc>
          <w:tcPr>
            <w:tcW w:w="1843" w:type="dxa"/>
            <w:tcBorders>
              <w:top w:val="nil"/>
              <w:left w:val="nil"/>
              <w:bottom w:val="single" w:sz="4" w:space="0" w:color="auto"/>
              <w:right w:val="single" w:sz="4" w:space="0" w:color="auto"/>
            </w:tcBorders>
            <w:shd w:val="clear" w:color="000000" w:fill="FFFFFF"/>
            <w:noWrap/>
            <w:vAlign w:val="bottom"/>
          </w:tcPr>
          <w:p w14:paraId="06B49F7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7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8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8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8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8A" w14:textId="77777777">
        <w:trPr>
          <w:trHeight w:val="6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8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w:t>
            </w:r>
          </w:p>
        </w:tc>
        <w:tc>
          <w:tcPr>
            <w:tcW w:w="1843" w:type="dxa"/>
            <w:tcBorders>
              <w:top w:val="nil"/>
              <w:left w:val="nil"/>
              <w:bottom w:val="single" w:sz="4" w:space="0" w:color="auto"/>
              <w:right w:val="single" w:sz="4" w:space="0" w:color="auto"/>
            </w:tcBorders>
            <w:shd w:val="clear" w:color="000000" w:fill="FFFFFF"/>
            <w:noWrap/>
            <w:vAlign w:val="bottom"/>
          </w:tcPr>
          <w:p w14:paraId="06B49F8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8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8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8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8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91" w14:textId="77777777">
        <w:trPr>
          <w:trHeight w:val="6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8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843" w:type="dxa"/>
            <w:tcBorders>
              <w:top w:val="nil"/>
              <w:left w:val="nil"/>
              <w:bottom w:val="single" w:sz="4" w:space="0" w:color="auto"/>
              <w:right w:val="single" w:sz="4" w:space="0" w:color="auto"/>
            </w:tcBorders>
            <w:shd w:val="clear" w:color="000000" w:fill="FFFFFF"/>
            <w:noWrap/>
            <w:vAlign w:val="bottom"/>
          </w:tcPr>
          <w:p w14:paraId="06B49F8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8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8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8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9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98" w14:textId="77777777">
        <w:trPr>
          <w:trHeight w:val="6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92" w14:textId="77777777" w:rsidR="00A658D0" w:rsidRDefault="00000000">
            <w:pPr>
              <w:rPr>
                <w:rFonts w:ascii="Calibri" w:hAnsi="Calibri"/>
                <w:b/>
                <w:bCs/>
                <w:color w:val="000000"/>
                <w:sz w:val="16"/>
                <w:szCs w:val="16"/>
                <w:lang w:eastAsia="es-PE"/>
              </w:rPr>
            </w:pPr>
            <w:r>
              <w:rPr>
                <w:rFonts w:ascii="Calibri" w:hAnsi="Calibri"/>
                <w:b/>
                <w:bCs/>
                <w:color w:val="000000"/>
                <w:sz w:val="16"/>
                <w:szCs w:val="16"/>
                <w:lang w:eastAsia="es-PE"/>
              </w:rPr>
              <w:t>TOTAL</w:t>
            </w:r>
          </w:p>
        </w:tc>
        <w:tc>
          <w:tcPr>
            <w:tcW w:w="1843" w:type="dxa"/>
            <w:tcBorders>
              <w:top w:val="nil"/>
              <w:left w:val="nil"/>
              <w:bottom w:val="single" w:sz="4" w:space="0" w:color="auto"/>
              <w:right w:val="single" w:sz="4" w:space="0" w:color="auto"/>
            </w:tcBorders>
            <w:shd w:val="clear" w:color="000000" w:fill="FFFFFF"/>
            <w:noWrap/>
            <w:vAlign w:val="bottom"/>
          </w:tcPr>
          <w:p w14:paraId="06B49F9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9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9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9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9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9F" w14:textId="77777777">
        <w:trPr>
          <w:trHeight w:val="60"/>
        </w:trPr>
        <w:tc>
          <w:tcPr>
            <w:tcW w:w="2268" w:type="dxa"/>
            <w:tcBorders>
              <w:top w:val="nil"/>
              <w:left w:val="nil"/>
              <w:bottom w:val="nil"/>
              <w:right w:val="nil"/>
            </w:tcBorders>
            <w:shd w:val="clear" w:color="000000" w:fill="FFFFFF"/>
            <w:noWrap/>
            <w:vAlign w:val="bottom"/>
          </w:tcPr>
          <w:p w14:paraId="06B49F9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843" w:type="dxa"/>
            <w:tcBorders>
              <w:top w:val="nil"/>
              <w:left w:val="nil"/>
              <w:bottom w:val="nil"/>
              <w:right w:val="nil"/>
            </w:tcBorders>
            <w:shd w:val="clear" w:color="000000" w:fill="FFFFFF"/>
            <w:noWrap/>
            <w:vAlign w:val="bottom"/>
          </w:tcPr>
          <w:p w14:paraId="06B49F9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nil"/>
              <w:right w:val="nil"/>
            </w:tcBorders>
            <w:shd w:val="clear" w:color="000000" w:fill="FFFFFF"/>
            <w:noWrap/>
            <w:vAlign w:val="bottom"/>
          </w:tcPr>
          <w:p w14:paraId="06B49F9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nil"/>
              <w:right w:val="nil"/>
            </w:tcBorders>
            <w:shd w:val="clear" w:color="000000" w:fill="FFFFFF"/>
            <w:noWrap/>
            <w:vAlign w:val="bottom"/>
          </w:tcPr>
          <w:p w14:paraId="06B49F9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nil"/>
              <w:right w:val="nil"/>
            </w:tcBorders>
            <w:shd w:val="clear" w:color="000000" w:fill="FFFFFF"/>
            <w:noWrap/>
            <w:vAlign w:val="bottom"/>
          </w:tcPr>
          <w:p w14:paraId="06B49F9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nil"/>
              <w:right w:val="nil"/>
            </w:tcBorders>
            <w:shd w:val="clear" w:color="000000" w:fill="FFFFFF"/>
            <w:noWrap/>
            <w:vAlign w:val="bottom"/>
          </w:tcPr>
          <w:p w14:paraId="06B49F9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A1" w14:textId="77777777">
        <w:trPr>
          <w:trHeight w:val="60"/>
        </w:trPr>
        <w:tc>
          <w:tcPr>
            <w:tcW w:w="9303"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tcPr>
          <w:p w14:paraId="06B49FA0"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20X1</w:t>
            </w:r>
          </w:p>
        </w:tc>
      </w:tr>
      <w:tr w:rsidR="00A658D0" w14:paraId="06B49FA4" w14:textId="77777777">
        <w:trPr>
          <w:trHeight w:val="60"/>
        </w:trPr>
        <w:tc>
          <w:tcPr>
            <w:tcW w:w="2268" w:type="dxa"/>
            <w:tcBorders>
              <w:top w:val="nil"/>
              <w:left w:val="single" w:sz="4" w:space="0" w:color="auto"/>
              <w:right w:val="single" w:sz="4" w:space="0" w:color="auto"/>
            </w:tcBorders>
            <w:shd w:val="clear" w:color="000000" w:fill="FFFFFF"/>
            <w:noWrap/>
            <w:vAlign w:val="bottom"/>
          </w:tcPr>
          <w:p w14:paraId="06B49FA2" w14:textId="77777777" w:rsidR="00A658D0" w:rsidRDefault="00000000">
            <w:pPr>
              <w:jc w:val="right"/>
              <w:rPr>
                <w:rFonts w:ascii="Calibri" w:hAnsi="Calibri"/>
                <w:b/>
                <w:bCs/>
                <w:color w:val="000000"/>
                <w:sz w:val="16"/>
                <w:szCs w:val="16"/>
                <w:lang w:eastAsia="es-PE"/>
              </w:rPr>
            </w:pPr>
            <w:r>
              <w:rPr>
                <w:rFonts w:ascii="Calibri" w:hAnsi="Calibri"/>
                <w:b/>
                <w:bCs/>
                <w:color w:val="000000"/>
                <w:sz w:val="16"/>
                <w:szCs w:val="16"/>
                <w:lang w:eastAsia="es-PE"/>
              </w:rPr>
              <w:t>Instrumentos financieros</w:t>
            </w:r>
          </w:p>
        </w:tc>
        <w:tc>
          <w:tcPr>
            <w:tcW w:w="7035" w:type="dxa"/>
            <w:gridSpan w:val="5"/>
            <w:tcBorders>
              <w:top w:val="single" w:sz="4" w:space="0" w:color="auto"/>
              <w:left w:val="nil"/>
              <w:bottom w:val="single" w:sz="4" w:space="0" w:color="auto"/>
              <w:right w:val="single" w:sz="4" w:space="0" w:color="000000"/>
            </w:tcBorders>
            <w:shd w:val="clear" w:color="000000" w:fill="FFFFFF"/>
            <w:noWrap/>
            <w:vAlign w:val="bottom"/>
          </w:tcPr>
          <w:p w14:paraId="06B49FA3"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A valor razonable con cambios en resultados</w:t>
            </w:r>
          </w:p>
        </w:tc>
      </w:tr>
      <w:tr w:rsidR="00A658D0" w14:paraId="06B49FAB" w14:textId="77777777">
        <w:trPr>
          <w:trHeight w:val="262"/>
        </w:trPr>
        <w:tc>
          <w:tcPr>
            <w:tcW w:w="2268" w:type="dxa"/>
            <w:tcBorders>
              <w:top w:val="nil"/>
              <w:left w:val="single" w:sz="4" w:space="0" w:color="auto"/>
              <w:bottom w:val="single" w:sz="4" w:space="0" w:color="auto"/>
              <w:right w:val="single" w:sz="4" w:space="0" w:color="auto"/>
              <w:tl2br w:val="single" w:sz="4" w:space="0" w:color="auto"/>
            </w:tcBorders>
            <w:shd w:val="clear" w:color="000000" w:fill="FFFFFF"/>
            <w:noWrap/>
            <w:vAlign w:val="bottom"/>
          </w:tcPr>
          <w:p w14:paraId="06B49FA5" w14:textId="77777777" w:rsidR="00A658D0" w:rsidRDefault="00000000">
            <w:pPr>
              <w:rPr>
                <w:rFonts w:ascii="Calibri" w:hAnsi="Calibri"/>
                <w:b/>
                <w:bCs/>
                <w:color w:val="000000"/>
                <w:sz w:val="16"/>
                <w:szCs w:val="16"/>
                <w:lang w:eastAsia="es-PE"/>
              </w:rPr>
            </w:pPr>
            <w:r>
              <w:rPr>
                <w:rFonts w:ascii="Calibri" w:hAnsi="Calibri"/>
                <w:b/>
                <w:bCs/>
                <w:color w:val="000000"/>
                <w:sz w:val="16"/>
                <w:szCs w:val="16"/>
                <w:lang w:eastAsia="es-PE"/>
              </w:rPr>
              <w:t>País</w:t>
            </w:r>
          </w:p>
        </w:tc>
        <w:tc>
          <w:tcPr>
            <w:tcW w:w="1843" w:type="dxa"/>
            <w:tcBorders>
              <w:top w:val="nil"/>
              <w:left w:val="nil"/>
              <w:bottom w:val="single" w:sz="4" w:space="0" w:color="auto"/>
              <w:right w:val="nil"/>
            </w:tcBorders>
            <w:shd w:val="clear" w:color="000000" w:fill="FFFFFF"/>
            <w:noWrap/>
            <w:vAlign w:val="bottom"/>
          </w:tcPr>
          <w:p w14:paraId="06B49FA6"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Para negociación o con fines de cobertura</w:t>
            </w:r>
          </w:p>
        </w:tc>
        <w:tc>
          <w:tcPr>
            <w:tcW w:w="1134" w:type="dxa"/>
            <w:tcBorders>
              <w:top w:val="nil"/>
              <w:left w:val="single" w:sz="4" w:space="0" w:color="auto"/>
              <w:bottom w:val="single" w:sz="4" w:space="0" w:color="auto"/>
              <w:right w:val="single" w:sz="4" w:space="0" w:color="auto"/>
            </w:tcBorders>
            <w:shd w:val="clear" w:color="000000" w:fill="FFFFFF"/>
            <w:noWrap/>
          </w:tcPr>
          <w:p w14:paraId="06B49FA7"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Al momento inicial</w:t>
            </w:r>
          </w:p>
        </w:tc>
        <w:tc>
          <w:tcPr>
            <w:tcW w:w="1276" w:type="dxa"/>
            <w:tcBorders>
              <w:top w:val="nil"/>
              <w:left w:val="nil"/>
              <w:bottom w:val="single" w:sz="4" w:space="0" w:color="auto"/>
              <w:right w:val="single" w:sz="4" w:space="0" w:color="auto"/>
            </w:tcBorders>
            <w:shd w:val="clear" w:color="000000" w:fill="FFFFFF"/>
            <w:noWrap/>
            <w:vAlign w:val="bottom"/>
          </w:tcPr>
          <w:p w14:paraId="06B49FA8"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Cuentas por cobrar</w:t>
            </w:r>
          </w:p>
        </w:tc>
        <w:tc>
          <w:tcPr>
            <w:tcW w:w="1559" w:type="dxa"/>
            <w:tcBorders>
              <w:top w:val="nil"/>
              <w:left w:val="nil"/>
              <w:bottom w:val="single" w:sz="4" w:space="0" w:color="auto"/>
              <w:right w:val="single" w:sz="4" w:space="0" w:color="auto"/>
            </w:tcBorders>
            <w:shd w:val="clear" w:color="000000" w:fill="FFFFFF"/>
            <w:noWrap/>
            <w:vAlign w:val="bottom"/>
          </w:tcPr>
          <w:p w14:paraId="06B49FA9"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Inversiones Disponibles para la venta</w:t>
            </w:r>
          </w:p>
        </w:tc>
        <w:tc>
          <w:tcPr>
            <w:tcW w:w="1223" w:type="dxa"/>
            <w:tcBorders>
              <w:top w:val="nil"/>
              <w:left w:val="nil"/>
              <w:bottom w:val="single" w:sz="4" w:space="0" w:color="auto"/>
              <w:right w:val="single" w:sz="4" w:space="0" w:color="auto"/>
            </w:tcBorders>
            <w:shd w:val="clear" w:color="000000" w:fill="FFFFFF"/>
            <w:noWrap/>
            <w:vAlign w:val="bottom"/>
          </w:tcPr>
          <w:p w14:paraId="06B49FAA" w14:textId="77777777" w:rsidR="00A658D0" w:rsidRDefault="00000000">
            <w:pPr>
              <w:jc w:val="center"/>
              <w:rPr>
                <w:rFonts w:ascii="Calibri" w:hAnsi="Calibri"/>
                <w:b/>
                <w:bCs/>
                <w:color w:val="000000"/>
                <w:sz w:val="16"/>
                <w:szCs w:val="16"/>
                <w:lang w:eastAsia="es-PE"/>
              </w:rPr>
            </w:pPr>
            <w:r>
              <w:rPr>
                <w:rFonts w:ascii="Calibri" w:hAnsi="Calibri"/>
                <w:b/>
                <w:bCs/>
                <w:color w:val="000000"/>
                <w:sz w:val="16"/>
                <w:szCs w:val="16"/>
                <w:lang w:eastAsia="es-PE"/>
              </w:rPr>
              <w:t>Total</w:t>
            </w:r>
          </w:p>
        </w:tc>
      </w:tr>
      <w:tr w:rsidR="00A658D0" w14:paraId="06B49FB2" w14:textId="77777777">
        <w:trPr>
          <w:trHeight w:val="6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A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xml:space="preserve">Perú </w:t>
            </w:r>
          </w:p>
        </w:tc>
        <w:tc>
          <w:tcPr>
            <w:tcW w:w="1843" w:type="dxa"/>
            <w:tcBorders>
              <w:top w:val="nil"/>
              <w:left w:val="nil"/>
              <w:bottom w:val="single" w:sz="4" w:space="0" w:color="auto"/>
              <w:right w:val="single" w:sz="4" w:space="0" w:color="auto"/>
            </w:tcBorders>
            <w:shd w:val="clear" w:color="000000" w:fill="FFFFFF"/>
            <w:noWrap/>
            <w:vAlign w:val="bottom"/>
          </w:tcPr>
          <w:p w14:paraId="06B49FA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A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A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B0"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B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B9" w14:textId="77777777">
        <w:trPr>
          <w:trHeight w:val="13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B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Estados Unidos</w:t>
            </w:r>
          </w:p>
        </w:tc>
        <w:tc>
          <w:tcPr>
            <w:tcW w:w="1843" w:type="dxa"/>
            <w:tcBorders>
              <w:top w:val="nil"/>
              <w:left w:val="nil"/>
              <w:bottom w:val="single" w:sz="4" w:space="0" w:color="auto"/>
              <w:right w:val="single" w:sz="4" w:space="0" w:color="auto"/>
            </w:tcBorders>
            <w:shd w:val="clear" w:color="000000" w:fill="FFFFFF"/>
            <w:noWrap/>
            <w:vAlign w:val="bottom"/>
          </w:tcPr>
          <w:p w14:paraId="06B49FB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B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B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B7"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B8"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C0" w14:textId="77777777">
        <w:trPr>
          <w:trHeight w:val="6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B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w:t>
            </w:r>
          </w:p>
        </w:tc>
        <w:tc>
          <w:tcPr>
            <w:tcW w:w="1843" w:type="dxa"/>
            <w:tcBorders>
              <w:top w:val="nil"/>
              <w:left w:val="nil"/>
              <w:bottom w:val="single" w:sz="4" w:space="0" w:color="auto"/>
              <w:right w:val="single" w:sz="4" w:space="0" w:color="auto"/>
            </w:tcBorders>
            <w:shd w:val="clear" w:color="000000" w:fill="FFFFFF"/>
            <w:noWrap/>
            <w:vAlign w:val="bottom"/>
          </w:tcPr>
          <w:p w14:paraId="06B49FB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B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B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BE"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BF"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C7" w14:textId="77777777">
        <w:trPr>
          <w:trHeight w:val="6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C1"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843" w:type="dxa"/>
            <w:tcBorders>
              <w:top w:val="nil"/>
              <w:left w:val="nil"/>
              <w:bottom w:val="single" w:sz="4" w:space="0" w:color="auto"/>
              <w:right w:val="single" w:sz="4" w:space="0" w:color="auto"/>
            </w:tcBorders>
            <w:shd w:val="clear" w:color="000000" w:fill="FFFFFF"/>
            <w:noWrap/>
            <w:vAlign w:val="bottom"/>
          </w:tcPr>
          <w:p w14:paraId="06B49FC2"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C3"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C4"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C5"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C6"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r w:rsidR="00A658D0" w14:paraId="06B49FCE" w14:textId="77777777">
        <w:trPr>
          <w:trHeight w:val="68"/>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6B49FC8" w14:textId="77777777" w:rsidR="00A658D0" w:rsidRDefault="00000000">
            <w:pPr>
              <w:rPr>
                <w:rFonts w:ascii="Calibri" w:hAnsi="Calibri"/>
                <w:b/>
                <w:bCs/>
                <w:color w:val="000000"/>
                <w:sz w:val="16"/>
                <w:szCs w:val="16"/>
                <w:lang w:eastAsia="es-PE"/>
              </w:rPr>
            </w:pPr>
            <w:r>
              <w:rPr>
                <w:rFonts w:ascii="Calibri" w:hAnsi="Calibri"/>
                <w:b/>
                <w:bCs/>
                <w:color w:val="000000"/>
                <w:sz w:val="16"/>
                <w:szCs w:val="16"/>
                <w:lang w:eastAsia="es-PE"/>
              </w:rPr>
              <w:t>TOTAL</w:t>
            </w:r>
          </w:p>
        </w:tc>
        <w:tc>
          <w:tcPr>
            <w:tcW w:w="1843" w:type="dxa"/>
            <w:tcBorders>
              <w:top w:val="nil"/>
              <w:left w:val="nil"/>
              <w:bottom w:val="single" w:sz="4" w:space="0" w:color="auto"/>
              <w:right w:val="single" w:sz="4" w:space="0" w:color="auto"/>
            </w:tcBorders>
            <w:shd w:val="clear" w:color="000000" w:fill="FFFFFF"/>
            <w:noWrap/>
            <w:vAlign w:val="bottom"/>
          </w:tcPr>
          <w:p w14:paraId="06B49FC9"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bottom"/>
          </w:tcPr>
          <w:p w14:paraId="06B49FCA"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9FCB"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559" w:type="dxa"/>
            <w:tcBorders>
              <w:top w:val="nil"/>
              <w:left w:val="nil"/>
              <w:bottom w:val="single" w:sz="4" w:space="0" w:color="auto"/>
              <w:right w:val="single" w:sz="4" w:space="0" w:color="auto"/>
            </w:tcBorders>
            <w:shd w:val="clear" w:color="000000" w:fill="FFFFFF"/>
            <w:noWrap/>
            <w:vAlign w:val="bottom"/>
          </w:tcPr>
          <w:p w14:paraId="06B49FCC"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c>
          <w:tcPr>
            <w:tcW w:w="1223" w:type="dxa"/>
            <w:tcBorders>
              <w:top w:val="nil"/>
              <w:left w:val="nil"/>
              <w:bottom w:val="single" w:sz="4" w:space="0" w:color="auto"/>
              <w:right w:val="single" w:sz="4" w:space="0" w:color="auto"/>
            </w:tcBorders>
            <w:shd w:val="clear" w:color="000000" w:fill="FFFFFF"/>
            <w:noWrap/>
            <w:vAlign w:val="bottom"/>
          </w:tcPr>
          <w:p w14:paraId="06B49FCD" w14:textId="77777777" w:rsidR="00A658D0" w:rsidRDefault="00000000">
            <w:pPr>
              <w:rPr>
                <w:rFonts w:ascii="Calibri" w:hAnsi="Calibri"/>
                <w:color w:val="000000"/>
                <w:sz w:val="16"/>
                <w:szCs w:val="16"/>
                <w:lang w:eastAsia="es-PE"/>
              </w:rPr>
            </w:pPr>
            <w:r>
              <w:rPr>
                <w:rFonts w:ascii="Calibri" w:hAnsi="Calibri"/>
                <w:color w:val="000000"/>
                <w:sz w:val="16"/>
                <w:szCs w:val="16"/>
                <w:lang w:eastAsia="es-PE"/>
              </w:rPr>
              <w:t> </w:t>
            </w:r>
          </w:p>
        </w:tc>
      </w:tr>
    </w:tbl>
    <w:p w14:paraId="06B49FCF" w14:textId="77777777" w:rsidR="00A658D0" w:rsidRDefault="00A658D0"/>
    <w:p w14:paraId="06B49FD0" w14:textId="77777777" w:rsidR="00A658D0" w:rsidRDefault="00000000">
      <w:pPr>
        <w:ind w:left="-851"/>
        <w:rPr>
          <w:rFonts w:ascii="Arial Narrow" w:hAnsi="Arial Narrow"/>
          <w:b/>
          <w:sz w:val="18"/>
          <w:szCs w:val="18"/>
        </w:rPr>
      </w:pPr>
      <w:r>
        <w:rPr>
          <w:rFonts w:ascii="Arial Narrow" w:hAnsi="Arial Narrow"/>
          <w:b/>
          <w:sz w:val="18"/>
          <w:szCs w:val="18"/>
        </w:rPr>
        <w:t>POR TIPO DE CONTRATO DE SEGURO</w:t>
      </w:r>
    </w:p>
    <w:tbl>
      <w:tblPr>
        <w:tblW w:w="5412" w:type="pct"/>
        <w:tblInd w:w="-781" w:type="dxa"/>
        <w:tblLayout w:type="fixed"/>
        <w:tblCellMar>
          <w:left w:w="70" w:type="dxa"/>
          <w:right w:w="70" w:type="dxa"/>
        </w:tblCellMar>
        <w:tblLook w:val="04A0" w:firstRow="1" w:lastRow="0" w:firstColumn="1" w:lastColumn="0" w:noHBand="0" w:noVBand="1"/>
      </w:tblPr>
      <w:tblGrid>
        <w:gridCol w:w="2784"/>
        <w:gridCol w:w="1392"/>
        <w:gridCol w:w="277"/>
        <w:gridCol w:w="1124"/>
        <w:gridCol w:w="268"/>
        <w:gridCol w:w="1390"/>
        <w:gridCol w:w="277"/>
        <w:gridCol w:w="1396"/>
        <w:gridCol w:w="276"/>
      </w:tblGrid>
      <w:tr w:rsidR="00A658D0" w14:paraId="06B49FD4" w14:textId="77777777">
        <w:trPr>
          <w:trHeight w:val="50"/>
        </w:trPr>
        <w:tc>
          <w:tcPr>
            <w:tcW w:w="1515"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14:paraId="06B49FD1"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Contratos de seguro</w:t>
            </w:r>
          </w:p>
        </w:tc>
        <w:tc>
          <w:tcPr>
            <w:tcW w:w="1667" w:type="pct"/>
            <w:gridSpan w:val="4"/>
            <w:tcBorders>
              <w:top w:val="single" w:sz="8" w:space="0" w:color="auto"/>
              <w:left w:val="nil"/>
              <w:bottom w:val="single" w:sz="4" w:space="0" w:color="auto"/>
              <w:right w:val="single" w:sz="8" w:space="0" w:color="000000"/>
            </w:tcBorders>
            <w:shd w:val="clear" w:color="000000" w:fill="FFFFFF"/>
            <w:noWrap/>
            <w:vAlign w:val="bottom"/>
          </w:tcPr>
          <w:p w14:paraId="06B49FD2"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20X2</w:t>
            </w:r>
          </w:p>
        </w:tc>
        <w:tc>
          <w:tcPr>
            <w:tcW w:w="1818" w:type="pct"/>
            <w:gridSpan w:val="4"/>
            <w:tcBorders>
              <w:top w:val="single" w:sz="8" w:space="0" w:color="auto"/>
              <w:left w:val="nil"/>
              <w:bottom w:val="single" w:sz="4" w:space="0" w:color="auto"/>
              <w:right w:val="single" w:sz="8" w:space="0" w:color="000000"/>
            </w:tcBorders>
            <w:shd w:val="clear" w:color="000000" w:fill="FFFFFF"/>
            <w:noWrap/>
            <w:vAlign w:val="bottom"/>
          </w:tcPr>
          <w:p w14:paraId="06B49FD3"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20X1</w:t>
            </w:r>
          </w:p>
        </w:tc>
      </w:tr>
      <w:tr w:rsidR="00A658D0" w14:paraId="06B49FDE" w14:textId="77777777">
        <w:trPr>
          <w:trHeight w:val="988"/>
        </w:trPr>
        <w:tc>
          <w:tcPr>
            <w:tcW w:w="1515" w:type="pct"/>
            <w:vMerge/>
            <w:tcBorders>
              <w:top w:val="single" w:sz="8" w:space="0" w:color="auto"/>
              <w:left w:val="single" w:sz="8" w:space="0" w:color="auto"/>
              <w:bottom w:val="single" w:sz="8" w:space="0" w:color="000000"/>
              <w:right w:val="single" w:sz="8" w:space="0" w:color="auto"/>
            </w:tcBorders>
            <w:vAlign w:val="center"/>
          </w:tcPr>
          <w:p w14:paraId="06B49FD5" w14:textId="77777777" w:rsidR="00A658D0" w:rsidRDefault="00A658D0">
            <w:pPr>
              <w:rPr>
                <w:rFonts w:ascii="Arial Narrow" w:hAnsi="Arial Narrow"/>
                <w:b/>
                <w:bCs/>
                <w:color w:val="000000"/>
                <w:sz w:val="16"/>
                <w:szCs w:val="16"/>
                <w:lang w:eastAsia="es-PE"/>
              </w:rPr>
            </w:pPr>
          </w:p>
        </w:tc>
        <w:tc>
          <w:tcPr>
            <w:tcW w:w="758" w:type="pct"/>
            <w:tcBorders>
              <w:top w:val="nil"/>
              <w:left w:val="nil"/>
              <w:bottom w:val="single" w:sz="8" w:space="0" w:color="auto"/>
              <w:right w:val="single" w:sz="4" w:space="0" w:color="auto"/>
            </w:tcBorders>
            <w:shd w:val="clear" w:color="000000" w:fill="FFFFFF"/>
            <w:noWrap/>
            <w:vAlign w:val="center"/>
          </w:tcPr>
          <w:p w14:paraId="06B49FD6" w14:textId="77777777" w:rsidR="00A658D0" w:rsidRDefault="00000000">
            <w:pPr>
              <w:jc w:val="both"/>
              <w:rPr>
                <w:rFonts w:ascii="Arial Narrow" w:hAnsi="Arial Narrow"/>
                <w:b/>
                <w:bCs/>
                <w:color w:val="000000"/>
                <w:sz w:val="16"/>
                <w:szCs w:val="16"/>
                <w:lang w:eastAsia="es-PE"/>
              </w:rPr>
            </w:pPr>
            <w:r>
              <w:rPr>
                <w:rFonts w:ascii="Arial Narrow" w:hAnsi="Arial Narrow"/>
                <w:b/>
                <w:bCs/>
                <w:color w:val="000000"/>
                <w:sz w:val="16"/>
                <w:szCs w:val="16"/>
                <w:lang w:eastAsia="es-PE"/>
              </w:rPr>
              <w:t>Cuentas por cobrar por operaciones de Seguros</w:t>
            </w:r>
          </w:p>
        </w:tc>
        <w:tc>
          <w:tcPr>
            <w:tcW w:w="151" w:type="pct"/>
            <w:tcBorders>
              <w:top w:val="nil"/>
              <w:left w:val="nil"/>
              <w:bottom w:val="single" w:sz="8" w:space="0" w:color="auto"/>
              <w:right w:val="single" w:sz="4" w:space="0" w:color="auto"/>
            </w:tcBorders>
            <w:shd w:val="clear" w:color="000000" w:fill="FFFFFF"/>
            <w:noWrap/>
            <w:vAlign w:val="center"/>
          </w:tcPr>
          <w:p w14:paraId="06B49FD7"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w:t>
            </w:r>
          </w:p>
        </w:tc>
        <w:tc>
          <w:tcPr>
            <w:tcW w:w="612" w:type="pct"/>
            <w:tcBorders>
              <w:top w:val="nil"/>
              <w:left w:val="nil"/>
              <w:bottom w:val="single" w:sz="8" w:space="0" w:color="auto"/>
              <w:right w:val="single" w:sz="4" w:space="0" w:color="auto"/>
            </w:tcBorders>
            <w:shd w:val="clear" w:color="000000" w:fill="FFFFFF"/>
            <w:noWrap/>
            <w:vAlign w:val="center"/>
          </w:tcPr>
          <w:p w14:paraId="06B49FD8" w14:textId="77777777" w:rsidR="00A658D0" w:rsidRDefault="00000000">
            <w:pPr>
              <w:jc w:val="both"/>
              <w:rPr>
                <w:rFonts w:ascii="Arial Narrow" w:hAnsi="Arial Narrow"/>
                <w:b/>
                <w:bCs/>
                <w:color w:val="000000"/>
                <w:sz w:val="16"/>
                <w:szCs w:val="16"/>
                <w:lang w:eastAsia="es-PE"/>
              </w:rPr>
            </w:pPr>
            <w:r>
              <w:rPr>
                <w:rFonts w:ascii="Arial Narrow" w:hAnsi="Arial Narrow"/>
                <w:b/>
                <w:bCs/>
                <w:color w:val="000000"/>
                <w:sz w:val="16"/>
                <w:szCs w:val="16"/>
                <w:lang w:eastAsia="es-PE"/>
              </w:rPr>
              <w:t>Cuentas por Cobrar a reaseguradores y Coaseguradores</w:t>
            </w:r>
          </w:p>
        </w:tc>
        <w:tc>
          <w:tcPr>
            <w:tcW w:w="146" w:type="pct"/>
            <w:tcBorders>
              <w:top w:val="nil"/>
              <w:left w:val="nil"/>
              <w:bottom w:val="single" w:sz="8" w:space="0" w:color="auto"/>
              <w:right w:val="single" w:sz="8" w:space="0" w:color="auto"/>
            </w:tcBorders>
            <w:shd w:val="clear" w:color="000000" w:fill="FFFFFF"/>
            <w:noWrap/>
            <w:vAlign w:val="center"/>
          </w:tcPr>
          <w:p w14:paraId="06B49FD9"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w:t>
            </w:r>
          </w:p>
        </w:tc>
        <w:tc>
          <w:tcPr>
            <w:tcW w:w="757" w:type="pct"/>
            <w:tcBorders>
              <w:top w:val="nil"/>
              <w:left w:val="nil"/>
              <w:bottom w:val="single" w:sz="8" w:space="0" w:color="auto"/>
              <w:right w:val="single" w:sz="4" w:space="0" w:color="auto"/>
            </w:tcBorders>
            <w:shd w:val="clear" w:color="000000" w:fill="FFFFFF"/>
            <w:noWrap/>
            <w:vAlign w:val="center"/>
          </w:tcPr>
          <w:p w14:paraId="06B49FDA" w14:textId="77777777" w:rsidR="00A658D0" w:rsidRDefault="00000000">
            <w:pPr>
              <w:jc w:val="both"/>
              <w:rPr>
                <w:rFonts w:ascii="Arial Narrow" w:hAnsi="Arial Narrow"/>
                <w:b/>
                <w:bCs/>
                <w:color w:val="000000"/>
                <w:sz w:val="16"/>
                <w:szCs w:val="16"/>
                <w:lang w:eastAsia="es-PE"/>
              </w:rPr>
            </w:pPr>
            <w:r>
              <w:rPr>
                <w:rFonts w:ascii="Arial Narrow" w:hAnsi="Arial Narrow"/>
                <w:b/>
                <w:bCs/>
                <w:color w:val="000000"/>
                <w:sz w:val="16"/>
                <w:szCs w:val="16"/>
                <w:lang w:eastAsia="es-PE"/>
              </w:rPr>
              <w:t>Cuentas por cobrar por operaciones de Seguros</w:t>
            </w:r>
          </w:p>
        </w:tc>
        <w:tc>
          <w:tcPr>
            <w:tcW w:w="151" w:type="pct"/>
            <w:tcBorders>
              <w:top w:val="nil"/>
              <w:left w:val="nil"/>
              <w:bottom w:val="single" w:sz="8" w:space="0" w:color="auto"/>
              <w:right w:val="single" w:sz="4" w:space="0" w:color="auto"/>
            </w:tcBorders>
            <w:shd w:val="clear" w:color="000000" w:fill="FFFFFF"/>
            <w:noWrap/>
            <w:vAlign w:val="center"/>
          </w:tcPr>
          <w:p w14:paraId="06B49FDB"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w:t>
            </w:r>
          </w:p>
        </w:tc>
        <w:tc>
          <w:tcPr>
            <w:tcW w:w="760" w:type="pct"/>
            <w:tcBorders>
              <w:top w:val="nil"/>
              <w:left w:val="nil"/>
              <w:bottom w:val="single" w:sz="8" w:space="0" w:color="auto"/>
              <w:right w:val="single" w:sz="4" w:space="0" w:color="auto"/>
            </w:tcBorders>
            <w:shd w:val="clear" w:color="000000" w:fill="FFFFFF"/>
            <w:noWrap/>
            <w:vAlign w:val="center"/>
          </w:tcPr>
          <w:p w14:paraId="06B49FDC" w14:textId="77777777" w:rsidR="00A658D0" w:rsidRDefault="00000000">
            <w:pPr>
              <w:jc w:val="both"/>
              <w:rPr>
                <w:rFonts w:ascii="Arial Narrow" w:hAnsi="Arial Narrow"/>
                <w:b/>
                <w:bCs/>
                <w:color w:val="000000"/>
                <w:sz w:val="16"/>
                <w:szCs w:val="16"/>
                <w:lang w:eastAsia="es-PE"/>
              </w:rPr>
            </w:pPr>
            <w:r>
              <w:rPr>
                <w:rFonts w:ascii="Arial Narrow" w:hAnsi="Arial Narrow"/>
                <w:b/>
                <w:bCs/>
                <w:color w:val="000000"/>
                <w:sz w:val="16"/>
                <w:szCs w:val="16"/>
                <w:lang w:eastAsia="es-PE"/>
              </w:rPr>
              <w:t>Cuentas por Cobrar a reaseguradores y Coaseguradores</w:t>
            </w:r>
          </w:p>
        </w:tc>
        <w:tc>
          <w:tcPr>
            <w:tcW w:w="150" w:type="pct"/>
            <w:tcBorders>
              <w:top w:val="nil"/>
              <w:left w:val="nil"/>
              <w:bottom w:val="single" w:sz="8" w:space="0" w:color="auto"/>
              <w:right w:val="single" w:sz="8" w:space="0" w:color="auto"/>
            </w:tcBorders>
            <w:shd w:val="clear" w:color="000000" w:fill="FFFFFF"/>
            <w:noWrap/>
            <w:vAlign w:val="center"/>
          </w:tcPr>
          <w:p w14:paraId="06B49FDD" w14:textId="77777777" w:rsidR="00A658D0" w:rsidRDefault="00000000">
            <w:pPr>
              <w:jc w:val="center"/>
              <w:rPr>
                <w:rFonts w:ascii="Arial Narrow" w:hAnsi="Arial Narrow"/>
                <w:b/>
                <w:bCs/>
                <w:color w:val="000000"/>
                <w:sz w:val="16"/>
                <w:szCs w:val="16"/>
                <w:lang w:eastAsia="es-PE"/>
              </w:rPr>
            </w:pPr>
            <w:r>
              <w:rPr>
                <w:rFonts w:ascii="Arial Narrow" w:hAnsi="Arial Narrow"/>
                <w:b/>
                <w:bCs/>
                <w:color w:val="000000"/>
                <w:sz w:val="16"/>
                <w:szCs w:val="16"/>
                <w:lang w:eastAsia="es-PE"/>
              </w:rPr>
              <w:t>%</w:t>
            </w:r>
          </w:p>
        </w:tc>
      </w:tr>
      <w:tr w:rsidR="00A658D0" w14:paraId="06B49FE8" w14:textId="77777777">
        <w:trPr>
          <w:trHeight w:val="213"/>
        </w:trPr>
        <w:tc>
          <w:tcPr>
            <w:tcW w:w="1515" w:type="pct"/>
            <w:tcBorders>
              <w:top w:val="nil"/>
              <w:left w:val="single" w:sz="8" w:space="0" w:color="auto"/>
              <w:bottom w:val="nil"/>
              <w:right w:val="single" w:sz="8" w:space="0" w:color="auto"/>
            </w:tcBorders>
            <w:shd w:val="clear" w:color="000000" w:fill="FFFFFF"/>
            <w:noWrap/>
            <w:vAlign w:val="bottom"/>
          </w:tcPr>
          <w:p w14:paraId="06B49FDF"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VIDA</w:t>
            </w:r>
          </w:p>
        </w:tc>
        <w:tc>
          <w:tcPr>
            <w:tcW w:w="758" w:type="pct"/>
            <w:tcBorders>
              <w:top w:val="nil"/>
              <w:left w:val="nil"/>
              <w:bottom w:val="nil"/>
              <w:right w:val="nil"/>
            </w:tcBorders>
            <w:shd w:val="clear" w:color="000000" w:fill="FFFFFF"/>
            <w:noWrap/>
            <w:vAlign w:val="bottom"/>
          </w:tcPr>
          <w:p w14:paraId="06B49FE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nil"/>
              <w:right w:val="nil"/>
            </w:tcBorders>
            <w:shd w:val="clear" w:color="000000" w:fill="FFFFFF"/>
            <w:noWrap/>
            <w:vAlign w:val="bottom"/>
          </w:tcPr>
          <w:p w14:paraId="06B49FE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nil"/>
              <w:right w:val="nil"/>
            </w:tcBorders>
            <w:shd w:val="clear" w:color="000000" w:fill="FFFFFF"/>
            <w:noWrap/>
            <w:vAlign w:val="bottom"/>
          </w:tcPr>
          <w:p w14:paraId="06B49FE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nil"/>
              <w:right w:val="single" w:sz="8" w:space="0" w:color="auto"/>
            </w:tcBorders>
            <w:shd w:val="clear" w:color="000000" w:fill="FFFFFF"/>
            <w:noWrap/>
            <w:vAlign w:val="bottom"/>
          </w:tcPr>
          <w:p w14:paraId="06B49FE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nil"/>
              <w:right w:val="nil"/>
            </w:tcBorders>
            <w:shd w:val="clear" w:color="000000" w:fill="FFFFFF"/>
            <w:noWrap/>
            <w:vAlign w:val="bottom"/>
          </w:tcPr>
          <w:p w14:paraId="06B49FE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nil"/>
              <w:right w:val="nil"/>
            </w:tcBorders>
            <w:shd w:val="clear" w:color="000000" w:fill="FFFFFF"/>
            <w:noWrap/>
            <w:vAlign w:val="bottom"/>
          </w:tcPr>
          <w:p w14:paraId="06B49FE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nil"/>
              <w:right w:val="nil"/>
            </w:tcBorders>
            <w:shd w:val="clear" w:color="000000" w:fill="FFFFFF"/>
            <w:noWrap/>
            <w:vAlign w:val="bottom"/>
          </w:tcPr>
          <w:p w14:paraId="06B49FE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nil"/>
              <w:right w:val="single" w:sz="8" w:space="0" w:color="auto"/>
            </w:tcBorders>
            <w:shd w:val="clear" w:color="000000" w:fill="FFFFFF"/>
            <w:noWrap/>
            <w:vAlign w:val="bottom"/>
          </w:tcPr>
          <w:p w14:paraId="06B49FE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FF2" w14:textId="77777777">
        <w:trPr>
          <w:trHeight w:val="126"/>
        </w:trPr>
        <w:tc>
          <w:tcPr>
            <w:tcW w:w="1515" w:type="pct"/>
            <w:tcBorders>
              <w:top w:val="single" w:sz="4" w:space="0" w:color="auto"/>
              <w:left w:val="single" w:sz="8" w:space="0" w:color="auto"/>
              <w:bottom w:val="single" w:sz="4" w:space="0" w:color="auto"/>
              <w:right w:val="single" w:sz="8" w:space="0" w:color="auto"/>
            </w:tcBorders>
            <w:shd w:val="clear" w:color="000000" w:fill="FFFFFF"/>
            <w:noWrap/>
            <w:vAlign w:val="bottom"/>
          </w:tcPr>
          <w:p w14:paraId="06B49FE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Vida</w:t>
            </w:r>
          </w:p>
        </w:tc>
        <w:tc>
          <w:tcPr>
            <w:tcW w:w="758" w:type="pct"/>
            <w:tcBorders>
              <w:top w:val="single" w:sz="4" w:space="0" w:color="auto"/>
              <w:left w:val="nil"/>
              <w:bottom w:val="single" w:sz="4" w:space="0" w:color="auto"/>
              <w:right w:val="single" w:sz="4" w:space="0" w:color="auto"/>
            </w:tcBorders>
            <w:shd w:val="clear" w:color="000000" w:fill="FFFFFF"/>
            <w:noWrap/>
            <w:vAlign w:val="bottom"/>
          </w:tcPr>
          <w:p w14:paraId="06B49FE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single" w:sz="4" w:space="0" w:color="auto"/>
              <w:left w:val="nil"/>
              <w:bottom w:val="single" w:sz="4" w:space="0" w:color="auto"/>
              <w:right w:val="single" w:sz="4" w:space="0" w:color="auto"/>
            </w:tcBorders>
            <w:shd w:val="clear" w:color="000000" w:fill="FFFFFF"/>
            <w:noWrap/>
            <w:vAlign w:val="bottom"/>
          </w:tcPr>
          <w:p w14:paraId="06B49FE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single" w:sz="4" w:space="0" w:color="auto"/>
              <w:left w:val="nil"/>
              <w:bottom w:val="single" w:sz="4" w:space="0" w:color="auto"/>
              <w:right w:val="single" w:sz="4" w:space="0" w:color="auto"/>
            </w:tcBorders>
            <w:shd w:val="clear" w:color="000000" w:fill="FFFFFF"/>
            <w:noWrap/>
            <w:vAlign w:val="bottom"/>
          </w:tcPr>
          <w:p w14:paraId="06B49FE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single" w:sz="4" w:space="0" w:color="auto"/>
              <w:left w:val="nil"/>
              <w:bottom w:val="single" w:sz="4" w:space="0" w:color="auto"/>
              <w:right w:val="single" w:sz="8" w:space="0" w:color="auto"/>
            </w:tcBorders>
            <w:shd w:val="clear" w:color="000000" w:fill="FFFFFF"/>
            <w:noWrap/>
            <w:vAlign w:val="bottom"/>
          </w:tcPr>
          <w:p w14:paraId="06B49FE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single" w:sz="4" w:space="0" w:color="auto"/>
              <w:left w:val="nil"/>
              <w:bottom w:val="single" w:sz="4" w:space="0" w:color="auto"/>
              <w:right w:val="single" w:sz="4" w:space="0" w:color="auto"/>
            </w:tcBorders>
            <w:shd w:val="clear" w:color="000000" w:fill="FFFFFF"/>
            <w:noWrap/>
            <w:vAlign w:val="bottom"/>
          </w:tcPr>
          <w:p w14:paraId="06B49FE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single" w:sz="4" w:space="0" w:color="auto"/>
              <w:left w:val="nil"/>
              <w:bottom w:val="single" w:sz="4" w:space="0" w:color="auto"/>
              <w:right w:val="single" w:sz="4" w:space="0" w:color="auto"/>
            </w:tcBorders>
            <w:shd w:val="clear" w:color="000000" w:fill="FFFFFF"/>
            <w:noWrap/>
            <w:vAlign w:val="bottom"/>
          </w:tcPr>
          <w:p w14:paraId="06B49FE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single" w:sz="4" w:space="0" w:color="auto"/>
              <w:left w:val="nil"/>
              <w:bottom w:val="single" w:sz="4" w:space="0" w:color="auto"/>
              <w:right w:val="single" w:sz="4" w:space="0" w:color="auto"/>
            </w:tcBorders>
            <w:shd w:val="clear" w:color="000000" w:fill="FFFFFF"/>
            <w:noWrap/>
            <w:vAlign w:val="bottom"/>
          </w:tcPr>
          <w:p w14:paraId="06B49FF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single" w:sz="4" w:space="0" w:color="auto"/>
              <w:left w:val="nil"/>
              <w:bottom w:val="single" w:sz="4" w:space="0" w:color="auto"/>
              <w:right w:val="single" w:sz="8" w:space="0" w:color="auto"/>
            </w:tcBorders>
            <w:shd w:val="clear" w:color="000000" w:fill="FFFFFF"/>
            <w:noWrap/>
            <w:vAlign w:val="bottom"/>
          </w:tcPr>
          <w:p w14:paraId="06B49FF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9FFC" w14:textId="77777777">
        <w:trPr>
          <w:trHeight w:val="72"/>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9FF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Renta particular</w:t>
            </w:r>
          </w:p>
        </w:tc>
        <w:tc>
          <w:tcPr>
            <w:tcW w:w="758" w:type="pct"/>
            <w:tcBorders>
              <w:top w:val="nil"/>
              <w:left w:val="nil"/>
              <w:bottom w:val="single" w:sz="4" w:space="0" w:color="auto"/>
              <w:right w:val="single" w:sz="4" w:space="0" w:color="auto"/>
            </w:tcBorders>
            <w:shd w:val="clear" w:color="000000" w:fill="FFFFFF"/>
            <w:noWrap/>
            <w:vAlign w:val="bottom"/>
          </w:tcPr>
          <w:p w14:paraId="06B49FF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9FF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9FF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9FF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9FF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9FF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9FF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9FF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06"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9FF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Renta de jubilados</w:t>
            </w:r>
          </w:p>
        </w:tc>
        <w:tc>
          <w:tcPr>
            <w:tcW w:w="758" w:type="pct"/>
            <w:tcBorders>
              <w:top w:val="nil"/>
              <w:left w:val="nil"/>
              <w:bottom w:val="single" w:sz="4" w:space="0" w:color="auto"/>
              <w:right w:val="single" w:sz="4" w:space="0" w:color="auto"/>
            </w:tcBorders>
            <w:shd w:val="clear" w:color="000000" w:fill="FFFFFF"/>
            <w:noWrap/>
            <w:vAlign w:val="bottom"/>
          </w:tcPr>
          <w:p w14:paraId="06B49FF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9FF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0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0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0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0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0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0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10"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0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Seguro Complementario de trabajo de riesgo</w:t>
            </w:r>
          </w:p>
        </w:tc>
        <w:tc>
          <w:tcPr>
            <w:tcW w:w="758" w:type="pct"/>
            <w:tcBorders>
              <w:top w:val="nil"/>
              <w:left w:val="nil"/>
              <w:bottom w:val="single" w:sz="4" w:space="0" w:color="auto"/>
              <w:right w:val="single" w:sz="4" w:space="0" w:color="auto"/>
            </w:tcBorders>
            <w:shd w:val="clear" w:color="000000" w:fill="FFFFFF"/>
            <w:noWrap/>
            <w:vAlign w:val="bottom"/>
          </w:tcPr>
          <w:p w14:paraId="06B4A00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0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0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0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0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0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0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0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1A"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1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Seguros previsionales</w:t>
            </w:r>
          </w:p>
        </w:tc>
        <w:tc>
          <w:tcPr>
            <w:tcW w:w="758" w:type="pct"/>
            <w:tcBorders>
              <w:top w:val="nil"/>
              <w:left w:val="nil"/>
              <w:bottom w:val="single" w:sz="4" w:space="0" w:color="auto"/>
              <w:right w:val="single" w:sz="4" w:space="0" w:color="auto"/>
            </w:tcBorders>
            <w:shd w:val="clear" w:color="000000" w:fill="FFFFFF"/>
            <w:noWrap/>
            <w:vAlign w:val="bottom"/>
          </w:tcPr>
          <w:p w14:paraId="06B4A01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1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1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1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1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1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1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1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24"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1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Pensiones de invalidez</w:t>
            </w:r>
          </w:p>
        </w:tc>
        <w:tc>
          <w:tcPr>
            <w:tcW w:w="758" w:type="pct"/>
            <w:tcBorders>
              <w:top w:val="nil"/>
              <w:left w:val="nil"/>
              <w:bottom w:val="single" w:sz="4" w:space="0" w:color="auto"/>
              <w:right w:val="single" w:sz="4" w:space="0" w:color="auto"/>
            </w:tcBorders>
            <w:shd w:val="clear" w:color="000000" w:fill="FFFFFF"/>
            <w:noWrap/>
            <w:vAlign w:val="bottom"/>
          </w:tcPr>
          <w:p w14:paraId="06B4A01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1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1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1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2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2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2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2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2E"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2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Pensiones de sobrevivencia</w:t>
            </w:r>
          </w:p>
        </w:tc>
        <w:tc>
          <w:tcPr>
            <w:tcW w:w="758" w:type="pct"/>
            <w:tcBorders>
              <w:top w:val="nil"/>
              <w:left w:val="nil"/>
              <w:bottom w:val="single" w:sz="4" w:space="0" w:color="auto"/>
              <w:right w:val="single" w:sz="4" w:space="0" w:color="auto"/>
            </w:tcBorders>
            <w:shd w:val="clear" w:color="000000" w:fill="FFFFFF"/>
            <w:noWrap/>
            <w:vAlign w:val="bottom"/>
          </w:tcPr>
          <w:p w14:paraId="06B4A02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2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2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2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2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2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2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2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38"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2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8" w:type="pct"/>
            <w:tcBorders>
              <w:top w:val="nil"/>
              <w:left w:val="nil"/>
              <w:bottom w:val="single" w:sz="4" w:space="0" w:color="auto"/>
              <w:right w:val="single" w:sz="4" w:space="0" w:color="auto"/>
            </w:tcBorders>
            <w:shd w:val="clear" w:color="000000" w:fill="FFFFFF"/>
            <w:noWrap/>
            <w:vAlign w:val="bottom"/>
          </w:tcPr>
          <w:p w14:paraId="06B4A03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3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3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3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3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3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3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3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42" w14:textId="77777777">
        <w:trPr>
          <w:trHeight w:val="60"/>
        </w:trPr>
        <w:tc>
          <w:tcPr>
            <w:tcW w:w="1515" w:type="pct"/>
            <w:tcBorders>
              <w:top w:val="nil"/>
              <w:left w:val="single" w:sz="8" w:space="0" w:color="auto"/>
              <w:bottom w:val="nil"/>
              <w:right w:val="single" w:sz="8" w:space="0" w:color="auto"/>
            </w:tcBorders>
            <w:shd w:val="clear" w:color="000000" w:fill="FFFFFF"/>
            <w:noWrap/>
            <w:vAlign w:val="bottom"/>
          </w:tcPr>
          <w:p w14:paraId="06B4A039"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GENERALES</w:t>
            </w:r>
          </w:p>
        </w:tc>
        <w:tc>
          <w:tcPr>
            <w:tcW w:w="758" w:type="pct"/>
            <w:tcBorders>
              <w:top w:val="nil"/>
              <w:left w:val="nil"/>
              <w:bottom w:val="nil"/>
              <w:right w:val="nil"/>
            </w:tcBorders>
            <w:shd w:val="clear" w:color="000000" w:fill="FFFFFF"/>
            <w:noWrap/>
            <w:vAlign w:val="bottom"/>
          </w:tcPr>
          <w:p w14:paraId="06B4A03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nil"/>
              <w:right w:val="nil"/>
            </w:tcBorders>
            <w:shd w:val="clear" w:color="000000" w:fill="FFFFFF"/>
            <w:noWrap/>
            <w:vAlign w:val="bottom"/>
          </w:tcPr>
          <w:p w14:paraId="06B4A03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nil"/>
              <w:right w:val="nil"/>
            </w:tcBorders>
            <w:shd w:val="clear" w:color="000000" w:fill="FFFFFF"/>
            <w:noWrap/>
            <w:vAlign w:val="bottom"/>
          </w:tcPr>
          <w:p w14:paraId="06B4A03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nil"/>
              <w:right w:val="single" w:sz="8" w:space="0" w:color="auto"/>
            </w:tcBorders>
            <w:shd w:val="clear" w:color="000000" w:fill="FFFFFF"/>
            <w:noWrap/>
            <w:vAlign w:val="bottom"/>
          </w:tcPr>
          <w:p w14:paraId="06B4A03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nil"/>
              <w:right w:val="nil"/>
            </w:tcBorders>
            <w:shd w:val="clear" w:color="000000" w:fill="FFFFFF"/>
            <w:noWrap/>
            <w:vAlign w:val="bottom"/>
          </w:tcPr>
          <w:p w14:paraId="06B4A03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nil"/>
              <w:right w:val="nil"/>
            </w:tcBorders>
            <w:shd w:val="clear" w:color="000000" w:fill="FFFFFF"/>
            <w:noWrap/>
            <w:vAlign w:val="bottom"/>
          </w:tcPr>
          <w:p w14:paraId="06B4A03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nil"/>
              <w:right w:val="nil"/>
            </w:tcBorders>
            <w:shd w:val="clear" w:color="000000" w:fill="FFFFFF"/>
            <w:noWrap/>
            <w:vAlign w:val="bottom"/>
          </w:tcPr>
          <w:p w14:paraId="06B4A04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nil"/>
              <w:right w:val="single" w:sz="8" w:space="0" w:color="auto"/>
            </w:tcBorders>
            <w:shd w:val="clear" w:color="000000" w:fill="FFFFFF"/>
            <w:noWrap/>
            <w:vAlign w:val="bottom"/>
          </w:tcPr>
          <w:p w14:paraId="06B4A04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4C" w14:textId="77777777">
        <w:trPr>
          <w:trHeight w:val="60"/>
        </w:trPr>
        <w:tc>
          <w:tcPr>
            <w:tcW w:w="1515" w:type="pct"/>
            <w:tcBorders>
              <w:top w:val="single" w:sz="4" w:space="0" w:color="auto"/>
              <w:left w:val="single" w:sz="8" w:space="0" w:color="auto"/>
              <w:bottom w:val="single" w:sz="4" w:space="0" w:color="auto"/>
              <w:right w:val="single" w:sz="8" w:space="0" w:color="auto"/>
            </w:tcBorders>
            <w:shd w:val="clear" w:color="000000" w:fill="FFFFFF"/>
            <w:noWrap/>
            <w:vAlign w:val="bottom"/>
          </w:tcPr>
          <w:p w14:paraId="06B4A04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Incendio y Líneas de aliadas</w:t>
            </w:r>
          </w:p>
        </w:tc>
        <w:tc>
          <w:tcPr>
            <w:tcW w:w="758" w:type="pct"/>
            <w:tcBorders>
              <w:top w:val="single" w:sz="4" w:space="0" w:color="auto"/>
              <w:left w:val="nil"/>
              <w:bottom w:val="single" w:sz="4" w:space="0" w:color="auto"/>
              <w:right w:val="single" w:sz="4" w:space="0" w:color="auto"/>
            </w:tcBorders>
            <w:shd w:val="clear" w:color="000000" w:fill="FFFFFF"/>
            <w:noWrap/>
            <w:vAlign w:val="bottom"/>
          </w:tcPr>
          <w:p w14:paraId="06B4A04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single" w:sz="4" w:space="0" w:color="auto"/>
              <w:left w:val="nil"/>
              <w:bottom w:val="single" w:sz="4" w:space="0" w:color="auto"/>
              <w:right w:val="single" w:sz="4" w:space="0" w:color="auto"/>
            </w:tcBorders>
            <w:shd w:val="clear" w:color="000000" w:fill="FFFFFF"/>
            <w:noWrap/>
            <w:vAlign w:val="bottom"/>
          </w:tcPr>
          <w:p w14:paraId="06B4A04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single" w:sz="4" w:space="0" w:color="auto"/>
              <w:left w:val="nil"/>
              <w:bottom w:val="single" w:sz="4" w:space="0" w:color="auto"/>
              <w:right w:val="single" w:sz="4" w:space="0" w:color="auto"/>
            </w:tcBorders>
            <w:shd w:val="clear" w:color="000000" w:fill="FFFFFF"/>
            <w:noWrap/>
            <w:vAlign w:val="bottom"/>
          </w:tcPr>
          <w:p w14:paraId="06B4A04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single" w:sz="4" w:space="0" w:color="auto"/>
              <w:left w:val="nil"/>
              <w:bottom w:val="single" w:sz="4" w:space="0" w:color="auto"/>
              <w:right w:val="single" w:sz="8" w:space="0" w:color="auto"/>
            </w:tcBorders>
            <w:shd w:val="clear" w:color="000000" w:fill="FFFFFF"/>
            <w:noWrap/>
            <w:vAlign w:val="bottom"/>
          </w:tcPr>
          <w:p w14:paraId="06B4A04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single" w:sz="4" w:space="0" w:color="auto"/>
              <w:left w:val="nil"/>
              <w:bottom w:val="single" w:sz="4" w:space="0" w:color="auto"/>
              <w:right w:val="single" w:sz="4" w:space="0" w:color="auto"/>
            </w:tcBorders>
            <w:shd w:val="clear" w:color="000000" w:fill="FFFFFF"/>
            <w:noWrap/>
            <w:vAlign w:val="bottom"/>
          </w:tcPr>
          <w:p w14:paraId="06B4A04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single" w:sz="4" w:space="0" w:color="auto"/>
              <w:left w:val="nil"/>
              <w:bottom w:val="single" w:sz="4" w:space="0" w:color="auto"/>
              <w:right w:val="single" w:sz="4" w:space="0" w:color="auto"/>
            </w:tcBorders>
            <w:shd w:val="clear" w:color="000000" w:fill="FFFFFF"/>
            <w:noWrap/>
            <w:vAlign w:val="bottom"/>
          </w:tcPr>
          <w:p w14:paraId="06B4A04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single" w:sz="4" w:space="0" w:color="auto"/>
              <w:left w:val="nil"/>
              <w:bottom w:val="single" w:sz="4" w:space="0" w:color="auto"/>
              <w:right w:val="single" w:sz="4" w:space="0" w:color="auto"/>
            </w:tcBorders>
            <w:shd w:val="clear" w:color="000000" w:fill="FFFFFF"/>
            <w:noWrap/>
            <w:vAlign w:val="bottom"/>
          </w:tcPr>
          <w:p w14:paraId="06B4A04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single" w:sz="4" w:space="0" w:color="auto"/>
              <w:left w:val="nil"/>
              <w:bottom w:val="single" w:sz="4" w:space="0" w:color="auto"/>
              <w:right w:val="single" w:sz="8" w:space="0" w:color="auto"/>
            </w:tcBorders>
            <w:shd w:val="clear" w:color="000000" w:fill="FFFFFF"/>
            <w:noWrap/>
            <w:vAlign w:val="bottom"/>
          </w:tcPr>
          <w:p w14:paraId="06B4A04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56"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4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Lucro cesante</w:t>
            </w:r>
          </w:p>
        </w:tc>
        <w:tc>
          <w:tcPr>
            <w:tcW w:w="758" w:type="pct"/>
            <w:tcBorders>
              <w:top w:val="nil"/>
              <w:left w:val="nil"/>
              <w:bottom w:val="single" w:sz="4" w:space="0" w:color="auto"/>
              <w:right w:val="single" w:sz="4" w:space="0" w:color="auto"/>
            </w:tcBorders>
            <w:shd w:val="clear" w:color="000000" w:fill="FFFFFF"/>
            <w:noWrap/>
            <w:vAlign w:val="bottom"/>
          </w:tcPr>
          <w:p w14:paraId="06B4A04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4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5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5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5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5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5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5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60"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5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Transportes</w:t>
            </w:r>
          </w:p>
        </w:tc>
        <w:tc>
          <w:tcPr>
            <w:tcW w:w="758" w:type="pct"/>
            <w:tcBorders>
              <w:top w:val="nil"/>
              <w:left w:val="nil"/>
              <w:bottom w:val="single" w:sz="4" w:space="0" w:color="auto"/>
              <w:right w:val="single" w:sz="4" w:space="0" w:color="auto"/>
            </w:tcBorders>
            <w:shd w:val="clear" w:color="000000" w:fill="FFFFFF"/>
            <w:noWrap/>
            <w:vAlign w:val="bottom"/>
          </w:tcPr>
          <w:p w14:paraId="06B4A05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5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5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5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5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5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5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5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6A"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61" w14:textId="77777777" w:rsidR="00A658D0" w:rsidRDefault="00000000">
            <w:pPr>
              <w:rPr>
                <w:rFonts w:ascii="Arial Narrow" w:hAnsi="Arial Narrow"/>
                <w:color w:val="000000"/>
                <w:sz w:val="16"/>
                <w:szCs w:val="16"/>
                <w:lang w:eastAsia="es-PE"/>
              </w:rPr>
            </w:pPr>
            <w:proofErr w:type="gramStart"/>
            <w:r>
              <w:rPr>
                <w:rFonts w:ascii="Arial Narrow" w:hAnsi="Arial Narrow"/>
                <w:color w:val="000000"/>
                <w:sz w:val="16"/>
                <w:szCs w:val="16"/>
                <w:lang w:eastAsia="es-PE"/>
              </w:rPr>
              <w:t>Marítimo cascos</w:t>
            </w:r>
            <w:proofErr w:type="gramEnd"/>
          </w:p>
        </w:tc>
        <w:tc>
          <w:tcPr>
            <w:tcW w:w="758" w:type="pct"/>
            <w:tcBorders>
              <w:top w:val="nil"/>
              <w:left w:val="nil"/>
              <w:bottom w:val="single" w:sz="4" w:space="0" w:color="auto"/>
              <w:right w:val="single" w:sz="4" w:space="0" w:color="auto"/>
            </w:tcBorders>
            <w:shd w:val="clear" w:color="000000" w:fill="FFFFFF"/>
            <w:noWrap/>
            <w:vAlign w:val="bottom"/>
          </w:tcPr>
          <w:p w14:paraId="06B4A06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6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6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6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6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6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6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6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74"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6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Aviación</w:t>
            </w:r>
          </w:p>
        </w:tc>
        <w:tc>
          <w:tcPr>
            <w:tcW w:w="758" w:type="pct"/>
            <w:tcBorders>
              <w:top w:val="nil"/>
              <w:left w:val="nil"/>
              <w:bottom w:val="single" w:sz="4" w:space="0" w:color="auto"/>
              <w:right w:val="single" w:sz="4" w:space="0" w:color="auto"/>
            </w:tcBorders>
            <w:shd w:val="clear" w:color="000000" w:fill="FFFFFF"/>
            <w:noWrap/>
            <w:vAlign w:val="bottom"/>
          </w:tcPr>
          <w:p w14:paraId="06B4A06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6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6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6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7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7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7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7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7E"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7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Automóviles</w:t>
            </w:r>
          </w:p>
        </w:tc>
        <w:tc>
          <w:tcPr>
            <w:tcW w:w="758" w:type="pct"/>
            <w:tcBorders>
              <w:top w:val="nil"/>
              <w:left w:val="nil"/>
              <w:bottom w:val="single" w:sz="4" w:space="0" w:color="auto"/>
              <w:right w:val="single" w:sz="4" w:space="0" w:color="auto"/>
            </w:tcBorders>
            <w:shd w:val="clear" w:color="000000" w:fill="FFFFFF"/>
            <w:noWrap/>
            <w:vAlign w:val="bottom"/>
          </w:tcPr>
          <w:p w14:paraId="06B4A07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7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7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7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7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7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7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7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88"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7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Todo riesgo para contratistas</w:t>
            </w:r>
          </w:p>
        </w:tc>
        <w:tc>
          <w:tcPr>
            <w:tcW w:w="758" w:type="pct"/>
            <w:tcBorders>
              <w:top w:val="nil"/>
              <w:left w:val="nil"/>
              <w:bottom w:val="single" w:sz="4" w:space="0" w:color="auto"/>
              <w:right w:val="single" w:sz="4" w:space="0" w:color="auto"/>
            </w:tcBorders>
            <w:shd w:val="clear" w:color="000000" w:fill="FFFFFF"/>
            <w:noWrap/>
            <w:vAlign w:val="bottom"/>
          </w:tcPr>
          <w:p w14:paraId="06B4A08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8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8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8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8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8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8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8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92"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8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Rotura de maquinaria</w:t>
            </w:r>
          </w:p>
        </w:tc>
        <w:tc>
          <w:tcPr>
            <w:tcW w:w="758" w:type="pct"/>
            <w:tcBorders>
              <w:top w:val="nil"/>
              <w:left w:val="nil"/>
              <w:bottom w:val="single" w:sz="4" w:space="0" w:color="auto"/>
              <w:right w:val="single" w:sz="4" w:space="0" w:color="auto"/>
            </w:tcBorders>
            <w:shd w:val="clear" w:color="000000" w:fill="FFFFFF"/>
            <w:noWrap/>
            <w:vAlign w:val="bottom"/>
          </w:tcPr>
          <w:p w14:paraId="06B4A08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8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8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8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8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8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9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9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9C"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9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Montaje contra todo riesgo</w:t>
            </w:r>
          </w:p>
        </w:tc>
        <w:tc>
          <w:tcPr>
            <w:tcW w:w="758" w:type="pct"/>
            <w:tcBorders>
              <w:top w:val="nil"/>
              <w:left w:val="nil"/>
              <w:bottom w:val="single" w:sz="4" w:space="0" w:color="auto"/>
              <w:right w:val="single" w:sz="4" w:space="0" w:color="auto"/>
            </w:tcBorders>
            <w:shd w:val="clear" w:color="000000" w:fill="FFFFFF"/>
            <w:noWrap/>
            <w:vAlign w:val="bottom"/>
          </w:tcPr>
          <w:p w14:paraId="06B4A09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9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9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9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9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9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9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9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A6"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9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Todo riesgo equipo electrónico</w:t>
            </w:r>
          </w:p>
        </w:tc>
        <w:tc>
          <w:tcPr>
            <w:tcW w:w="758" w:type="pct"/>
            <w:tcBorders>
              <w:top w:val="nil"/>
              <w:left w:val="nil"/>
              <w:bottom w:val="single" w:sz="4" w:space="0" w:color="auto"/>
              <w:right w:val="single" w:sz="4" w:space="0" w:color="auto"/>
            </w:tcBorders>
            <w:shd w:val="clear" w:color="000000" w:fill="FFFFFF"/>
            <w:noWrap/>
            <w:vAlign w:val="bottom"/>
          </w:tcPr>
          <w:p w14:paraId="06B4A09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9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A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A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A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A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A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A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B0"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A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Calderos</w:t>
            </w:r>
          </w:p>
        </w:tc>
        <w:tc>
          <w:tcPr>
            <w:tcW w:w="758" w:type="pct"/>
            <w:tcBorders>
              <w:top w:val="nil"/>
              <w:left w:val="nil"/>
              <w:bottom w:val="single" w:sz="4" w:space="0" w:color="auto"/>
              <w:right w:val="single" w:sz="4" w:space="0" w:color="auto"/>
            </w:tcBorders>
            <w:shd w:val="clear" w:color="000000" w:fill="FFFFFF"/>
            <w:noWrap/>
            <w:vAlign w:val="bottom"/>
          </w:tcPr>
          <w:p w14:paraId="06B4A0A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A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A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A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A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A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A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A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BA"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B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Robo y asalto</w:t>
            </w:r>
          </w:p>
        </w:tc>
        <w:tc>
          <w:tcPr>
            <w:tcW w:w="758" w:type="pct"/>
            <w:tcBorders>
              <w:top w:val="nil"/>
              <w:left w:val="nil"/>
              <w:bottom w:val="single" w:sz="4" w:space="0" w:color="auto"/>
              <w:right w:val="single" w:sz="4" w:space="0" w:color="auto"/>
            </w:tcBorders>
            <w:shd w:val="clear" w:color="000000" w:fill="FFFFFF"/>
            <w:noWrap/>
            <w:vAlign w:val="bottom"/>
          </w:tcPr>
          <w:p w14:paraId="06B4A0B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B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B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B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B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B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B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B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C4" w14:textId="77777777">
        <w:trPr>
          <w:trHeight w:val="10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B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Deshonestidad</w:t>
            </w:r>
          </w:p>
        </w:tc>
        <w:tc>
          <w:tcPr>
            <w:tcW w:w="758" w:type="pct"/>
            <w:tcBorders>
              <w:top w:val="nil"/>
              <w:left w:val="nil"/>
              <w:bottom w:val="single" w:sz="4" w:space="0" w:color="auto"/>
              <w:right w:val="single" w:sz="4" w:space="0" w:color="auto"/>
            </w:tcBorders>
            <w:shd w:val="clear" w:color="000000" w:fill="FFFFFF"/>
            <w:noWrap/>
            <w:vAlign w:val="bottom"/>
          </w:tcPr>
          <w:p w14:paraId="06B4A0B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B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B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B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C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C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C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C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CE"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C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Animales</w:t>
            </w:r>
          </w:p>
        </w:tc>
        <w:tc>
          <w:tcPr>
            <w:tcW w:w="758" w:type="pct"/>
            <w:tcBorders>
              <w:top w:val="nil"/>
              <w:left w:val="nil"/>
              <w:bottom w:val="single" w:sz="4" w:space="0" w:color="auto"/>
              <w:right w:val="single" w:sz="4" w:space="0" w:color="auto"/>
            </w:tcBorders>
            <w:shd w:val="clear" w:color="000000" w:fill="FFFFFF"/>
            <w:noWrap/>
            <w:vAlign w:val="bottom"/>
          </w:tcPr>
          <w:p w14:paraId="06B4A0C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C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C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C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C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C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C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C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D8" w14:textId="77777777">
        <w:trPr>
          <w:trHeight w:val="134"/>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C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Domiciliario</w:t>
            </w:r>
          </w:p>
        </w:tc>
        <w:tc>
          <w:tcPr>
            <w:tcW w:w="758" w:type="pct"/>
            <w:tcBorders>
              <w:top w:val="nil"/>
              <w:left w:val="nil"/>
              <w:bottom w:val="single" w:sz="4" w:space="0" w:color="auto"/>
              <w:right w:val="single" w:sz="4" w:space="0" w:color="auto"/>
            </w:tcBorders>
            <w:shd w:val="clear" w:color="000000" w:fill="FFFFFF"/>
            <w:noWrap/>
            <w:vAlign w:val="bottom"/>
          </w:tcPr>
          <w:p w14:paraId="06B4A0D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D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D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D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D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D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D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D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E2"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D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Responsabilidad civil</w:t>
            </w:r>
          </w:p>
        </w:tc>
        <w:tc>
          <w:tcPr>
            <w:tcW w:w="758" w:type="pct"/>
            <w:tcBorders>
              <w:top w:val="nil"/>
              <w:left w:val="nil"/>
              <w:bottom w:val="single" w:sz="4" w:space="0" w:color="auto"/>
              <w:right w:val="single" w:sz="4" w:space="0" w:color="auto"/>
            </w:tcBorders>
            <w:shd w:val="clear" w:color="000000" w:fill="FFFFFF"/>
            <w:noWrap/>
            <w:vAlign w:val="bottom"/>
          </w:tcPr>
          <w:p w14:paraId="06B4A0D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D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D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D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D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D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E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E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EC"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E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Cauciones (fianzas)</w:t>
            </w:r>
          </w:p>
        </w:tc>
        <w:tc>
          <w:tcPr>
            <w:tcW w:w="758" w:type="pct"/>
            <w:tcBorders>
              <w:top w:val="nil"/>
              <w:left w:val="nil"/>
              <w:bottom w:val="single" w:sz="4" w:space="0" w:color="auto"/>
              <w:right w:val="single" w:sz="4" w:space="0" w:color="auto"/>
            </w:tcBorders>
            <w:shd w:val="clear" w:color="000000" w:fill="FFFFFF"/>
            <w:noWrap/>
            <w:vAlign w:val="bottom"/>
          </w:tcPr>
          <w:p w14:paraId="06B4A0E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E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E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E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E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E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E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E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0F6"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E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Crédito interno</w:t>
            </w:r>
          </w:p>
        </w:tc>
        <w:tc>
          <w:tcPr>
            <w:tcW w:w="758" w:type="pct"/>
            <w:tcBorders>
              <w:top w:val="nil"/>
              <w:left w:val="nil"/>
              <w:bottom w:val="single" w:sz="4" w:space="0" w:color="auto"/>
              <w:right w:val="single" w:sz="4" w:space="0" w:color="auto"/>
            </w:tcBorders>
            <w:shd w:val="clear" w:color="000000" w:fill="FFFFFF"/>
            <w:noWrap/>
            <w:vAlign w:val="bottom"/>
          </w:tcPr>
          <w:p w14:paraId="06B4A0E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E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F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F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F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F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F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F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00"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0F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lastRenderedPageBreak/>
              <w:t>Crédito a la Exportación</w:t>
            </w:r>
          </w:p>
        </w:tc>
        <w:tc>
          <w:tcPr>
            <w:tcW w:w="758" w:type="pct"/>
            <w:tcBorders>
              <w:top w:val="nil"/>
              <w:left w:val="nil"/>
              <w:bottom w:val="single" w:sz="4" w:space="0" w:color="auto"/>
              <w:right w:val="single" w:sz="4" w:space="0" w:color="auto"/>
            </w:tcBorders>
            <w:shd w:val="clear" w:color="000000" w:fill="FFFFFF"/>
            <w:noWrap/>
            <w:vAlign w:val="bottom"/>
          </w:tcPr>
          <w:p w14:paraId="06B4A0F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F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0F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0F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0F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0F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0F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0F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0A"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101" w14:textId="77777777" w:rsidR="00A658D0" w:rsidRDefault="00000000">
            <w:pPr>
              <w:rPr>
                <w:rFonts w:ascii="Arial Narrow" w:hAnsi="Arial Narrow"/>
                <w:color w:val="000000"/>
                <w:sz w:val="16"/>
                <w:szCs w:val="16"/>
                <w:lang w:eastAsia="es-PE"/>
              </w:rPr>
            </w:pPr>
            <w:proofErr w:type="spellStart"/>
            <w:r>
              <w:rPr>
                <w:rFonts w:ascii="Arial Narrow" w:hAnsi="Arial Narrow"/>
                <w:color w:val="000000"/>
                <w:sz w:val="16"/>
                <w:szCs w:val="16"/>
                <w:lang w:eastAsia="es-PE"/>
              </w:rPr>
              <w:t>Multiseguros</w:t>
            </w:r>
            <w:proofErr w:type="spellEnd"/>
          </w:p>
        </w:tc>
        <w:tc>
          <w:tcPr>
            <w:tcW w:w="758" w:type="pct"/>
            <w:tcBorders>
              <w:top w:val="nil"/>
              <w:left w:val="nil"/>
              <w:bottom w:val="single" w:sz="4" w:space="0" w:color="auto"/>
              <w:right w:val="single" w:sz="4" w:space="0" w:color="auto"/>
            </w:tcBorders>
            <w:shd w:val="clear" w:color="000000" w:fill="FFFFFF"/>
            <w:noWrap/>
            <w:vAlign w:val="bottom"/>
          </w:tcPr>
          <w:p w14:paraId="06B4A10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0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10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10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10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0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10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10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14" w14:textId="77777777">
        <w:trPr>
          <w:trHeight w:val="60"/>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10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Agrícola</w:t>
            </w:r>
          </w:p>
        </w:tc>
        <w:tc>
          <w:tcPr>
            <w:tcW w:w="758" w:type="pct"/>
            <w:tcBorders>
              <w:top w:val="nil"/>
              <w:left w:val="nil"/>
              <w:bottom w:val="single" w:sz="4" w:space="0" w:color="auto"/>
              <w:right w:val="single" w:sz="4" w:space="0" w:color="auto"/>
            </w:tcBorders>
            <w:shd w:val="clear" w:color="000000" w:fill="FFFFFF"/>
            <w:noWrap/>
            <w:vAlign w:val="bottom"/>
          </w:tcPr>
          <w:p w14:paraId="06B4A10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0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10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10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11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1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11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11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1E" w14:textId="77777777">
        <w:trPr>
          <w:trHeight w:val="255"/>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11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Misceláneos</w:t>
            </w:r>
          </w:p>
        </w:tc>
        <w:tc>
          <w:tcPr>
            <w:tcW w:w="758" w:type="pct"/>
            <w:tcBorders>
              <w:top w:val="nil"/>
              <w:left w:val="nil"/>
              <w:bottom w:val="single" w:sz="4" w:space="0" w:color="auto"/>
              <w:right w:val="single" w:sz="4" w:space="0" w:color="auto"/>
            </w:tcBorders>
            <w:shd w:val="clear" w:color="000000" w:fill="FFFFFF"/>
            <w:noWrap/>
            <w:vAlign w:val="bottom"/>
          </w:tcPr>
          <w:p w14:paraId="06B4A11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1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11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11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11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1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11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11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28" w14:textId="77777777">
        <w:trPr>
          <w:trHeight w:val="255"/>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11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Accidentes</w:t>
            </w:r>
          </w:p>
        </w:tc>
        <w:tc>
          <w:tcPr>
            <w:tcW w:w="758" w:type="pct"/>
            <w:tcBorders>
              <w:top w:val="nil"/>
              <w:left w:val="nil"/>
              <w:bottom w:val="single" w:sz="4" w:space="0" w:color="auto"/>
              <w:right w:val="single" w:sz="4" w:space="0" w:color="auto"/>
            </w:tcBorders>
            <w:shd w:val="clear" w:color="000000" w:fill="FFFFFF"/>
            <w:noWrap/>
            <w:vAlign w:val="bottom"/>
          </w:tcPr>
          <w:p w14:paraId="06B4A12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2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122"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12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12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2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12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12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32" w14:textId="77777777">
        <w:trPr>
          <w:trHeight w:val="255"/>
        </w:trPr>
        <w:tc>
          <w:tcPr>
            <w:tcW w:w="1515" w:type="pct"/>
            <w:tcBorders>
              <w:top w:val="nil"/>
              <w:left w:val="single" w:sz="8" w:space="0" w:color="auto"/>
              <w:bottom w:val="single" w:sz="4" w:space="0" w:color="auto"/>
              <w:right w:val="single" w:sz="8" w:space="0" w:color="auto"/>
            </w:tcBorders>
            <w:shd w:val="clear" w:color="000000" w:fill="FFFFFF"/>
            <w:noWrap/>
            <w:vAlign w:val="bottom"/>
          </w:tcPr>
          <w:p w14:paraId="06B4A12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Asistencia médica</w:t>
            </w:r>
          </w:p>
        </w:tc>
        <w:tc>
          <w:tcPr>
            <w:tcW w:w="758" w:type="pct"/>
            <w:tcBorders>
              <w:top w:val="nil"/>
              <w:left w:val="nil"/>
              <w:bottom w:val="single" w:sz="4" w:space="0" w:color="auto"/>
              <w:right w:val="single" w:sz="4" w:space="0" w:color="auto"/>
            </w:tcBorders>
            <w:shd w:val="clear" w:color="000000" w:fill="FFFFFF"/>
            <w:noWrap/>
            <w:vAlign w:val="bottom"/>
          </w:tcPr>
          <w:p w14:paraId="06B4A12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2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single" w:sz="4" w:space="0" w:color="auto"/>
              <w:right w:val="single" w:sz="4" w:space="0" w:color="auto"/>
            </w:tcBorders>
            <w:shd w:val="clear" w:color="000000" w:fill="FFFFFF"/>
            <w:noWrap/>
            <w:vAlign w:val="bottom"/>
          </w:tcPr>
          <w:p w14:paraId="06B4A12C"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single" w:sz="4" w:space="0" w:color="auto"/>
              <w:right w:val="single" w:sz="8" w:space="0" w:color="auto"/>
            </w:tcBorders>
            <w:shd w:val="clear" w:color="000000" w:fill="FFFFFF"/>
            <w:noWrap/>
            <w:vAlign w:val="bottom"/>
          </w:tcPr>
          <w:p w14:paraId="06B4A12D"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single" w:sz="4" w:space="0" w:color="auto"/>
              <w:right w:val="single" w:sz="4" w:space="0" w:color="auto"/>
            </w:tcBorders>
            <w:shd w:val="clear" w:color="000000" w:fill="FFFFFF"/>
            <w:noWrap/>
            <w:vAlign w:val="bottom"/>
          </w:tcPr>
          <w:p w14:paraId="06B4A12E"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single" w:sz="4" w:space="0" w:color="auto"/>
              <w:right w:val="single" w:sz="4" w:space="0" w:color="auto"/>
            </w:tcBorders>
            <w:shd w:val="clear" w:color="000000" w:fill="FFFFFF"/>
            <w:noWrap/>
            <w:vAlign w:val="bottom"/>
          </w:tcPr>
          <w:p w14:paraId="06B4A12F"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single" w:sz="4" w:space="0" w:color="auto"/>
              <w:right w:val="single" w:sz="4" w:space="0" w:color="auto"/>
            </w:tcBorders>
            <w:shd w:val="clear" w:color="000000" w:fill="FFFFFF"/>
            <w:noWrap/>
            <w:vAlign w:val="bottom"/>
          </w:tcPr>
          <w:p w14:paraId="06B4A130"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single" w:sz="4" w:space="0" w:color="auto"/>
              <w:right w:val="single" w:sz="8" w:space="0" w:color="auto"/>
            </w:tcBorders>
            <w:shd w:val="clear" w:color="000000" w:fill="FFFFFF"/>
            <w:noWrap/>
            <w:vAlign w:val="bottom"/>
          </w:tcPr>
          <w:p w14:paraId="06B4A131"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3C" w14:textId="77777777">
        <w:trPr>
          <w:trHeight w:val="270"/>
        </w:trPr>
        <w:tc>
          <w:tcPr>
            <w:tcW w:w="1515" w:type="pct"/>
            <w:tcBorders>
              <w:top w:val="nil"/>
              <w:left w:val="single" w:sz="8" w:space="0" w:color="auto"/>
              <w:bottom w:val="nil"/>
              <w:right w:val="single" w:sz="8" w:space="0" w:color="auto"/>
            </w:tcBorders>
            <w:shd w:val="clear" w:color="000000" w:fill="FFFFFF"/>
            <w:noWrap/>
            <w:vAlign w:val="bottom"/>
          </w:tcPr>
          <w:p w14:paraId="06B4A133"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SOAT</w:t>
            </w:r>
          </w:p>
        </w:tc>
        <w:tc>
          <w:tcPr>
            <w:tcW w:w="758" w:type="pct"/>
            <w:tcBorders>
              <w:top w:val="nil"/>
              <w:left w:val="nil"/>
              <w:bottom w:val="nil"/>
              <w:right w:val="single" w:sz="4" w:space="0" w:color="auto"/>
            </w:tcBorders>
            <w:shd w:val="clear" w:color="000000" w:fill="FFFFFF"/>
            <w:noWrap/>
            <w:vAlign w:val="bottom"/>
          </w:tcPr>
          <w:p w14:paraId="06B4A134"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nil"/>
              <w:right w:val="single" w:sz="4" w:space="0" w:color="auto"/>
            </w:tcBorders>
            <w:shd w:val="clear" w:color="000000" w:fill="FFFFFF"/>
            <w:noWrap/>
            <w:vAlign w:val="bottom"/>
          </w:tcPr>
          <w:p w14:paraId="06B4A135"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612" w:type="pct"/>
            <w:tcBorders>
              <w:top w:val="nil"/>
              <w:left w:val="nil"/>
              <w:bottom w:val="nil"/>
              <w:right w:val="single" w:sz="4" w:space="0" w:color="auto"/>
            </w:tcBorders>
            <w:shd w:val="clear" w:color="000000" w:fill="FFFFFF"/>
            <w:noWrap/>
            <w:vAlign w:val="bottom"/>
          </w:tcPr>
          <w:p w14:paraId="06B4A136"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46" w:type="pct"/>
            <w:tcBorders>
              <w:top w:val="nil"/>
              <w:left w:val="nil"/>
              <w:bottom w:val="nil"/>
              <w:right w:val="single" w:sz="8" w:space="0" w:color="auto"/>
            </w:tcBorders>
            <w:shd w:val="clear" w:color="000000" w:fill="FFFFFF"/>
            <w:noWrap/>
            <w:vAlign w:val="bottom"/>
          </w:tcPr>
          <w:p w14:paraId="06B4A137"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57" w:type="pct"/>
            <w:tcBorders>
              <w:top w:val="nil"/>
              <w:left w:val="nil"/>
              <w:bottom w:val="nil"/>
              <w:right w:val="single" w:sz="4" w:space="0" w:color="auto"/>
            </w:tcBorders>
            <w:shd w:val="clear" w:color="000000" w:fill="FFFFFF"/>
            <w:noWrap/>
            <w:vAlign w:val="bottom"/>
          </w:tcPr>
          <w:p w14:paraId="06B4A138"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1" w:type="pct"/>
            <w:tcBorders>
              <w:top w:val="nil"/>
              <w:left w:val="nil"/>
              <w:bottom w:val="nil"/>
              <w:right w:val="single" w:sz="4" w:space="0" w:color="auto"/>
            </w:tcBorders>
            <w:shd w:val="clear" w:color="000000" w:fill="FFFFFF"/>
            <w:noWrap/>
            <w:vAlign w:val="bottom"/>
          </w:tcPr>
          <w:p w14:paraId="06B4A139"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760" w:type="pct"/>
            <w:tcBorders>
              <w:top w:val="nil"/>
              <w:left w:val="nil"/>
              <w:bottom w:val="nil"/>
              <w:right w:val="single" w:sz="4" w:space="0" w:color="auto"/>
            </w:tcBorders>
            <w:shd w:val="clear" w:color="000000" w:fill="FFFFFF"/>
            <w:noWrap/>
            <w:vAlign w:val="bottom"/>
          </w:tcPr>
          <w:p w14:paraId="06B4A13A"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c>
          <w:tcPr>
            <w:tcW w:w="150" w:type="pct"/>
            <w:tcBorders>
              <w:top w:val="nil"/>
              <w:left w:val="nil"/>
              <w:bottom w:val="nil"/>
              <w:right w:val="single" w:sz="8" w:space="0" w:color="auto"/>
            </w:tcBorders>
            <w:shd w:val="clear" w:color="000000" w:fill="FFFFFF"/>
            <w:noWrap/>
            <w:vAlign w:val="bottom"/>
          </w:tcPr>
          <w:p w14:paraId="06B4A13B" w14:textId="77777777" w:rsidR="00A658D0" w:rsidRDefault="00000000">
            <w:pPr>
              <w:rPr>
                <w:rFonts w:ascii="Arial Narrow" w:hAnsi="Arial Narrow"/>
                <w:color w:val="000000"/>
                <w:sz w:val="16"/>
                <w:szCs w:val="16"/>
                <w:lang w:eastAsia="es-PE"/>
              </w:rPr>
            </w:pPr>
            <w:r>
              <w:rPr>
                <w:rFonts w:ascii="Arial Narrow" w:hAnsi="Arial Narrow"/>
                <w:color w:val="000000"/>
                <w:sz w:val="16"/>
                <w:szCs w:val="16"/>
                <w:lang w:eastAsia="es-PE"/>
              </w:rPr>
              <w:t> </w:t>
            </w:r>
          </w:p>
        </w:tc>
      </w:tr>
      <w:tr w:rsidR="00A658D0" w14:paraId="06B4A146" w14:textId="77777777">
        <w:trPr>
          <w:trHeight w:val="270"/>
        </w:trPr>
        <w:tc>
          <w:tcPr>
            <w:tcW w:w="1515" w:type="pct"/>
            <w:tcBorders>
              <w:top w:val="single" w:sz="8" w:space="0" w:color="auto"/>
              <w:left w:val="single" w:sz="8" w:space="0" w:color="auto"/>
              <w:bottom w:val="single" w:sz="8" w:space="0" w:color="auto"/>
              <w:right w:val="single" w:sz="8" w:space="0" w:color="auto"/>
            </w:tcBorders>
            <w:shd w:val="clear" w:color="000000" w:fill="FFFFFF"/>
            <w:noWrap/>
            <w:vAlign w:val="bottom"/>
          </w:tcPr>
          <w:p w14:paraId="06B4A13D"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TOTAL</w:t>
            </w:r>
          </w:p>
        </w:tc>
        <w:tc>
          <w:tcPr>
            <w:tcW w:w="758" w:type="pct"/>
            <w:tcBorders>
              <w:top w:val="single" w:sz="8" w:space="0" w:color="auto"/>
              <w:left w:val="nil"/>
              <w:bottom w:val="single" w:sz="8" w:space="0" w:color="auto"/>
              <w:right w:val="single" w:sz="4" w:space="0" w:color="auto"/>
            </w:tcBorders>
            <w:shd w:val="clear" w:color="000000" w:fill="FFFFFF"/>
            <w:noWrap/>
            <w:vAlign w:val="bottom"/>
          </w:tcPr>
          <w:p w14:paraId="06B4A13E"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51" w:type="pct"/>
            <w:tcBorders>
              <w:top w:val="single" w:sz="8" w:space="0" w:color="auto"/>
              <w:left w:val="nil"/>
              <w:bottom w:val="single" w:sz="8" w:space="0" w:color="auto"/>
              <w:right w:val="single" w:sz="4" w:space="0" w:color="auto"/>
            </w:tcBorders>
            <w:shd w:val="clear" w:color="000000" w:fill="FFFFFF"/>
            <w:noWrap/>
            <w:vAlign w:val="bottom"/>
          </w:tcPr>
          <w:p w14:paraId="06B4A13F"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612" w:type="pct"/>
            <w:tcBorders>
              <w:top w:val="single" w:sz="8" w:space="0" w:color="auto"/>
              <w:left w:val="nil"/>
              <w:bottom w:val="single" w:sz="8" w:space="0" w:color="auto"/>
              <w:right w:val="single" w:sz="4" w:space="0" w:color="auto"/>
            </w:tcBorders>
            <w:shd w:val="clear" w:color="000000" w:fill="FFFFFF"/>
            <w:noWrap/>
            <w:vAlign w:val="bottom"/>
          </w:tcPr>
          <w:p w14:paraId="06B4A140"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46" w:type="pct"/>
            <w:tcBorders>
              <w:top w:val="single" w:sz="8" w:space="0" w:color="auto"/>
              <w:left w:val="nil"/>
              <w:bottom w:val="single" w:sz="8" w:space="0" w:color="auto"/>
              <w:right w:val="single" w:sz="8" w:space="0" w:color="auto"/>
            </w:tcBorders>
            <w:shd w:val="clear" w:color="000000" w:fill="FFFFFF"/>
            <w:noWrap/>
            <w:vAlign w:val="bottom"/>
          </w:tcPr>
          <w:p w14:paraId="06B4A141"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757" w:type="pct"/>
            <w:tcBorders>
              <w:top w:val="single" w:sz="8" w:space="0" w:color="auto"/>
              <w:left w:val="nil"/>
              <w:bottom w:val="single" w:sz="8" w:space="0" w:color="auto"/>
              <w:right w:val="single" w:sz="4" w:space="0" w:color="auto"/>
            </w:tcBorders>
            <w:shd w:val="clear" w:color="000000" w:fill="FFFFFF"/>
            <w:noWrap/>
            <w:vAlign w:val="bottom"/>
          </w:tcPr>
          <w:p w14:paraId="06B4A142"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51" w:type="pct"/>
            <w:tcBorders>
              <w:top w:val="single" w:sz="8" w:space="0" w:color="auto"/>
              <w:left w:val="nil"/>
              <w:bottom w:val="single" w:sz="8" w:space="0" w:color="auto"/>
              <w:right w:val="single" w:sz="4" w:space="0" w:color="auto"/>
            </w:tcBorders>
            <w:shd w:val="clear" w:color="000000" w:fill="FFFFFF"/>
            <w:noWrap/>
            <w:vAlign w:val="bottom"/>
          </w:tcPr>
          <w:p w14:paraId="06B4A143"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760" w:type="pct"/>
            <w:tcBorders>
              <w:top w:val="single" w:sz="8" w:space="0" w:color="auto"/>
              <w:left w:val="nil"/>
              <w:bottom w:val="single" w:sz="8" w:space="0" w:color="auto"/>
              <w:right w:val="single" w:sz="4" w:space="0" w:color="auto"/>
            </w:tcBorders>
            <w:shd w:val="clear" w:color="000000" w:fill="FFFFFF"/>
            <w:noWrap/>
            <w:vAlign w:val="bottom"/>
          </w:tcPr>
          <w:p w14:paraId="06B4A144"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c>
          <w:tcPr>
            <w:tcW w:w="150" w:type="pct"/>
            <w:tcBorders>
              <w:top w:val="single" w:sz="8" w:space="0" w:color="auto"/>
              <w:left w:val="nil"/>
              <w:bottom w:val="single" w:sz="8" w:space="0" w:color="auto"/>
              <w:right w:val="single" w:sz="8" w:space="0" w:color="auto"/>
            </w:tcBorders>
            <w:shd w:val="clear" w:color="000000" w:fill="FFFFFF"/>
            <w:noWrap/>
            <w:vAlign w:val="bottom"/>
          </w:tcPr>
          <w:p w14:paraId="06B4A145" w14:textId="77777777" w:rsidR="00A658D0" w:rsidRDefault="00000000">
            <w:pPr>
              <w:rPr>
                <w:rFonts w:ascii="Arial Narrow" w:hAnsi="Arial Narrow"/>
                <w:b/>
                <w:bCs/>
                <w:color w:val="000000"/>
                <w:sz w:val="16"/>
                <w:szCs w:val="16"/>
                <w:lang w:eastAsia="es-PE"/>
              </w:rPr>
            </w:pPr>
            <w:r>
              <w:rPr>
                <w:rFonts w:ascii="Arial Narrow" w:hAnsi="Arial Narrow"/>
                <w:b/>
                <w:bCs/>
                <w:color w:val="000000"/>
                <w:sz w:val="16"/>
                <w:szCs w:val="16"/>
                <w:lang w:eastAsia="es-PE"/>
              </w:rPr>
              <w:t> </w:t>
            </w:r>
          </w:p>
        </w:tc>
      </w:tr>
    </w:tbl>
    <w:p w14:paraId="06B4A147" w14:textId="77777777" w:rsidR="00A658D0" w:rsidRDefault="00A658D0"/>
    <w:p w14:paraId="06B4A148" w14:textId="77777777" w:rsidR="00A658D0" w:rsidRDefault="00000000">
      <w:pPr>
        <w:jc w:val="right"/>
        <w:rPr>
          <w:rFonts w:ascii="Arial Narrow" w:hAnsi="Arial Narrow"/>
          <w:b/>
        </w:rPr>
      </w:pPr>
      <w:r>
        <w:rPr>
          <w:rFonts w:ascii="Arial Narrow" w:hAnsi="Arial Narrow"/>
          <w:b/>
        </w:rPr>
        <w:br w:type="page"/>
      </w:r>
    </w:p>
    <w:p w14:paraId="06B4A149" w14:textId="77777777" w:rsidR="00A658D0" w:rsidRDefault="00000000">
      <w:pPr>
        <w:jc w:val="right"/>
        <w:rPr>
          <w:sz w:val="22"/>
          <w:szCs w:val="22"/>
        </w:rPr>
      </w:pPr>
      <w:r>
        <w:rPr>
          <w:rFonts w:ascii="Arial Narrow" w:hAnsi="Arial Narrow"/>
          <w:b/>
          <w:sz w:val="22"/>
          <w:szCs w:val="22"/>
        </w:rPr>
        <w:lastRenderedPageBreak/>
        <w:t>ANEXO 3</w:t>
      </w:r>
    </w:p>
    <w:p w14:paraId="06B4A14A" w14:textId="77777777" w:rsidR="00A658D0" w:rsidRDefault="00000000">
      <w:pPr>
        <w:tabs>
          <w:tab w:val="left" w:pos="-619"/>
          <w:tab w:val="left" w:pos="8396"/>
        </w:tabs>
        <w:ind w:left="-932"/>
        <w:jc w:val="center"/>
        <w:rPr>
          <w:rFonts w:ascii="Arial Narrow" w:hAnsi="Arial Narrow"/>
          <w:color w:val="000000"/>
          <w:sz w:val="22"/>
          <w:szCs w:val="22"/>
          <w:lang w:eastAsia="es-PE"/>
        </w:rPr>
      </w:pPr>
      <w:r>
        <w:rPr>
          <w:rFonts w:ascii="Arial Narrow" w:hAnsi="Arial Narrow"/>
          <w:b/>
          <w:bCs/>
          <w:color w:val="000000"/>
          <w:sz w:val="22"/>
          <w:szCs w:val="22"/>
          <w:lang w:eastAsia="es-PE"/>
        </w:rPr>
        <w:t>NOTA REFERIDA A LA REVELACIÓN DEL VALOR RAZONABLE DE INSTRUMENTOS FINANCIEROS</w:t>
      </w:r>
    </w:p>
    <w:tbl>
      <w:tblPr>
        <w:tblW w:w="6001" w:type="pct"/>
        <w:tblInd w:w="-932" w:type="dxa"/>
        <w:tblCellMar>
          <w:left w:w="70" w:type="dxa"/>
          <w:right w:w="70" w:type="dxa"/>
        </w:tblCellMar>
        <w:tblLook w:val="04A0" w:firstRow="1" w:lastRow="0" w:firstColumn="1" w:lastColumn="0" w:noHBand="0" w:noVBand="1"/>
      </w:tblPr>
      <w:tblGrid>
        <w:gridCol w:w="296"/>
        <w:gridCol w:w="1474"/>
        <w:gridCol w:w="1093"/>
        <w:gridCol w:w="1479"/>
        <w:gridCol w:w="876"/>
        <w:gridCol w:w="192"/>
        <w:gridCol w:w="876"/>
        <w:gridCol w:w="192"/>
        <w:gridCol w:w="876"/>
        <w:gridCol w:w="191"/>
        <w:gridCol w:w="1437"/>
        <w:gridCol w:w="191"/>
        <w:gridCol w:w="1035"/>
      </w:tblGrid>
      <w:tr w:rsidR="00A658D0" w14:paraId="06B4A156" w14:textId="77777777">
        <w:trPr>
          <w:trHeight w:val="518"/>
        </w:trPr>
        <w:tc>
          <w:tcPr>
            <w:tcW w:w="151" w:type="pct"/>
            <w:tcBorders>
              <w:top w:val="nil"/>
              <w:left w:val="nil"/>
              <w:bottom w:val="nil"/>
              <w:right w:val="nil"/>
            </w:tcBorders>
            <w:shd w:val="clear" w:color="000000" w:fill="FFFFFF"/>
            <w:noWrap/>
            <w:vAlign w:val="bottom"/>
          </w:tcPr>
          <w:p w14:paraId="06B4A14B" w14:textId="77777777" w:rsidR="00A658D0" w:rsidRDefault="00000000">
            <w:pPr>
              <w:jc w:val="center"/>
              <w:rPr>
                <w:rFonts w:ascii="Arial Narrow" w:hAnsi="Arial Narrow"/>
                <w:b/>
                <w:bCs/>
                <w:color w:val="000000"/>
                <w:sz w:val="22"/>
                <w:szCs w:val="22"/>
                <w:lang w:eastAsia="es-PE"/>
              </w:rPr>
            </w:pPr>
            <w:r>
              <w:rPr>
                <w:rFonts w:ascii="Arial Narrow" w:hAnsi="Arial Narrow"/>
                <w:b/>
                <w:bCs/>
                <w:color w:val="000000"/>
                <w:sz w:val="22"/>
                <w:szCs w:val="22"/>
                <w:lang w:eastAsia="es-PE"/>
              </w:rPr>
              <w:t> </w:t>
            </w:r>
          </w:p>
        </w:tc>
        <w:tc>
          <w:tcPr>
            <w:tcW w:w="1994" w:type="pct"/>
            <w:gridSpan w:val="3"/>
            <w:tcBorders>
              <w:top w:val="nil"/>
              <w:left w:val="nil"/>
              <w:bottom w:val="single" w:sz="4" w:space="0" w:color="auto"/>
              <w:right w:val="nil"/>
            </w:tcBorders>
            <w:shd w:val="clear" w:color="000000" w:fill="FFFFFF"/>
            <w:noWrap/>
            <w:vAlign w:val="bottom"/>
          </w:tcPr>
          <w:p w14:paraId="06B4A14C"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AL 31 DE DICIEMBRE DEL 20XX</w:t>
            </w:r>
          </w:p>
        </w:tc>
        <w:tc>
          <w:tcPr>
            <w:tcW w:w="427" w:type="pct"/>
            <w:tcBorders>
              <w:top w:val="nil"/>
              <w:left w:val="nil"/>
              <w:bottom w:val="single" w:sz="4" w:space="0" w:color="auto"/>
              <w:right w:val="nil"/>
            </w:tcBorders>
            <w:shd w:val="clear" w:color="000000" w:fill="FFFFFF"/>
            <w:vAlign w:val="bottom"/>
          </w:tcPr>
          <w:p w14:paraId="06B4A14D"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Nivel 1</w:t>
            </w:r>
          </w:p>
        </w:tc>
        <w:tc>
          <w:tcPr>
            <w:tcW w:w="92" w:type="pct"/>
            <w:tcBorders>
              <w:top w:val="nil"/>
              <w:left w:val="nil"/>
              <w:bottom w:val="single" w:sz="4" w:space="0" w:color="auto"/>
              <w:right w:val="nil"/>
            </w:tcBorders>
            <w:shd w:val="clear" w:color="000000" w:fill="FFFFFF"/>
            <w:noWrap/>
            <w:vAlign w:val="bottom"/>
          </w:tcPr>
          <w:p w14:paraId="06B4A14E"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vAlign w:val="bottom"/>
          </w:tcPr>
          <w:p w14:paraId="06B4A14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Nivel 2</w:t>
            </w:r>
          </w:p>
        </w:tc>
        <w:tc>
          <w:tcPr>
            <w:tcW w:w="92" w:type="pct"/>
            <w:tcBorders>
              <w:top w:val="nil"/>
              <w:left w:val="nil"/>
              <w:bottom w:val="single" w:sz="4" w:space="0" w:color="auto"/>
              <w:right w:val="nil"/>
            </w:tcBorders>
            <w:shd w:val="clear" w:color="000000" w:fill="FFFFFF"/>
            <w:noWrap/>
            <w:vAlign w:val="bottom"/>
          </w:tcPr>
          <w:p w14:paraId="06B4A150"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vAlign w:val="bottom"/>
          </w:tcPr>
          <w:p w14:paraId="06B4A15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Nivel 3</w:t>
            </w:r>
          </w:p>
        </w:tc>
        <w:tc>
          <w:tcPr>
            <w:tcW w:w="92" w:type="pct"/>
            <w:tcBorders>
              <w:top w:val="nil"/>
              <w:left w:val="nil"/>
              <w:bottom w:val="single" w:sz="4" w:space="0" w:color="auto"/>
              <w:right w:val="nil"/>
            </w:tcBorders>
            <w:shd w:val="clear" w:color="000000" w:fill="FFFFFF"/>
            <w:noWrap/>
            <w:vAlign w:val="bottom"/>
          </w:tcPr>
          <w:p w14:paraId="06B4A15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single" w:sz="4" w:space="0" w:color="auto"/>
              <w:right w:val="nil"/>
            </w:tcBorders>
            <w:shd w:val="clear" w:color="000000" w:fill="FFFFFF"/>
            <w:vAlign w:val="bottom"/>
          </w:tcPr>
          <w:p w14:paraId="06B4A153" w14:textId="77777777" w:rsidR="00A658D0" w:rsidRDefault="00000000">
            <w:pPr>
              <w:jc w:val="center"/>
              <w:rPr>
                <w:rFonts w:ascii="Arial Narrow" w:hAnsi="Arial Narrow"/>
                <w:b/>
                <w:bCs/>
                <w:color w:val="000000"/>
                <w:sz w:val="18"/>
                <w:szCs w:val="18"/>
                <w:lang w:eastAsia="es-PE"/>
              </w:rPr>
            </w:pPr>
            <w:proofErr w:type="gramStart"/>
            <w:r>
              <w:rPr>
                <w:rFonts w:ascii="Arial Narrow" w:hAnsi="Arial Narrow"/>
                <w:b/>
                <w:bCs/>
                <w:color w:val="000000"/>
                <w:sz w:val="18"/>
                <w:szCs w:val="18"/>
                <w:lang w:eastAsia="es-PE"/>
              </w:rPr>
              <w:t>Total</w:t>
            </w:r>
            <w:proofErr w:type="gramEnd"/>
            <w:r>
              <w:rPr>
                <w:rFonts w:ascii="Arial Narrow" w:hAnsi="Arial Narrow"/>
                <w:b/>
                <w:bCs/>
                <w:color w:val="000000"/>
                <w:sz w:val="18"/>
                <w:szCs w:val="18"/>
                <w:lang w:eastAsia="es-PE"/>
              </w:rPr>
              <w:t xml:space="preserve"> del Valor Razonable</w:t>
            </w:r>
          </w:p>
        </w:tc>
        <w:tc>
          <w:tcPr>
            <w:tcW w:w="92" w:type="pct"/>
            <w:tcBorders>
              <w:top w:val="nil"/>
              <w:left w:val="nil"/>
              <w:bottom w:val="nil"/>
              <w:right w:val="nil"/>
            </w:tcBorders>
            <w:shd w:val="clear" w:color="000000" w:fill="FFFFFF"/>
            <w:noWrap/>
            <w:vAlign w:val="bottom"/>
          </w:tcPr>
          <w:p w14:paraId="06B4A154"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55"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r>
      <w:tr w:rsidR="00A658D0" w14:paraId="06B4A164" w14:textId="77777777">
        <w:trPr>
          <w:trHeight w:val="330"/>
        </w:trPr>
        <w:tc>
          <w:tcPr>
            <w:tcW w:w="151" w:type="pct"/>
            <w:tcBorders>
              <w:top w:val="nil"/>
              <w:left w:val="nil"/>
              <w:bottom w:val="nil"/>
              <w:right w:val="nil"/>
            </w:tcBorders>
            <w:shd w:val="clear" w:color="000000" w:fill="FFFFFF"/>
            <w:noWrap/>
            <w:vAlign w:val="bottom"/>
          </w:tcPr>
          <w:p w14:paraId="06B4A157"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15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33" w:type="pct"/>
            <w:tcBorders>
              <w:top w:val="nil"/>
              <w:left w:val="nil"/>
              <w:bottom w:val="nil"/>
              <w:right w:val="nil"/>
            </w:tcBorders>
            <w:shd w:val="clear" w:color="000000" w:fill="FFFFFF"/>
            <w:noWrap/>
            <w:vAlign w:val="bottom"/>
          </w:tcPr>
          <w:p w14:paraId="06B4A15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21" w:type="pct"/>
            <w:tcBorders>
              <w:top w:val="nil"/>
              <w:left w:val="nil"/>
              <w:bottom w:val="nil"/>
              <w:right w:val="nil"/>
            </w:tcBorders>
            <w:shd w:val="clear" w:color="000000" w:fill="FFFFFF"/>
            <w:noWrap/>
            <w:vAlign w:val="bottom"/>
          </w:tcPr>
          <w:p w14:paraId="06B4A15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5B"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15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5D"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15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5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16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6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16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6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72" w14:textId="77777777">
        <w:trPr>
          <w:trHeight w:val="330"/>
        </w:trPr>
        <w:tc>
          <w:tcPr>
            <w:tcW w:w="151" w:type="pct"/>
            <w:tcBorders>
              <w:top w:val="nil"/>
              <w:left w:val="nil"/>
              <w:bottom w:val="nil"/>
              <w:right w:val="nil"/>
            </w:tcBorders>
            <w:shd w:val="clear" w:color="000000" w:fill="FFFFFF"/>
            <w:noWrap/>
            <w:vAlign w:val="bottom"/>
          </w:tcPr>
          <w:p w14:paraId="06B4A165"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16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33" w:type="pct"/>
            <w:tcBorders>
              <w:top w:val="nil"/>
              <w:left w:val="nil"/>
              <w:bottom w:val="nil"/>
              <w:right w:val="nil"/>
            </w:tcBorders>
            <w:shd w:val="clear" w:color="000000" w:fill="FFFFFF"/>
            <w:noWrap/>
            <w:vAlign w:val="bottom"/>
          </w:tcPr>
          <w:p w14:paraId="06B4A16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21" w:type="pct"/>
            <w:tcBorders>
              <w:top w:val="nil"/>
              <w:left w:val="nil"/>
              <w:bottom w:val="nil"/>
              <w:right w:val="nil"/>
            </w:tcBorders>
            <w:shd w:val="clear" w:color="000000" w:fill="FFFFFF"/>
            <w:noWrap/>
            <w:vAlign w:val="bottom"/>
          </w:tcPr>
          <w:p w14:paraId="06B4A16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6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6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6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6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6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6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6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7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7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7E" w14:textId="77777777">
        <w:trPr>
          <w:trHeight w:val="110"/>
        </w:trPr>
        <w:tc>
          <w:tcPr>
            <w:tcW w:w="151" w:type="pct"/>
            <w:tcBorders>
              <w:top w:val="nil"/>
              <w:left w:val="nil"/>
              <w:bottom w:val="nil"/>
              <w:right w:val="nil"/>
            </w:tcBorders>
            <w:shd w:val="clear" w:color="000000" w:fill="FFFFFF"/>
            <w:noWrap/>
            <w:vAlign w:val="bottom"/>
          </w:tcPr>
          <w:p w14:paraId="06B4A173"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1994" w:type="pct"/>
            <w:gridSpan w:val="3"/>
            <w:tcBorders>
              <w:top w:val="nil"/>
              <w:left w:val="nil"/>
              <w:bottom w:val="nil"/>
              <w:right w:val="nil"/>
            </w:tcBorders>
            <w:shd w:val="clear" w:color="000000" w:fill="FFFFFF"/>
            <w:noWrap/>
            <w:vAlign w:val="bottom"/>
          </w:tcPr>
          <w:p w14:paraId="06B4A174" w14:textId="77777777" w:rsidR="00A658D0" w:rsidRDefault="00000000">
            <w:pPr>
              <w:rPr>
                <w:rFonts w:ascii="Arial Narrow" w:hAnsi="Arial Narrow"/>
                <w:b/>
                <w:bCs/>
                <w:color w:val="000000"/>
                <w:sz w:val="18"/>
                <w:szCs w:val="18"/>
                <w:u w:val="single"/>
                <w:lang w:eastAsia="es-PE"/>
              </w:rPr>
            </w:pPr>
            <w:r>
              <w:rPr>
                <w:rFonts w:ascii="Arial Narrow" w:hAnsi="Arial Narrow"/>
                <w:b/>
                <w:bCs/>
                <w:color w:val="000000"/>
                <w:sz w:val="18"/>
                <w:szCs w:val="18"/>
                <w:u w:val="single"/>
                <w:lang w:eastAsia="es-PE"/>
              </w:rPr>
              <w:t>ACTIVOS FINANCIEROS</w:t>
            </w:r>
          </w:p>
        </w:tc>
        <w:tc>
          <w:tcPr>
            <w:tcW w:w="427" w:type="pct"/>
            <w:tcBorders>
              <w:top w:val="nil"/>
              <w:left w:val="nil"/>
              <w:bottom w:val="nil"/>
              <w:right w:val="nil"/>
            </w:tcBorders>
            <w:shd w:val="clear" w:color="000000" w:fill="FFFFFF"/>
            <w:noWrap/>
            <w:vAlign w:val="bottom"/>
          </w:tcPr>
          <w:p w14:paraId="06B4A175"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7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7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7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7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7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7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7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7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8C" w14:textId="77777777">
        <w:trPr>
          <w:trHeight w:val="330"/>
        </w:trPr>
        <w:tc>
          <w:tcPr>
            <w:tcW w:w="151" w:type="pct"/>
            <w:tcBorders>
              <w:top w:val="nil"/>
              <w:left w:val="nil"/>
              <w:bottom w:val="nil"/>
              <w:right w:val="nil"/>
            </w:tcBorders>
            <w:shd w:val="clear" w:color="000000" w:fill="FFFFFF"/>
            <w:noWrap/>
            <w:vAlign w:val="bottom"/>
          </w:tcPr>
          <w:p w14:paraId="06B4A17F" w14:textId="77777777" w:rsidR="00A658D0" w:rsidRDefault="00A658D0">
            <w:pPr>
              <w:rPr>
                <w:rFonts w:ascii="Arial Narrow" w:hAnsi="Arial Narrow"/>
                <w:color w:val="000000"/>
                <w:sz w:val="22"/>
                <w:szCs w:val="22"/>
                <w:lang w:eastAsia="es-PE"/>
              </w:rPr>
            </w:pPr>
          </w:p>
        </w:tc>
        <w:tc>
          <w:tcPr>
            <w:tcW w:w="740" w:type="pct"/>
            <w:tcBorders>
              <w:top w:val="nil"/>
              <w:left w:val="nil"/>
              <w:bottom w:val="nil"/>
              <w:right w:val="nil"/>
            </w:tcBorders>
            <w:shd w:val="clear" w:color="000000" w:fill="FFFFFF"/>
            <w:noWrap/>
            <w:vAlign w:val="bottom"/>
          </w:tcPr>
          <w:p w14:paraId="06B4A180" w14:textId="77777777" w:rsidR="00A658D0" w:rsidRDefault="00A658D0">
            <w:pPr>
              <w:rPr>
                <w:rFonts w:ascii="Arial Narrow" w:hAnsi="Arial Narrow"/>
                <w:b/>
                <w:bCs/>
                <w:color w:val="000000"/>
                <w:sz w:val="18"/>
                <w:szCs w:val="18"/>
                <w:u w:val="single"/>
                <w:lang w:eastAsia="es-PE"/>
              </w:rPr>
            </w:pPr>
          </w:p>
        </w:tc>
        <w:tc>
          <w:tcPr>
            <w:tcW w:w="533" w:type="pct"/>
            <w:tcBorders>
              <w:top w:val="nil"/>
              <w:left w:val="nil"/>
              <w:bottom w:val="nil"/>
              <w:right w:val="nil"/>
            </w:tcBorders>
            <w:shd w:val="clear" w:color="000000" w:fill="FFFFFF"/>
            <w:noWrap/>
            <w:vAlign w:val="bottom"/>
          </w:tcPr>
          <w:p w14:paraId="06B4A181"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noWrap/>
            <w:vAlign w:val="bottom"/>
          </w:tcPr>
          <w:p w14:paraId="06B4A182"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18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8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8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8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8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8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8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8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8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9A" w14:textId="77777777">
        <w:trPr>
          <w:trHeight w:val="330"/>
        </w:trPr>
        <w:tc>
          <w:tcPr>
            <w:tcW w:w="151" w:type="pct"/>
            <w:tcBorders>
              <w:top w:val="nil"/>
              <w:left w:val="nil"/>
              <w:bottom w:val="nil"/>
              <w:right w:val="nil"/>
            </w:tcBorders>
            <w:shd w:val="clear" w:color="000000" w:fill="FFFFFF"/>
            <w:noWrap/>
            <w:vAlign w:val="bottom"/>
          </w:tcPr>
          <w:p w14:paraId="06B4A18D" w14:textId="77777777" w:rsidR="00A658D0" w:rsidRDefault="00A658D0">
            <w:pPr>
              <w:rPr>
                <w:rFonts w:ascii="Arial Narrow" w:hAnsi="Arial Narrow"/>
                <w:color w:val="000000"/>
                <w:sz w:val="22"/>
                <w:szCs w:val="22"/>
                <w:lang w:eastAsia="es-PE"/>
              </w:rPr>
            </w:pPr>
          </w:p>
        </w:tc>
        <w:tc>
          <w:tcPr>
            <w:tcW w:w="740" w:type="pct"/>
            <w:tcBorders>
              <w:top w:val="nil"/>
              <w:left w:val="nil"/>
              <w:bottom w:val="nil"/>
              <w:right w:val="nil"/>
            </w:tcBorders>
            <w:shd w:val="clear" w:color="000000" w:fill="FFFFFF"/>
            <w:noWrap/>
            <w:vAlign w:val="bottom"/>
          </w:tcPr>
          <w:p w14:paraId="06B4A18E" w14:textId="77777777" w:rsidR="00A658D0" w:rsidRDefault="00A658D0">
            <w:pPr>
              <w:rPr>
                <w:rFonts w:ascii="Arial Narrow" w:hAnsi="Arial Narrow"/>
                <w:b/>
                <w:bCs/>
                <w:color w:val="000000"/>
                <w:sz w:val="18"/>
                <w:szCs w:val="18"/>
                <w:u w:val="single"/>
                <w:lang w:eastAsia="es-PE"/>
              </w:rPr>
            </w:pPr>
          </w:p>
        </w:tc>
        <w:tc>
          <w:tcPr>
            <w:tcW w:w="533" w:type="pct"/>
            <w:tcBorders>
              <w:top w:val="nil"/>
              <w:left w:val="nil"/>
              <w:bottom w:val="nil"/>
              <w:right w:val="nil"/>
            </w:tcBorders>
            <w:shd w:val="clear" w:color="000000" w:fill="FFFFFF"/>
            <w:noWrap/>
            <w:vAlign w:val="bottom"/>
          </w:tcPr>
          <w:p w14:paraId="06B4A18F"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noWrap/>
            <w:vAlign w:val="bottom"/>
          </w:tcPr>
          <w:p w14:paraId="06B4A190"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191"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9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9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9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9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9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9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9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9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A8" w14:textId="77777777">
        <w:trPr>
          <w:trHeight w:val="330"/>
        </w:trPr>
        <w:tc>
          <w:tcPr>
            <w:tcW w:w="151" w:type="pct"/>
            <w:tcBorders>
              <w:top w:val="nil"/>
              <w:left w:val="nil"/>
              <w:bottom w:val="nil"/>
              <w:right w:val="nil"/>
            </w:tcBorders>
            <w:shd w:val="clear" w:color="000000" w:fill="FFFFFF"/>
            <w:noWrap/>
            <w:vAlign w:val="bottom"/>
          </w:tcPr>
          <w:p w14:paraId="06B4A19B" w14:textId="77777777" w:rsidR="00A658D0" w:rsidRDefault="00A658D0">
            <w:pPr>
              <w:rPr>
                <w:rFonts w:ascii="Arial Narrow" w:hAnsi="Arial Narrow"/>
                <w:color w:val="000000"/>
                <w:sz w:val="22"/>
                <w:szCs w:val="22"/>
                <w:lang w:eastAsia="es-PE"/>
              </w:rPr>
            </w:pPr>
          </w:p>
        </w:tc>
        <w:tc>
          <w:tcPr>
            <w:tcW w:w="740" w:type="pct"/>
            <w:tcBorders>
              <w:top w:val="nil"/>
              <w:left w:val="nil"/>
              <w:bottom w:val="nil"/>
              <w:right w:val="nil"/>
            </w:tcBorders>
            <w:shd w:val="clear" w:color="000000" w:fill="FFFFFF"/>
            <w:noWrap/>
            <w:vAlign w:val="bottom"/>
          </w:tcPr>
          <w:p w14:paraId="06B4A19C" w14:textId="77777777" w:rsidR="00A658D0" w:rsidRDefault="00A658D0">
            <w:pPr>
              <w:rPr>
                <w:rFonts w:ascii="Arial Narrow" w:hAnsi="Arial Narrow"/>
                <w:b/>
                <w:bCs/>
                <w:color w:val="000000"/>
                <w:sz w:val="18"/>
                <w:szCs w:val="18"/>
                <w:u w:val="single"/>
                <w:lang w:eastAsia="es-PE"/>
              </w:rPr>
            </w:pPr>
          </w:p>
        </w:tc>
        <w:tc>
          <w:tcPr>
            <w:tcW w:w="533" w:type="pct"/>
            <w:tcBorders>
              <w:top w:val="nil"/>
              <w:left w:val="nil"/>
              <w:bottom w:val="nil"/>
              <w:right w:val="nil"/>
            </w:tcBorders>
            <w:shd w:val="clear" w:color="000000" w:fill="FFFFFF"/>
            <w:noWrap/>
            <w:vAlign w:val="bottom"/>
          </w:tcPr>
          <w:p w14:paraId="06B4A19D"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noWrap/>
            <w:vAlign w:val="bottom"/>
          </w:tcPr>
          <w:p w14:paraId="06B4A19E"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19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A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A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A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A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A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A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A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A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B6" w14:textId="77777777">
        <w:trPr>
          <w:trHeight w:val="330"/>
        </w:trPr>
        <w:tc>
          <w:tcPr>
            <w:tcW w:w="151" w:type="pct"/>
            <w:tcBorders>
              <w:top w:val="nil"/>
              <w:left w:val="nil"/>
              <w:bottom w:val="nil"/>
              <w:right w:val="nil"/>
            </w:tcBorders>
            <w:shd w:val="clear" w:color="000000" w:fill="FFFFFF"/>
            <w:noWrap/>
            <w:vAlign w:val="bottom"/>
          </w:tcPr>
          <w:p w14:paraId="06B4A1A9"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1A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33" w:type="pct"/>
            <w:tcBorders>
              <w:top w:val="nil"/>
              <w:left w:val="nil"/>
              <w:bottom w:val="nil"/>
              <w:right w:val="nil"/>
            </w:tcBorders>
            <w:shd w:val="clear" w:color="000000" w:fill="FFFFFF"/>
            <w:noWrap/>
            <w:vAlign w:val="bottom"/>
          </w:tcPr>
          <w:p w14:paraId="06B4A1A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21" w:type="pct"/>
            <w:tcBorders>
              <w:top w:val="nil"/>
              <w:left w:val="nil"/>
              <w:bottom w:val="nil"/>
              <w:right w:val="nil"/>
            </w:tcBorders>
            <w:shd w:val="clear" w:color="000000" w:fill="FFFFFF"/>
            <w:noWrap/>
            <w:vAlign w:val="bottom"/>
          </w:tcPr>
          <w:p w14:paraId="06B4A1A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noWrap/>
            <w:vAlign w:val="bottom"/>
          </w:tcPr>
          <w:p w14:paraId="06B4A1A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A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noWrap/>
            <w:vAlign w:val="bottom"/>
          </w:tcPr>
          <w:p w14:paraId="06B4A1A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B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noWrap/>
            <w:vAlign w:val="bottom"/>
          </w:tcPr>
          <w:p w14:paraId="06B4A1B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B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single" w:sz="4" w:space="0" w:color="auto"/>
              <w:right w:val="nil"/>
            </w:tcBorders>
            <w:shd w:val="clear" w:color="000000" w:fill="FFFFFF"/>
            <w:noWrap/>
            <w:vAlign w:val="bottom"/>
          </w:tcPr>
          <w:p w14:paraId="06B4A1B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B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B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C2" w14:textId="77777777">
        <w:trPr>
          <w:trHeight w:val="345"/>
        </w:trPr>
        <w:tc>
          <w:tcPr>
            <w:tcW w:w="151" w:type="pct"/>
            <w:tcBorders>
              <w:top w:val="nil"/>
              <w:left w:val="nil"/>
              <w:bottom w:val="nil"/>
              <w:right w:val="nil"/>
            </w:tcBorders>
            <w:shd w:val="clear" w:color="000000" w:fill="FFFFFF"/>
            <w:noWrap/>
            <w:vAlign w:val="bottom"/>
          </w:tcPr>
          <w:p w14:paraId="06B4A1B7"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1994" w:type="pct"/>
            <w:gridSpan w:val="3"/>
            <w:tcBorders>
              <w:top w:val="nil"/>
              <w:left w:val="nil"/>
              <w:bottom w:val="nil"/>
              <w:right w:val="nil"/>
            </w:tcBorders>
            <w:shd w:val="clear" w:color="000000" w:fill="FFFFFF"/>
            <w:vAlign w:val="bottom"/>
          </w:tcPr>
          <w:p w14:paraId="06B4A1B8" w14:textId="77777777" w:rsidR="00A658D0" w:rsidRDefault="00000000">
            <w:pPr>
              <w:rPr>
                <w:rFonts w:ascii="Arial Narrow" w:hAnsi="Arial Narrow"/>
                <w:b/>
                <w:bCs/>
                <w:color w:val="000000"/>
                <w:sz w:val="18"/>
                <w:szCs w:val="18"/>
                <w:lang w:eastAsia="es-PE"/>
              </w:rPr>
            </w:pPr>
            <w:proofErr w:type="gramStart"/>
            <w:r>
              <w:rPr>
                <w:rFonts w:ascii="Arial Narrow" w:hAnsi="Arial Narrow"/>
                <w:b/>
                <w:bCs/>
                <w:color w:val="000000"/>
                <w:sz w:val="18"/>
                <w:szCs w:val="18"/>
                <w:lang w:eastAsia="es-PE"/>
              </w:rPr>
              <w:t>TOTAL</w:t>
            </w:r>
            <w:proofErr w:type="gramEnd"/>
            <w:r>
              <w:rPr>
                <w:rFonts w:ascii="Arial Narrow" w:hAnsi="Arial Narrow"/>
                <w:b/>
                <w:bCs/>
                <w:color w:val="000000"/>
                <w:sz w:val="18"/>
                <w:szCs w:val="18"/>
                <w:lang w:eastAsia="es-PE"/>
              </w:rPr>
              <w:t xml:space="preserve"> ACTIVO</w:t>
            </w:r>
          </w:p>
        </w:tc>
        <w:tc>
          <w:tcPr>
            <w:tcW w:w="427" w:type="pct"/>
            <w:tcBorders>
              <w:top w:val="nil"/>
              <w:left w:val="nil"/>
              <w:bottom w:val="single" w:sz="12" w:space="0" w:color="auto"/>
              <w:right w:val="nil"/>
            </w:tcBorders>
            <w:shd w:val="clear" w:color="000000" w:fill="FFFFFF"/>
            <w:noWrap/>
            <w:vAlign w:val="bottom"/>
          </w:tcPr>
          <w:p w14:paraId="06B4A1B9"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B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12" w:space="0" w:color="auto"/>
              <w:right w:val="nil"/>
            </w:tcBorders>
            <w:shd w:val="clear" w:color="000000" w:fill="FFFFFF"/>
            <w:noWrap/>
            <w:vAlign w:val="bottom"/>
          </w:tcPr>
          <w:p w14:paraId="06B4A1B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B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12" w:space="0" w:color="auto"/>
              <w:right w:val="nil"/>
            </w:tcBorders>
            <w:shd w:val="clear" w:color="000000" w:fill="FFFFFF"/>
            <w:noWrap/>
            <w:vAlign w:val="bottom"/>
          </w:tcPr>
          <w:p w14:paraId="06B4A1B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B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single" w:sz="12" w:space="0" w:color="auto"/>
              <w:right w:val="nil"/>
            </w:tcBorders>
            <w:shd w:val="clear" w:color="000000" w:fill="FFFFFF"/>
            <w:noWrap/>
            <w:vAlign w:val="bottom"/>
          </w:tcPr>
          <w:p w14:paraId="06B4A1B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C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C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D0" w14:textId="77777777">
        <w:trPr>
          <w:trHeight w:val="345"/>
        </w:trPr>
        <w:tc>
          <w:tcPr>
            <w:tcW w:w="151" w:type="pct"/>
            <w:tcBorders>
              <w:top w:val="nil"/>
              <w:left w:val="nil"/>
              <w:bottom w:val="nil"/>
              <w:right w:val="nil"/>
            </w:tcBorders>
            <w:shd w:val="clear" w:color="000000" w:fill="FFFFFF"/>
            <w:noWrap/>
            <w:vAlign w:val="bottom"/>
          </w:tcPr>
          <w:p w14:paraId="06B4A1C3"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1C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33" w:type="pct"/>
            <w:tcBorders>
              <w:top w:val="nil"/>
              <w:left w:val="nil"/>
              <w:bottom w:val="nil"/>
              <w:right w:val="nil"/>
            </w:tcBorders>
            <w:shd w:val="clear" w:color="000000" w:fill="FFFFFF"/>
            <w:noWrap/>
            <w:vAlign w:val="bottom"/>
          </w:tcPr>
          <w:p w14:paraId="06B4A1C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21" w:type="pct"/>
            <w:tcBorders>
              <w:top w:val="nil"/>
              <w:left w:val="nil"/>
              <w:bottom w:val="nil"/>
              <w:right w:val="nil"/>
            </w:tcBorders>
            <w:shd w:val="clear" w:color="000000" w:fill="FFFFFF"/>
            <w:noWrap/>
            <w:vAlign w:val="bottom"/>
          </w:tcPr>
          <w:p w14:paraId="06B4A1C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C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C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C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C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C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C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C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C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C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DC" w14:textId="77777777">
        <w:trPr>
          <w:trHeight w:val="330"/>
        </w:trPr>
        <w:tc>
          <w:tcPr>
            <w:tcW w:w="151" w:type="pct"/>
            <w:tcBorders>
              <w:top w:val="nil"/>
              <w:left w:val="nil"/>
              <w:bottom w:val="nil"/>
              <w:right w:val="nil"/>
            </w:tcBorders>
            <w:shd w:val="clear" w:color="000000" w:fill="FFFFFF"/>
            <w:noWrap/>
            <w:vAlign w:val="bottom"/>
          </w:tcPr>
          <w:p w14:paraId="06B4A1D1"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1994" w:type="pct"/>
            <w:gridSpan w:val="3"/>
            <w:tcBorders>
              <w:top w:val="nil"/>
              <w:left w:val="nil"/>
              <w:bottom w:val="nil"/>
              <w:right w:val="nil"/>
            </w:tcBorders>
            <w:shd w:val="clear" w:color="000000" w:fill="FFFFFF"/>
            <w:vAlign w:val="bottom"/>
          </w:tcPr>
          <w:p w14:paraId="06B4A1D2" w14:textId="77777777" w:rsidR="00A658D0" w:rsidRDefault="00000000">
            <w:pPr>
              <w:rPr>
                <w:rFonts w:ascii="Arial Narrow" w:hAnsi="Arial Narrow"/>
                <w:b/>
                <w:bCs/>
                <w:color w:val="000000"/>
                <w:sz w:val="18"/>
                <w:szCs w:val="18"/>
                <w:u w:val="single"/>
                <w:lang w:eastAsia="es-PE"/>
              </w:rPr>
            </w:pPr>
            <w:r>
              <w:rPr>
                <w:rFonts w:ascii="Arial Narrow" w:hAnsi="Arial Narrow"/>
                <w:b/>
                <w:bCs/>
                <w:color w:val="000000"/>
                <w:sz w:val="18"/>
                <w:szCs w:val="18"/>
                <w:u w:val="single"/>
                <w:lang w:eastAsia="es-PE"/>
              </w:rPr>
              <w:t>PASIVOS FINANCIEROS</w:t>
            </w:r>
          </w:p>
        </w:tc>
        <w:tc>
          <w:tcPr>
            <w:tcW w:w="427" w:type="pct"/>
            <w:tcBorders>
              <w:top w:val="nil"/>
              <w:left w:val="nil"/>
              <w:bottom w:val="nil"/>
              <w:right w:val="nil"/>
            </w:tcBorders>
            <w:shd w:val="clear" w:color="000000" w:fill="FFFFFF"/>
            <w:noWrap/>
            <w:vAlign w:val="bottom"/>
          </w:tcPr>
          <w:p w14:paraId="06B4A1D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D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D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D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D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D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D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D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D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EA" w14:textId="77777777">
        <w:trPr>
          <w:trHeight w:val="330"/>
        </w:trPr>
        <w:tc>
          <w:tcPr>
            <w:tcW w:w="151" w:type="pct"/>
            <w:tcBorders>
              <w:top w:val="nil"/>
              <w:left w:val="nil"/>
              <w:bottom w:val="nil"/>
              <w:right w:val="nil"/>
            </w:tcBorders>
            <w:shd w:val="clear" w:color="000000" w:fill="FFFFFF"/>
            <w:noWrap/>
            <w:vAlign w:val="bottom"/>
          </w:tcPr>
          <w:p w14:paraId="06B4A1DD"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vAlign w:val="bottom"/>
          </w:tcPr>
          <w:p w14:paraId="06B4A1DE" w14:textId="77777777" w:rsidR="00A658D0" w:rsidRDefault="00A658D0">
            <w:pPr>
              <w:rPr>
                <w:rFonts w:ascii="Arial Narrow" w:hAnsi="Arial Narrow"/>
                <w:b/>
                <w:bCs/>
                <w:color w:val="000000"/>
                <w:sz w:val="18"/>
                <w:szCs w:val="18"/>
                <w:u w:val="single"/>
                <w:lang w:eastAsia="es-PE"/>
              </w:rPr>
            </w:pPr>
          </w:p>
        </w:tc>
        <w:tc>
          <w:tcPr>
            <w:tcW w:w="533" w:type="pct"/>
            <w:tcBorders>
              <w:top w:val="nil"/>
              <w:left w:val="nil"/>
              <w:bottom w:val="nil"/>
              <w:right w:val="nil"/>
            </w:tcBorders>
            <w:shd w:val="clear" w:color="000000" w:fill="FFFFFF"/>
            <w:vAlign w:val="bottom"/>
          </w:tcPr>
          <w:p w14:paraId="06B4A1DF"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vAlign w:val="bottom"/>
          </w:tcPr>
          <w:p w14:paraId="06B4A1E0"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1E1"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E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E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E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E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E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E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E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E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1F8" w14:textId="77777777">
        <w:trPr>
          <w:trHeight w:val="330"/>
        </w:trPr>
        <w:tc>
          <w:tcPr>
            <w:tcW w:w="151" w:type="pct"/>
            <w:tcBorders>
              <w:top w:val="nil"/>
              <w:left w:val="nil"/>
              <w:bottom w:val="nil"/>
              <w:right w:val="nil"/>
            </w:tcBorders>
            <w:shd w:val="clear" w:color="000000" w:fill="FFFFFF"/>
            <w:noWrap/>
            <w:vAlign w:val="bottom"/>
          </w:tcPr>
          <w:p w14:paraId="06B4A1EB"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1EC" w14:textId="77777777" w:rsidR="00A658D0" w:rsidRDefault="00A658D0">
            <w:pPr>
              <w:rPr>
                <w:rFonts w:ascii="Arial Narrow" w:hAnsi="Arial Narrow"/>
                <w:color w:val="000000"/>
                <w:sz w:val="18"/>
                <w:szCs w:val="18"/>
                <w:lang w:eastAsia="es-PE"/>
              </w:rPr>
            </w:pPr>
          </w:p>
        </w:tc>
        <w:tc>
          <w:tcPr>
            <w:tcW w:w="533" w:type="pct"/>
            <w:tcBorders>
              <w:top w:val="nil"/>
              <w:left w:val="nil"/>
              <w:bottom w:val="nil"/>
              <w:right w:val="nil"/>
            </w:tcBorders>
            <w:shd w:val="clear" w:color="000000" w:fill="FFFFFF"/>
            <w:vAlign w:val="bottom"/>
          </w:tcPr>
          <w:p w14:paraId="06B4A1ED"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vAlign w:val="bottom"/>
          </w:tcPr>
          <w:p w14:paraId="06B4A1EE"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1E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F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F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F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F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F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1F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F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1F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06" w14:textId="77777777">
        <w:trPr>
          <w:trHeight w:val="330"/>
        </w:trPr>
        <w:tc>
          <w:tcPr>
            <w:tcW w:w="151" w:type="pct"/>
            <w:tcBorders>
              <w:top w:val="nil"/>
              <w:left w:val="nil"/>
              <w:bottom w:val="nil"/>
              <w:right w:val="nil"/>
            </w:tcBorders>
            <w:shd w:val="clear" w:color="000000" w:fill="FFFFFF"/>
            <w:noWrap/>
            <w:vAlign w:val="bottom"/>
          </w:tcPr>
          <w:p w14:paraId="06B4A1F9"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1FA" w14:textId="77777777" w:rsidR="00A658D0" w:rsidRDefault="00A658D0">
            <w:pPr>
              <w:rPr>
                <w:rFonts w:ascii="Arial Narrow" w:hAnsi="Arial Narrow"/>
                <w:color w:val="000000"/>
                <w:sz w:val="18"/>
                <w:szCs w:val="18"/>
                <w:lang w:eastAsia="es-PE"/>
              </w:rPr>
            </w:pPr>
          </w:p>
        </w:tc>
        <w:tc>
          <w:tcPr>
            <w:tcW w:w="533" w:type="pct"/>
            <w:tcBorders>
              <w:top w:val="nil"/>
              <w:left w:val="nil"/>
              <w:bottom w:val="nil"/>
              <w:right w:val="nil"/>
            </w:tcBorders>
            <w:shd w:val="clear" w:color="000000" w:fill="FFFFFF"/>
            <w:vAlign w:val="bottom"/>
          </w:tcPr>
          <w:p w14:paraId="06B4A1FB"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vAlign w:val="bottom"/>
          </w:tcPr>
          <w:p w14:paraId="06B4A1FC"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1F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1F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1F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0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0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0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20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0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0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14" w14:textId="77777777">
        <w:trPr>
          <w:trHeight w:val="330"/>
        </w:trPr>
        <w:tc>
          <w:tcPr>
            <w:tcW w:w="151" w:type="pct"/>
            <w:tcBorders>
              <w:top w:val="nil"/>
              <w:left w:val="nil"/>
              <w:bottom w:val="nil"/>
              <w:right w:val="nil"/>
            </w:tcBorders>
            <w:shd w:val="clear" w:color="000000" w:fill="FFFFFF"/>
            <w:noWrap/>
            <w:vAlign w:val="bottom"/>
          </w:tcPr>
          <w:p w14:paraId="06B4A207"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vAlign w:val="bottom"/>
          </w:tcPr>
          <w:p w14:paraId="06B4A208" w14:textId="77777777" w:rsidR="00A658D0" w:rsidRDefault="00A658D0">
            <w:pPr>
              <w:rPr>
                <w:rFonts w:ascii="Arial Narrow" w:hAnsi="Arial Narrow"/>
                <w:b/>
                <w:bCs/>
                <w:color w:val="000000"/>
                <w:sz w:val="18"/>
                <w:szCs w:val="18"/>
                <w:u w:val="single"/>
                <w:lang w:eastAsia="es-PE"/>
              </w:rPr>
            </w:pPr>
          </w:p>
        </w:tc>
        <w:tc>
          <w:tcPr>
            <w:tcW w:w="533" w:type="pct"/>
            <w:tcBorders>
              <w:top w:val="nil"/>
              <w:left w:val="nil"/>
              <w:bottom w:val="nil"/>
              <w:right w:val="nil"/>
            </w:tcBorders>
            <w:shd w:val="clear" w:color="000000" w:fill="FFFFFF"/>
            <w:vAlign w:val="bottom"/>
          </w:tcPr>
          <w:p w14:paraId="06B4A209" w14:textId="77777777" w:rsidR="00A658D0" w:rsidRDefault="00A658D0">
            <w:pPr>
              <w:rPr>
                <w:rFonts w:ascii="Arial Narrow" w:hAnsi="Arial Narrow"/>
                <w:b/>
                <w:bCs/>
                <w:color w:val="000000"/>
                <w:sz w:val="18"/>
                <w:szCs w:val="18"/>
                <w:u w:val="single"/>
                <w:lang w:eastAsia="es-PE"/>
              </w:rPr>
            </w:pPr>
          </w:p>
        </w:tc>
        <w:tc>
          <w:tcPr>
            <w:tcW w:w="721" w:type="pct"/>
            <w:tcBorders>
              <w:top w:val="nil"/>
              <w:left w:val="nil"/>
              <w:bottom w:val="nil"/>
              <w:right w:val="nil"/>
            </w:tcBorders>
            <w:shd w:val="clear" w:color="000000" w:fill="FFFFFF"/>
            <w:vAlign w:val="bottom"/>
          </w:tcPr>
          <w:p w14:paraId="06B4A20A" w14:textId="77777777" w:rsidR="00A658D0" w:rsidRDefault="00A658D0">
            <w:pPr>
              <w:rPr>
                <w:rFonts w:ascii="Arial Narrow" w:hAnsi="Arial Narrow"/>
                <w:b/>
                <w:bCs/>
                <w:color w:val="000000"/>
                <w:sz w:val="18"/>
                <w:szCs w:val="18"/>
                <w:u w:val="single"/>
                <w:lang w:eastAsia="es-PE"/>
              </w:rPr>
            </w:pPr>
          </w:p>
        </w:tc>
        <w:tc>
          <w:tcPr>
            <w:tcW w:w="427" w:type="pct"/>
            <w:tcBorders>
              <w:top w:val="nil"/>
              <w:left w:val="nil"/>
              <w:bottom w:val="nil"/>
              <w:right w:val="nil"/>
            </w:tcBorders>
            <w:shd w:val="clear" w:color="000000" w:fill="FFFFFF"/>
            <w:noWrap/>
            <w:vAlign w:val="bottom"/>
          </w:tcPr>
          <w:p w14:paraId="06B4A20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0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0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0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0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1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21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1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1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20" w14:textId="77777777">
        <w:trPr>
          <w:trHeight w:val="110"/>
        </w:trPr>
        <w:tc>
          <w:tcPr>
            <w:tcW w:w="151" w:type="pct"/>
            <w:tcBorders>
              <w:top w:val="nil"/>
              <w:left w:val="nil"/>
              <w:bottom w:val="nil"/>
              <w:right w:val="nil"/>
            </w:tcBorders>
            <w:shd w:val="clear" w:color="000000" w:fill="FFFFFF"/>
            <w:noWrap/>
            <w:vAlign w:val="bottom"/>
          </w:tcPr>
          <w:p w14:paraId="06B4A215"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1994" w:type="pct"/>
            <w:gridSpan w:val="3"/>
            <w:tcBorders>
              <w:top w:val="nil"/>
              <w:left w:val="nil"/>
              <w:bottom w:val="nil"/>
              <w:right w:val="nil"/>
            </w:tcBorders>
            <w:shd w:val="clear" w:color="000000" w:fill="FFFFFF"/>
            <w:vAlign w:val="bottom"/>
          </w:tcPr>
          <w:p w14:paraId="06B4A216"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OBLIGACIONES FINANCIERAS</w:t>
            </w:r>
          </w:p>
        </w:tc>
        <w:tc>
          <w:tcPr>
            <w:tcW w:w="427" w:type="pct"/>
            <w:tcBorders>
              <w:top w:val="nil"/>
              <w:left w:val="nil"/>
              <w:bottom w:val="nil"/>
              <w:right w:val="nil"/>
            </w:tcBorders>
            <w:shd w:val="clear" w:color="000000" w:fill="FFFFFF"/>
            <w:noWrap/>
            <w:vAlign w:val="bottom"/>
          </w:tcPr>
          <w:p w14:paraId="06B4A217"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1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1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1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1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1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21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1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1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2D" w14:textId="77777777">
        <w:trPr>
          <w:trHeight w:val="330"/>
        </w:trPr>
        <w:tc>
          <w:tcPr>
            <w:tcW w:w="151" w:type="pct"/>
            <w:tcBorders>
              <w:top w:val="nil"/>
              <w:left w:val="nil"/>
              <w:bottom w:val="nil"/>
              <w:right w:val="nil"/>
            </w:tcBorders>
            <w:shd w:val="clear" w:color="000000" w:fill="FFFFFF"/>
            <w:noWrap/>
            <w:vAlign w:val="bottom"/>
          </w:tcPr>
          <w:p w14:paraId="06B4A221"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22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54" w:type="pct"/>
            <w:gridSpan w:val="2"/>
            <w:tcBorders>
              <w:top w:val="nil"/>
              <w:left w:val="nil"/>
              <w:bottom w:val="nil"/>
              <w:right w:val="nil"/>
            </w:tcBorders>
            <w:shd w:val="clear" w:color="000000" w:fill="FFFFFF"/>
            <w:noWrap/>
            <w:vAlign w:val="bottom"/>
          </w:tcPr>
          <w:p w14:paraId="06B4A22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2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2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2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2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2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2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22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2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2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3B" w14:textId="77777777">
        <w:trPr>
          <w:trHeight w:val="330"/>
        </w:trPr>
        <w:tc>
          <w:tcPr>
            <w:tcW w:w="151" w:type="pct"/>
            <w:tcBorders>
              <w:top w:val="nil"/>
              <w:left w:val="nil"/>
              <w:bottom w:val="nil"/>
              <w:right w:val="nil"/>
            </w:tcBorders>
            <w:shd w:val="clear" w:color="000000" w:fill="FFFFFF"/>
            <w:noWrap/>
            <w:vAlign w:val="bottom"/>
          </w:tcPr>
          <w:p w14:paraId="06B4A22E"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vAlign w:val="bottom"/>
          </w:tcPr>
          <w:p w14:paraId="06B4A22F"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533" w:type="pct"/>
            <w:tcBorders>
              <w:top w:val="nil"/>
              <w:left w:val="nil"/>
              <w:bottom w:val="nil"/>
              <w:right w:val="nil"/>
            </w:tcBorders>
            <w:shd w:val="clear" w:color="000000" w:fill="FFFFFF"/>
            <w:vAlign w:val="bottom"/>
          </w:tcPr>
          <w:p w14:paraId="06B4A230"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721" w:type="pct"/>
            <w:tcBorders>
              <w:top w:val="nil"/>
              <w:left w:val="nil"/>
              <w:bottom w:val="nil"/>
              <w:right w:val="nil"/>
            </w:tcBorders>
            <w:shd w:val="clear" w:color="000000" w:fill="FFFFFF"/>
            <w:vAlign w:val="bottom"/>
          </w:tcPr>
          <w:p w14:paraId="06B4A231"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32"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3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3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3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3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3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23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3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3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48" w14:textId="77777777">
        <w:trPr>
          <w:trHeight w:val="330"/>
        </w:trPr>
        <w:tc>
          <w:tcPr>
            <w:tcW w:w="151" w:type="pct"/>
            <w:tcBorders>
              <w:top w:val="nil"/>
              <w:left w:val="nil"/>
              <w:bottom w:val="nil"/>
              <w:right w:val="nil"/>
            </w:tcBorders>
            <w:shd w:val="clear" w:color="000000" w:fill="FFFFFF"/>
            <w:noWrap/>
            <w:vAlign w:val="bottom"/>
          </w:tcPr>
          <w:p w14:paraId="06B4A23C"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23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54" w:type="pct"/>
            <w:gridSpan w:val="2"/>
            <w:tcBorders>
              <w:top w:val="nil"/>
              <w:left w:val="nil"/>
              <w:bottom w:val="nil"/>
              <w:right w:val="nil"/>
            </w:tcBorders>
            <w:shd w:val="clear" w:color="000000" w:fill="FFFFFF"/>
            <w:vAlign w:val="center"/>
          </w:tcPr>
          <w:p w14:paraId="06B4A23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noWrap/>
            <w:vAlign w:val="bottom"/>
          </w:tcPr>
          <w:p w14:paraId="06B4A23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4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noWrap/>
            <w:vAlign w:val="bottom"/>
          </w:tcPr>
          <w:p w14:paraId="06B4A24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4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4" w:space="0" w:color="auto"/>
              <w:right w:val="nil"/>
            </w:tcBorders>
            <w:shd w:val="clear" w:color="000000" w:fill="FFFFFF"/>
            <w:noWrap/>
            <w:vAlign w:val="bottom"/>
          </w:tcPr>
          <w:p w14:paraId="06B4A24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4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single" w:sz="4" w:space="0" w:color="auto"/>
              <w:right w:val="nil"/>
            </w:tcBorders>
            <w:shd w:val="clear" w:color="000000" w:fill="FFFFFF"/>
            <w:noWrap/>
            <w:vAlign w:val="bottom"/>
          </w:tcPr>
          <w:p w14:paraId="06B4A24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4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4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54" w14:textId="77777777">
        <w:trPr>
          <w:trHeight w:val="345"/>
        </w:trPr>
        <w:tc>
          <w:tcPr>
            <w:tcW w:w="151" w:type="pct"/>
            <w:tcBorders>
              <w:top w:val="nil"/>
              <w:left w:val="nil"/>
              <w:bottom w:val="nil"/>
              <w:right w:val="nil"/>
            </w:tcBorders>
            <w:shd w:val="clear" w:color="000000" w:fill="FFFFFF"/>
            <w:noWrap/>
            <w:vAlign w:val="bottom"/>
          </w:tcPr>
          <w:p w14:paraId="06B4A249"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1994" w:type="pct"/>
            <w:gridSpan w:val="3"/>
            <w:tcBorders>
              <w:top w:val="nil"/>
              <w:left w:val="nil"/>
              <w:bottom w:val="nil"/>
              <w:right w:val="nil"/>
            </w:tcBorders>
            <w:shd w:val="clear" w:color="000000" w:fill="FFFFFF"/>
            <w:vAlign w:val="bottom"/>
          </w:tcPr>
          <w:p w14:paraId="06B4A24A" w14:textId="77777777" w:rsidR="00A658D0" w:rsidRDefault="00000000">
            <w:pPr>
              <w:rPr>
                <w:rFonts w:ascii="Arial Narrow" w:hAnsi="Arial Narrow"/>
                <w:b/>
                <w:bCs/>
                <w:color w:val="000000"/>
                <w:sz w:val="18"/>
                <w:szCs w:val="18"/>
                <w:lang w:eastAsia="es-PE"/>
              </w:rPr>
            </w:pPr>
            <w:proofErr w:type="gramStart"/>
            <w:r>
              <w:rPr>
                <w:rFonts w:ascii="Arial Narrow" w:hAnsi="Arial Narrow"/>
                <w:b/>
                <w:bCs/>
                <w:color w:val="000000"/>
                <w:sz w:val="18"/>
                <w:szCs w:val="18"/>
                <w:lang w:eastAsia="es-PE"/>
              </w:rPr>
              <w:t>TOTAL</w:t>
            </w:r>
            <w:proofErr w:type="gramEnd"/>
            <w:r>
              <w:rPr>
                <w:rFonts w:ascii="Arial Narrow" w:hAnsi="Arial Narrow"/>
                <w:b/>
                <w:bCs/>
                <w:color w:val="000000"/>
                <w:sz w:val="18"/>
                <w:szCs w:val="18"/>
                <w:lang w:eastAsia="es-PE"/>
              </w:rPr>
              <w:t xml:space="preserve"> PASIVO</w:t>
            </w:r>
          </w:p>
        </w:tc>
        <w:tc>
          <w:tcPr>
            <w:tcW w:w="427" w:type="pct"/>
            <w:tcBorders>
              <w:top w:val="nil"/>
              <w:left w:val="nil"/>
              <w:bottom w:val="single" w:sz="12" w:space="0" w:color="auto"/>
              <w:right w:val="nil"/>
            </w:tcBorders>
            <w:shd w:val="clear" w:color="000000" w:fill="FFFFFF"/>
            <w:noWrap/>
            <w:vAlign w:val="bottom"/>
          </w:tcPr>
          <w:p w14:paraId="06B4A24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4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12" w:space="0" w:color="auto"/>
              <w:right w:val="nil"/>
            </w:tcBorders>
            <w:shd w:val="clear" w:color="000000" w:fill="FFFFFF"/>
            <w:noWrap/>
            <w:vAlign w:val="bottom"/>
          </w:tcPr>
          <w:p w14:paraId="06B4A24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4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single" w:sz="12" w:space="0" w:color="auto"/>
              <w:right w:val="nil"/>
            </w:tcBorders>
            <w:shd w:val="clear" w:color="000000" w:fill="FFFFFF"/>
            <w:noWrap/>
            <w:vAlign w:val="bottom"/>
          </w:tcPr>
          <w:p w14:paraId="06B4A24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5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single" w:sz="12" w:space="0" w:color="auto"/>
              <w:right w:val="nil"/>
            </w:tcBorders>
            <w:shd w:val="clear" w:color="000000" w:fill="FFFFFF"/>
            <w:noWrap/>
            <w:vAlign w:val="bottom"/>
          </w:tcPr>
          <w:p w14:paraId="06B4A25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5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5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62" w14:textId="77777777">
        <w:trPr>
          <w:trHeight w:val="330"/>
        </w:trPr>
        <w:tc>
          <w:tcPr>
            <w:tcW w:w="151" w:type="pct"/>
            <w:tcBorders>
              <w:top w:val="nil"/>
              <w:left w:val="nil"/>
              <w:bottom w:val="nil"/>
              <w:right w:val="nil"/>
            </w:tcBorders>
            <w:shd w:val="clear" w:color="000000" w:fill="FFFFFF"/>
            <w:noWrap/>
            <w:vAlign w:val="bottom"/>
          </w:tcPr>
          <w:p w14:paraId="06B4A255"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25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33" w:type="pct"/>
            <w:tcBorders>
              <w:top w:val="nil"/>
              <w:left w:val="nil"/>
              <w:bottom w:val="nil"/>
              <w:right w:val="nil"/>
            </w:tcBorders>
            <w:shd w:val="clear" w:color="000000" w:fill="FFFFFF"/>
            <w:noWrap/>
            <w:vAlign w:val="bottom"/>
          </w:tcPr>
          <w:p w14:paraId="06B4A25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21" w:type="pct"/>
            <w:tcBorders>
              <w:top w:val="nil"/>
              <w:left w:val="nil"/>
              <w:bottom w:val="nil"/>
              <w:right w:val="nil"/>
            </w:tcBorders>
            <w:shd w:val="clear" w:color="000000" w:fill="FFFFFF"/>
            <w:noWrap/>
            <w:vAlign w:val="bottom"/>
          </w:tcPr>
          <w:p w14:paraId="06B4A25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5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5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5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5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27" w:type="pct"/>
            <w:tcBorders>
              <w:top w:val="nil"/>
              <w:left w:val="nil"/>
              <w:bottom w:val="nil"/>
              <w:right w:val="nil"/>
            </w:tcBorders>
            <w:shd w:val="clear" w:color="000000" w:fill="FFFFFF"/>
            <w:noWrap/>
            <w:vAlign w:val="bottom"/>
          </w:tcPr>
          <w:p w14:paraId="06B4A25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5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701" w:type="pct"/>
            <w:tcBorders>
              <w:top w:val="nil"/>
              <w:left w:val="nil"/>
              <w:bottom w:val="nil"/>
              <w:right w:val="nil"/>
            </w:tcBorders>
            <w:shd w:val="clear" w:color="000000" w:fill="FFFFFF"/>
            <w:noWrap/>
            <w:vAlign w:val="bottom"/>
          </w:tcPr>
          <w:p w14:paraId="06B4A25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6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505" w:type="pct"/>
            <w:tcBorders>
              <w:top w:val="nil"/>
              <w:left w:val="nil"/>
              <w:bottom w:val="nil"/>
              <w:right w:val="nil"/>
            </w:tcBorders>
            <w:shd w:val="clear" w:color="000000" w:fill="FFFFFF"/>
            <w:noWrap/>
            <w:vAlign w:val="bottom"/>
          </w:tcPr>
          <w:p w14:paraId="06B4A26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70" w14:textId="77777777">
        <w:trPr>
          <w:trHeight w:val="122"/>
        </w:trPr>
        <w:tc>
          <w:tcPr>
            <w:tcW w:w="151" w:type="pct"/>
            <w:tcBorders>
              <w:top w:val="nil"/>
              <w:left w:val="nil"/>
              <w:bottom w:val="nil"/>
              <w:right w:val="nil"/>
            </w:tcBorders>
            <w:shd w:val="clear" w:color="000000" w:fill="FFFFFF"/>
            <w:noWrap/>
            <w:vAlign w:val="bottom"/>
          </w:tcPr>
          <w:p w14:paraId="06B4A263"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40" w:type="pct"/>
            <w:tcBorders>
              <w:top w:val="nil"/>
              <w:left w:val="nil"/>
              <w:bottom w:val="nil"/>
              <w:right w:val="nil"/>
            </w:tcBorders>
            <w:shd w:val="clear" w:color="000000" w:fill="FFFFFF"/>
            <w:noWrap/>
            <w:vAlign w:val="bottom"/>
          </w:tcPr>
          <w:p w14:paraId="06B4A264"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533" w:type="pct"/>
            <w:tcBorders>
              <w:top w:val="nil"/>
              <w:left w:val="nil"/>
              <w:bottom w:val="nil"/>
              <w:right w:val="nil"/>
            </w:tcBorders>
            <w:shd w:val="clear" w:color="000000" w:fill="FFFFFF"/>
            <w:noWrap/>
            <w:vAlign w:val="bottom"/>
          </w:tcPr>
          <w:p w14:paraId="06B4A265"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21" w:type="pct"/>
            <w:tcBorders>
              <w:top w:val="nil"/>
              <w:left w:val="nil"/>
              <w:bottom w:val="nil"/>
              <w:right w:val="nil"/>
            </w:tcBorders>
            <w:shd w:val="clear" w:color="000000" w:fill="FFFFFF"/>
            <w:noWrap/>
            <w:vAlign w:val="bottom"/>
          </w:tcPr>
          <w:p w14:paraId="06B4A266"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427" w:type="pct"/>
            <w:tcBorders>
              <w:top w:val="nil"/>
              <w:left w:val="nil"/>
              <w:bottom w:val="nil"/>
              <w:right w:val="nil"/>
            </w:tcBorders>
            <w:shd w:val="clear" w:color="000000" w:fill="FFFFFF"/>
            <w:noWrap/>
            <w:vAlign w:val="bottom"/>
          </w:tcPr>
          <w:p w14:paraId="06B4A267"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92" w:type="pct"/>
            <w:tcBorders>
              <w:top w:val="nil"/>
              <w:left w:val="nil"/>
              <w:bottom w:val="nil"/>
              <w:right w:val="nil"/>
            </w:tcBorders>
            <w:shd w:val="clear" w:color="000000" w:fill="FFFFFF"/>
            <w:noWrap/>
            <w:vAlign w:val="bottom"/>
          </w:tcPr>
          <w:p w14:paraId="06B4A268"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427" w:type="pct"/>
            <w:tcBorders>
              <w:top w:val="nil"/>
              <w:left w:val="nil"/>
              <w:bottom w:val="nil"/>
              <w:right w:val="nil"/>
            </w:tcBorders>
            <w:shd w:val="clear" w:color="000000" w:fill="FFFFFF"/>
            <w:noWrap/>
            <w:vAlign w:val="bottom"/>
          </w:tcPr>
          <w:p w14:paraId="06B4A269"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92" w:type="pct"/>
            <w:tcBorders>
              <w:top w:val="nil"/>
              <w:left w:val="nil"/>
              <w:bottom w:val="nil"/>
              <w:right w:val="nil"/>
            </w:tcBorders>
            <w:shd w:val="clear" w:color="000000" w:fill="FFFFFF"/>
            <w:noWrap/>
            <w:vAlign w:val="bottom"/>
          </w:tcPr>
          <w:p w14:paraId="06B4A26A"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427" w:type="pct"/>
            <w:tcBorders>
              <w:top w:val="nil"/>
              <w:left w:val="nil"/>
              <w:bottom w:val="nil"/>
              <w:right w:val="nil"/>
            </w:tcBorders>
            <w:shd w:val="clear" w:color="000000" w:fill="FFFFFF"/>
            <w:noWrap/>
            <w:vAlign w:val="bottom"/>
          </w:tcPr>
          <w:p w14:paraId="06B4A26B"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92" w:type="pct"/>
            <w:tcBorders>
              <w:top w:val="nil"/>
              <w:left w:val="nil"/>
              <w:bottom w:val="nil"/>
              <w:right w:val="nil"/>
            </w:tcBorders>
            <w:shd w:val="clear" w:color="000000" w:fill="FFFFFF"/>
            <w:noWrap/>
            <w:vAlign w:val="bottom"/>
          </w:tcPr>
          <w:p w14:paraId="06B4A26C"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701" w:type="pct"/>
            <w:tcBorders>
              <w:top w:val="nil"/>
              <w:left w:val="nil"/>
              <w:bottom w:val="nil"/>
              <w:right w:val="nil"/>
            </w:tcBorders>
            <w:shd w:val="clear" w:color="000000" w:fill="FFFFFF"/>
            <w:noWrap/>
            <w:vAlign w:val="bottom"/>
          </w:tcPr>
          <w:p w14:paraId="06B4A26D"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92" w:type="pct"/>
            <w:tcBorders>
              <w:top w:val="nil"/>
              <w:left w:val="nil"/>
              <w:bottom w:val="nil"/>
              <w:right w:val="nil"/>
            </w:tcBorders>
            <w:shd w:val="clear" w:color="000000" w:fill="FFFFFF"/>
            <w:noWrap/>
            <w:vAlign w:val="bottom"/>
          </w:tcPr>
          <w:p w14:paraId="06B4A26E"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c>
          <w:tcPr>
            <w:tcW w:w="505" w:type="pct"/>
            <w:tcBorders>
              <w:top w:val="nil"/>
              <w:left w:val="nil"/>
              <w:bottom w:val="nil"/>
              <w:right w:val="nil"/>
            </w:tcBorders>
            <w:shd w:val="clear" w:color="000000" w:fill="FFFFFF"/>
            <w:noWrap/>
            <w:vAlign w:val="bottom"/>
          </w:tcPr>
          <w:p w14:paraId="06B4A26F" w14:textId="77777777" w:rsidR="00A658D0" w:rsidRDefault="00000000">
            <w:pPr>
              <w:rPr>
                <w:rFonts w:ascii="Arial Narrow" w:hAnsi="Arial Narrow"/>
                <w:color w:val="000000"/>
                <w:sz w:val="22"/>
                <w:szCs w:val="22"/>
                <w:lang w:eastAsia="es-PE"/>
              </w:rPr>
            </w:pPr>
            <w:r>
              <w:rPr>
                <w:rFonts w:ascii="Arial Narrow" w:hAnsi="Arial Narrow"/>
                <w:color w:val="000000"/>
                <w:sz w:val="22"/>
                <w:szCs w:val="22"/>
                <w:lang w:eastAsia="es-PE"/>
              </w:rPr>
              <w:t> </w:t>
            </w:r>
          </w:p>
        </w:tc>
      </w:tr>
      <w:tr w:rsidR="00A658D0" w14:paraId="06B4A274" w14:textId="77777777">
        <w:trPr>
          <w:trHeight w:val="330"/>
        </w:trPr>
        <w:tc>
          <w:tcPr>
            <w:tcW w:w="151" w:type="pct"/>
            <w:tcBorders>
              <w:top w:val="nil"/>
              <w:left w:val="nil"/>
              <w:bottom w:val="nil"/>
              <w:right w:val="nil"/>
            </w:tcBorders>
            <w:shd w:val="clear" w:color="000000" w:fill="FFFFFF"/>
            <w:noWrap/>
            <w:vAlign w:val="bottom"/>
          </w:tcPr>
          <w:p w14:paraId="06B4A271"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w:t>
            </w:r>
          </w:p>
        </w:tc>
        <w:tc>
          <w:tcPr>
            <w:tcW w:w="740" w:type="pct"/>
            <w:tcBorders>
              <w:top w:val="nil"/>
              <w:left w:val="nil"/>
              <w:bottom w:val="nil"/>
              <w:right w:val="nil"/>
            </w:tcBorders>
            <w:shd w:val="clear" w:color="000000" w:fill="FFFFFF"/>
            <w:noWrap/>
            <w:vAlign w:val="bottom"/>
          </w:tcPr>
          <w:p w14:paraId="06B4A272"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Nivel 1</w:t>
            </w:r>
          </w:p>
        </w:tc>
        <w:tc>
          <w:tcPr>
            <w:tcW w:w="4109" w:type="pct"/>
            <w:gridSpan w:val="11"/>
            <w:tcBorders>
              <w:top w:val="nil"/>
              <w:left w:val="nil"/>
              <w:bottom w:val="nil"/>
              <w:right w:val="nil"/>
            </w:tcBorders>
            <w:shd w:val="clear" w:color="000000" w:fill="FFFFFF"/>
            <w:noWrap/>
            <w:vAlign w:val="bottom"/>
          </w:tcPr>
          <w:p w14:paraId="06B4A273" w14:textId="77777777" w:rsidR="00A658D0" w:rsidRDefault="00000000">
            <w:pPr>
              <w:rPr>
                <w:rFonts w:ascii="Arial Narrow" w:hAnsi="Arial Narrow"/>
                <w:sz w:val="16"/>
                <w:szCs w:val="16"/>
                <w:lang w:eastAsia="es-PE"/>
              </w:rPr>
            </w:pPr>
            <w:r>
              <w:rPr>
                <w:rFonts w:ascii="Arial Narrow" w:hAnsi="Arial Narrow"/>
                <w:sz w:val="16"/>
                <w:szCs w:val="16"/>
                <w:lang w:eastAsia="es-PE"/>
              </w:rPr>
              <w:t>a) Comprende los instrumentos descritos en el enciso a) y b) del artículo 11 del Reglamento de Clasificación y Valorización de las inversiones.</w:t>
            </w:r>
          </w:p>
        </w:tc>
      </w:tr>
      <w:tr w:rsidR="00A658D0" w14:paraId="06B4A278" w14:textId="77777777">
        <w:trPr>
          <w:trHeight w:val="330"/>
        </w:trPr>
        <w:tc>
          <w:tcPr>
            <w:tcW w:w="151" w:type="pct"/>
            <w:tcBorders>
              <w:top w:val="nil"/>
              <w:left w:val="nil"/>
              <w:bottom w:val="nil"/>
              <w:right w:val="nil"/>
            </w:tcBorders>
            <w:shd w:val="clear" w:color="000000" w:fill="FFFFFF"/>
            <w:noWrap/>
            <w:vAlign w:val="bottom"/>
          </w:tcPr>
          <w:p w14:paraId="06B4A275" w14:textId="77777777" w:rsidR="00A658D0" w:rsidRDefault="00000000">
            <w:pPr>
              <w:rPr>
                <w:rFonts w:ascii="Arial Narrow" w:hAnsi="Arial Narrow"/>
                <w:sz w:val="18"/>
                <w:szCs w:val="18"/>
                <w:lang w:eastAsia="es-PE"/>
              </w:rPr>
            </w:pPr>
            <w:r>
              <w:rPr>
                <w:rFonts w:ascii="Arial Narrow" w:hAnsi="Arial Narrow"/>
                <w:sz w:val="18"/>
                <w:szCs w:val="18"/>
                <w:lang w:eastAsia="es-PE"/>
              </w:rPr>
              <w:t> </w:t>
            </w:r>
          </w:p>
        </w:tc>
        <w:tc>
          <w:tcPr>
            <w:tcW w:w="740" w:type="pct"/>
            <w:tcBorders>
              <w:top w:val="nil"/>
              <w:left w:val="nil"/>
              <w:bottom w:val="nil"/>
              <w:right w:val="nil"/>
            </w:tcBorders>
            <w:shd w:val="clear" w:color="000000" w:fill="FFFFFF"/>
            <w:noWrap/>
            <w:vAlign w:val="bottom"/>
          </w:tcPr>
          <w:p w14:paraId="06B4A276"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Nivel 2</w:t>
            </w:r>
          </w:p>
        </w:tc>
        <w:tc>
          <w:tcPr>
            <w:tcW w:w="4109" w:type="pct"/>
            <w:gridSpan w:val="11"/>
            <w:tcBorders>
              <w:top w:val="nil"/>
              <w:left w:val="nil"/>
              <w:bottom w:val="nil"/>
              <w:right w:val="nil"/>
            </w:tcBorders>
            <w:shd w:val="clear" w:color="000000" w:fill="FFFFFF"/>
            <w:noWrap/>
            <w:vAlign w:val="bottom"/>
          </w:tcPr>
          <w:p w14:paraId="06B4A277" w14:textId="77777777" w:rsidR="00A658D0" w:rsidRDefault="00000000">
            <w:pPr>
              <w:rPr>
                <w:rFonts w:ascii="Arial Narrow" w:hAnsi="Arial Narrow"/>
                <w:sz w:val="16"/>
                <w:szCs w:val="16"/>
                <w:lang w:eastAsia="es-PE"/>
              </w:rPr>
            </w:pPr>
            <w:r>
              <w:rPr>
                <w:rFonts w:ascii="Arial Narrow" w:hAnsi="Arial Narrow"/>
                <w:sz w:val="16"/>
                <w:szCs w:val="16"/>
                <w:lang w:eastAsia="es-PE"/>
              </w:rPr>
              <w:t>b) Comprende los instrumentos descritos en el enciso c) del artículo 11 del Reglamento de Clasificación y Valorización de las inversiones.</w:t>
            </w:r>
          </w:p>
        </w:tc>
      </w:tr>
      <w:tr w:rsidR="00A658D0" w14:paraId="06B4A27C" w14:textId="77777777">
        <w:trPr>
          <w:trHeight w:val="330"/>
        </w:trPr>
        <w:tc>
          <w:tcPr>
            <w:tcW w:w="151" w:type="pct"/>
            <w:tcBorders>
              <w:top w:val="nil"/>
              <w:left w:val="nil"/>
              <w:bottom w:val="nil"/>
              <w:right w:val="nil"/>
            </w:tcBorders>
            <w:shd w:val="clear" w:color="000000" w:fill="FFFFFF"/>
            <w:noWrap/>
            <w:vAlign w:val="bottom"/>
          </w:tcPr>
          <w:p w14:paraId="06B4A279" w14:textId="77777777" w:rsidR="00A658D0" w:rsidRDefault="00000000">
            <w:pPr>
              <w:rPr>
                <w:rFonts w:ascii="Arial Narrow" w:hAnsi="Arial Narrow"/>
                <w:sz w:val="18"/>
                <w:szCs w:val="18"/>
                <w:lang w:eastAsia="es-PE"/>
              </w:rPr>
            </w:pPr>
            <w:r>
              <w:rPr>
                <w:rFonts w:ascii="Arial Narrow" w:hAnsi="Arial Narrow"/>
                <w:sz w:val="18"/>
                <w:szCs w:val="18"/>
                <w:lang w:eastAsia="es-PE"/>
              </w:rPr>
              <w:t> </w:t>
            </w:r>
          </w:p>
        </w:tc>
        <w:tc>
          <w:tcPr>
            <w:tcW w:w="740" w:type="pct"/>
            <w:tcBorders>
              <w:top w:val="nil"/>
              <w:left w:val="nil"/>
              <w:bottom w:val="nil"/>
              <w:right w:val="nil"/>
            </w:tcBorders>
            <w:shd w:val="clear" w:color="000000" w:fill="FFFFFF"/>
            <w:noWrap/>
            <w:vAlign w:val="bottom"/>
          </w:tcPr>
          <w:p w14:paraId="06B4A27A"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Nivel 3</w:t>
            </w:r>
          </w:p>
        </w:tc>
        <w:tc>
          <w:tcPr>
            <w:tcW w:w="4109" w:type="pct"/>
            <w:gridSpan w:val="11"/>
            <w:tcBorders>
              <w:top w:val="nil"/>
              <w:left w:val="nil"/>
              <w:bottom w:val="nil"/>
              <w:right w:val="nil"/>
            </w:tcBorders>
            <w:shd w:val="clear" w:color="000000" w:fill="FFFFFF"/>
            <w:noWrap/>
            <w:vAlign w:val="bottom"/>
          </w:tcPr>
          <w:p w14:paraId="06B4A27B" w14:textId="77777777" w:rsidR="00A658D0" w:rsidRDefault="00000000">
            <w:pPr>
              <w:rPr>
                <w:rFonts w:ascii="Arial Narrow" w:hAnsi="Arial Narrow"/>
                <w:sz w:val="16"/>
                <w:szCs w:val="16"/>
                <w:lang w:eastAsia="es-PE"/>
              </w:rPr>
            </w:pPr>
            <w:r>
              <w:rPr>
                <w:rFonts w:ascii="Arial Narrow" w:hAnsi="Arial Narrow"/>
                <w:sz w:val="16"/>
                <w:szCs w:val="16"/>
                <w:lang w:eastAsia="es-PE"/>
              </w:rPr>
              <w:t>c) Comprende los instrumentos descritos en el enciso c) del artículo 11 del Reglamento de Clasificación y Valorización de las inversiones.</w:t>
            </w:r>
          </w:p>
        </w:tc>
      </w:tr>
    </w:tbl>
    <w:p w14:paraId="06B4A27D" w14:textId="77777777" w:rsidR="00A658D0" w:rsidRDefault="00A658D0">
      <w:pPr>
        <w:sectPr w:rsidR="00A658D0">
          <w:pgSz w:w="11907" w:h="16840"/>
          <w:pgMar w:top="1417" w:right="1701" w:bottom="1417" w:left="1701" w:header="720" w:footer="720" w:gutter="0"/>
          <w:cols w:space="720"/>
          <w:docGrid w:linePitch="272"/>
        </w:sectPr>
      </w:pPr>
    </w:p>
    <w:p w14:paraId="06B4A27E" w14:textId="77777777" w:rsidR="00A658D0" w:rsidRDefault="00000000">
      <w:pPr>
        <w:tabs>
          <w:tab w:val="left" w:pos="-604"/>
        </w:tabs>
        <w:ind w:left="-923"/>
        <w:jc w:val="center"/>
        <w:rPr>
          <w:rFonts w:ascii="Arial Narrow" w:hAnsi="Arial Narrow"/>
          <w:b/>
          <w:bCs/>
          <w:color w:val="000000"/>
          <w:sz w:val="22"/>
          <w:szCs w:val="18"/>
          <w:lang w:eastAsia="es-PE"/>
        </w:rPr>
      </w:pPr>
      <w:r>
        <w:rPr>
          <w:rFonts w:ascii="Arial Narrow" w:hAnsi="Arial Narrow"/>
          <w:b/>
          <w:bCs/>
          <w:color w:val="000000"/>
          <w:sz w:val="22"/>
          <w:szCs w:val="18"/>
          <w:lang w:eastAsia="es-PE"/>
        </w:rPr>
        <w:lastRenderedPageBreak/>
        <w:t>NOTA REFERIDA A LA REVELACIÓN DEL VALOR RAZONABLE DE INSTRUMENTOS FINANCIEROS</w:t>
      </w:r>
    </w:p>
    <w:tbl>
      <w:tblPr>
        <w:tblW w:w="5617" w:type="pct"/>
        <w:tblInd w:w="-923" w:type="dxa"/>
        <w:tblLayout w:type="fixed"/>
        <w:tblCellMar>
          <w:left w:w="70" w:type="dxa"/>
          <w:right w:w="70" w:type="dxa"/>
        </w:tblCellMar>
        <w:tblLook w:val="04A0" w:firstRow="1" w:lastRow="0" w:firstColumn="1" w:lastColumn="0" w:noHBand="0" w:noVBand="1"/>
      </w:tblPr>
      <w:tblGrid>
        <w:gridCol w:w="314"/>
        <w:gridCol w:w="1370"/>
        <w:gridCol w:w="1351"/>
        <w:gridCol w:w="1840"/>
        <w:gridCol w:w="980"/>
        <w:gridCol w:w="188"/>
        <w:gridCol w:w="980"/>
        <w:gridCol w:w="188"/>
        <w:gridCol w:w="980"/>
        <w:gridCol w:w="188"/>
        <w:gridCol w:w="1812"/>
      </w:tblGrid>
      <w:tr w:rsidR="00A658D0" w14:paraId="06B4A288" w14:textId="77777777">
        <w:trPr>
          <w:trHeight w:val="675"/>
        </w:trPr>
        <w:tc>
          <w:tcPr>
            <w:tcW w:w="154" w:type="pct"/>
            <w:tcBorders>
              <w:top w:val="nil"/>
              <w:left w:val="nil"/>
              <w:bottom w:val="nil"/>
              <w:right w:val="nil"/>
            </w:tcBorders>
            <w:shd w:val="clear" w:color="000000" w:fill="FFFFFF"/>
            <w:noWrap/>
            <w:vAlign w:val="bottom"/>
          </w:tcPr>
          <w:p w14:paraId="06B4A27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2238" w:type="pct"/>
            <w:gridSpan w:val="3"/>
            <w:tcBorders>
              <w:top w:val="nil"/>
              <w:left w:val="nil"/>
              <w:bottom w:val="single" w:sz="4" w:space="0" w:color="auto"/>
              <w:right w:val="nil"/>
            </w:tcBorders>
            <w:shd w:val="clear" w:color="000000" w:fill="FFFFFF"/>
            <w:noWrap/>
            <w:vAlign w:val="bottom"/>
          </w:tcPr>
          <w:p w14:paraId="06B4A280"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AL 31 DE DICIEMBRE DEL 20X(X-1)</w:t>
            </w:r>
          </w:p>
        </w:tc>
        <w:tc>
          <w:tcPr>
            <w:tcW w:w="481" w:type="pct"/>
            <w:tcBorders>
              <w:top w:val="nil"/>
              <w:left w:val="nil"/>
              <w:bottom w:val="single" w:sz="4" w:space="0" w:color="auto"/>
              <w:right w:val="nil"/>
            </w:tcBorders>
            <w:shd w:val="clear" w:color="000000" w:fill="FFFFFF"/>
            <w:vAlign w:val="bottom"/>
          </w:tcPr>
          <w:p w14:paraId="06B4A28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Nivel 1</w:t>
            </w:r>
          </w:p>
        </w:tc>
        <w:tc>
          <w:tcPr>
            <w:tcW w:w="92" w:type="pct"/>
            <w:tcBorders>
              <w:top w:val="nil"/>
              <w:left w:val="nil"/>
              <w:bottom w:val="single" w:sz="4" w:space="0" w:color="auto"/>
              <w:right w:val="nil"/>
            </w:tcBorders>
            <w:shd w:val="clear" w:color="000000" w:fill="FFFFFF"/>
            <w:noWrap/>
            <w:vAlign w:val="bottom"/>
          </w:tcPr>
          <w:p w14:paraId="06B4A282"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vAlign w:val="bottom"/>
          </w:tcPr>
          <w:p w14:paraId="06B4A283"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Nivel 2</w:t>
            </w:r>
          </w:p>
        </w:tc>
        <w:tc>
          <w:tcPr>
            <w:tcW w:w="92" w:type="pct"/>
            <w:tcBorders>
              <w:top w:val="nil"/>
              <w:left w:val="nil"/>
              <w:bottom w:val="single" w:sz="4" w:space="0" w:color="auto"/>
              <w:right w:val="nil"/>
            </w:tcBorders>
            <w:shd w:val="clear" w:color="000000" w:fill="FFFFFF"/>
            <w:noWrap/>
            <w:vAlign w:val="bottom"/>
          </w:tcPr>
          <w:p w14:paraId="06B4A28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vAlign w:val="bottom"/>
          </w:tcPr>
          <w:p w14:paraId="06B4A285"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Nivel 3</w:t>
            </w:r>
          </w:p>
        </w:tc>
        <w:tc>
          <w:tcPr>
            <w:tcW w:w="92" w:type="pct"/>
            <w:tcBorders>
              <w:top w:val="nil"/>
              <w:left w:val="nil"/>
              <w:bottom w:val="single" w:sz="4" w:space="0" w:color="auto"/>
              <w:right w:val="nil"/>
            </w:tcBorders>
            <w:shd w:val="clear" w:color="000000" w:fill="FFFFFF"/>
            <w:noWrap/>
            <w:vAlign w:val="bottom"/>
          </w:tcPr>
          <w:p w14:paraId="06B4A28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single" w:sz="4" w:space="0" w:color="auto"/>
              <w:right w:val="nil"/>
            </w:tcBorders>
            <w:shd w:val="clear" w:color="000000" w:fill="FFFFFF"/>
            <w:vAlign w:val="bottom"/>
          </w:tcPr>
          <w:p w14:paraId="06B4A287" w14:textId="77777777" w:rsidR="00A658D0" w:rsidRDefault="00000000">
            <w:pPr>
              <w:jc w:val="center"/>
              <w:rPr>
                <w:rFonts w:ascii="Arial Narrow" w:hAnsi="Arial Narrow"/>
                <w:b/>
                <w:bCs/>
                <w:color w:val="000000"/>
                <w:sz w:val="18"/>
                <w:szCs w:val="18"/>
                <w:lang w:eastAsia="es-PE"/>
              </w:rPr>
            </w:pPr>
            <w:proofErr w:type="gramStart"/>
            <w:r>
              <w:rPr>
                <w:rFonts w:ascii="Arial Narrow" w:hAnsi="Arial Narrow"/>
                <w:b/>
                <w:bCs/>
                <w:color w:val="000000"/>
                <w:sz w:val="18"/>
                <w:szCs w:val="18"/>
                <w:lang w:eastAsia="es-PE"/>
              </w:rPr>
              <w:t>Total</w:t>
            </w:r>
            <w:proofErr w:type="gramEnd"/>
            <w:r>
              <w:rPr>
                <w:rFonts w:ascii="Arial Narrow" w:hAnsi="Arial Narrow"/>
                <w:b/>
                <w:bCs/>
                <w:color w:val="000000"/>
                <w:sz w:val="18"/>
                <w:szCs w:val="18"/>
                <w:lang w:eastAsia="es-PE"/>
              </w:rPr>
              <w:t xml:space="preserve"> del Valor Razonable</w:t>
            </w:r>
          </w:p>
        </w:tc>
      </w:tr>
      <w:tr w:rsidR="00A658D0" w14:paraId="06B4A294" w14:textId="77777777">
        <w:trPr>
          <w:trHeight w:val="330"/>
        </w:trPr>
        <w:tc>
          <w:tcPr>
            <w:tcW w:w="154" w:type="pct"/>
            <w:tcBorders>
              <w:top w:val="nil"/>
              <w:left w:val="nil"/>
              <w:bottom w:val="nil"/>
              <w:right w:val="nil"/>
            </w:tcBorders>
            <w:shd w:val="clear" w:color="000000" w:fill="FFFFFF"/>
            <w:noWrap/>
            <w:vAlign w:val="bottom"/>
          </w:tcPr>
          <w:p w14:paraId="06B4A28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28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63" w:type="pct"/>
            <w:tcBorders>
              <w:top w:val="nil"/>
              <w:left w:val="nil"/>
              <w:bottom w:val="nil"/>
              <w:right w:val="nil"/>
            </w:tcBorders>
            <w:shd w:val="clear" w:color="000000" w:fill="FFFFFF"/>
            <w:noWrap/>
            <w:vAlign w:val="bottom"/>
          </w:tcPr>
          <w:p w14:paraId="06B4A28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03" w:type="pct"/>
            <w:tcBorders>
              <w:top w:val="nil"/>
              <w:left w:val="nil"/>
              <w:bottom w:val="nil"/>
              <w:right w:val="nil"/>
            </w:tcBorders>
            <w:shd w:val="clear" w:color="000000" w:fill="FFFFFF"/>
            <w:noWrap/>
            <w:vAlign w:val="bottom"/>
          </w:tcPr>
          <w:p w14:paraId="06B4A28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8D"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28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8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29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9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c>
          <w:tcPr>
            <w:tcW w:w="92" w:type="pct"/>
            <w:tcBorders>
              <w:top w:val="nil"/>
              <w:left w:val="nil"/>
              <w:bottom w:val="nil"/>
              <w:right w:val="nil"/>
            </w:tcBorders>
            <w:shd w:val="clear" w:color="000000" w:fill="FFFFFF"/>
            <w:noWrap/>
            <w:vAlign w:val="bottom"/>
          </w:tcPr>
          <w:p w14:paraId="06B4A29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93"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w:t>
            </w:r>
            <w:proofErr w:type="gramStart"/>
            <w:r>
              <w:rPr>
                <w:rFonts w:ascii="Arial Narrow" w:hAnsi="Arial Narrow"/>
                <w:b/>
                <w:bCs/>
                <w:color w:val="000000"/>
                <w:sz w:val="18"/>
                <w:szCs w:val="18"/>
                <w:lang w:eastAsia="es-PE"/>
              </w:rPr>
              <w:t>/.(</w:t>
            </w:r>
            <w:proofErr w:type="gramEnd"/>
            <w:r>
              <w:rPr>
                <w:rFonts w:ascii="Arial Narrow" w:hAnsi="Arial Narrow"/>
                <w:b/>
                <w:bCs/>
                <w:color w:val="000000"/>
                <w:sz w:val="18"/>
                <w:szCs w:val="18"/>
                <w:lang w:eastAsia="es-PE"/>
              </w:rPr>
              <w:t>000)</w:t>
            </w:r>
          </w:p>
        </w:tc>
      </w:tr>
      <w:tr w:rsidR="00A658D0" w14:paraId="06B4A2A0" w14:textId="77777777">
        <w:trPr>
          <w:trHeight w:val="330"/>
        </w:trPr>
        <w:tc>
          <w:tcPr>
            <w:tcW w:w="154" w:type="pct"/>
            <w:tcBorders>
              <w:top w:val="nil"/>
              <w:left w:val="nil"/>
              <w:bottom w:val="nil"/>
              <w:right w:val="nil"/>
            </w:tcBorders>
            <w:shd w:val="clear" w:color="000000" w:fill="FFFFFF"/>
            <w:noWrap/>
            <w:vAlign w:val="bottom"/>
          </w:tcPr>
          <w:p w14:paraId="06B4A29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29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63" w:type="pct"/>
            <w:tcBorders>
              <w:top w:val="nil"/>
              <w:left w:val="nil"/>
              <w:bottom w:val="nil"/>
              <w:right w:val="nil"/>
            </w:tcBorders>
            <w:shd w:val="clear" w:color="000000" w:fill="FFFFFF"/>
            <w:noWrap/>
            <w:vAlign w:val="bottom"/>
          </w:tcPr>
          <w:p w14:paraId="06B4A29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03" w:type="pct"/>
            <w:tcBorders>
              <w:top w:val="nil"/>
              <w:left w:val="nil"/>
              <w:bottom w:val="nil"/>
              <w:right w:val="nil"/>
            </w:tcBorders>
            <w:shd w:val="clear" w:color="000000" w:fill="FFFFFF"/>
            <w:noWrap/>
            <w:vAlign w:val="bottom"/>
          </w:tcPr>
          <w:p w14:paraId="06B4A29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9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9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9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9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9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9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9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AA" w14:textId="77777777">
        <w:trPr>
          <w:trHeight w:val="330"/>
        </w:trPr>
        <w:tc>
          <w:tcPr>
            <w:tcW w:w="154" w:type="pct"/>
            <w:tcBorders>
              <w:top w:val="nil"/>
              <w:left w:val="nil"/>
              <w:bottom w:val="nil"/>
              <w:right w:val="nil"/>
            </w:tcBorders>
            <w:shd w:val="clear" w:color="000000" w:fill="FFFFFF"/>
            <w:noWrap/>
            <w:vAlign w:val="bottom"/>
          </w:tcPr>
          <w:p w14:paraId="06B4A2A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2238" w:type="pct"/>
            <w:gridSpan w:val="3"/>
            <w:tcBorders>
              <w:top w:val="nil"/>
              <w:left w:val="nil"/>
              <w:bottom w:val="nil"/>
              <w:right w:val="nil"/>
            </w:tcBorders>
            <w:shd w:val="clear" w:color="000000" w:fill="FFFFFF"/>
            <w:noWrap/>
            <w:vAlign w:val="bottom"/>
          </w:tcPr>
          <w:p w14:paraId="06B4A2A2" w14:textId="77777777" w:rsidR="00A658D0" w:rsidRDefault="00000000">
            <w:pPr>
              <w:rPr>
                <w:rFonts w:ascii="Arial Narrow" w:hAnsi="Arial Narrow"/>
                <w:b/>
                <w:bCs/>
                <w:color w:val="000000"/>
                <w:sz w:val="18"/>
                <w:szCs w:val="18"/>
                <w:u w:val="single"/>
                <w:lang w:eastAsia="es-PE"/>
              </w:rPr>
            </w:pPr>
            <w:r>
              <w:rPr>
                <w:rFonts w:ascii="Arial Narrow" w:hAnsi="Arial Narrow"/>
                <w:b/>
                <w:bCs/>
                <w:color w:val="000000"/>
                <w:sz w:val="18"/>
                <w:szCs w:val="18"/>
                <w:u w:val="single"/>
                <w:lang w:eastAsia="es-PE"/>
              </w:rPr>
              <w:t>ACTIVOS FINANCIEROS</w:t>
            </w:r>
          </w:p>
        </w:tc>
        <w:tc>
          <w:tcPr>
            <w:tcW w:w="481" w:type="pct"/>
            <w:tcBorders>
              <w:top w:val="nil"/>
              <w:left w:val="nil"/>
              <w:bottom w:val="nil"/>
              <w:right w:val="nil"/>
            </w:tcBorders>
            <w:shd w:val="clear" w:color="000000" w:fill="FFFFFF"/>
            <w:noWrap/>
            <w:vAlign w:val="bottom"/>
          </w:tcPr>
          <w:p w14:paraId="06B4A2A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A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A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A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A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A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A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B6" w14:textId="77777777">
        <w:trPr>
          <w:trHeight w:val="330"/>
        </w:trPr>
        <w:tc>
          <w:tcPr>
            <w:tcW w:w="154" w:type="pct"/>
            <w:tcBorders>
              <w:top w:val="nil"/>
              <w:left w:val="nil"/>
              <w:bottom w:val="nil"/>
              <w:right w:val="nil"/>
            </w:tcBorders>
            <w:shd w:val="clear" w:color="000000" w:fill="FFFFFF"/>
            <w:noWrap/>
            <w:vAlign w:val="bottom"/>
          </w:tcPr>
          <w:p w14:paraId="06B4A2AB" w14:textId="77777777" w:rsidR="00A658D0" w:rsidRDefault="00A658D0">
            <w:pPr>
              <w:rPr>
                <w:rFonts w:ascii="Arial Narrow" w:hAnsi="Arial Narrow"/>
                <w:color w:val="000000"/>
                <w:sz w:val="18"/>
                <w:szCs w:val="18"/>
                <w:lang w:eastAsia="es-PE"/>
              </w:rPr>
            </w:pPr>
          </w:p>
        </w:tc>
        <w:tc>
          <w:tcPr>
            <w:tcW w:w="672" w:type="pct"/>
            <w:tcBorders>
              <w:top w:val="nil"/>
              <w:left w:val="nil"/>
              <w:bottom w:val="nil"/>
              <w:right w:val="nil"/>
            </w:tcBorders>
            <w:shd w:val="clear" w:color="000000" w:fill="FFFFFF"/>
            <w:noWrap/>
            <w:vAlign w:val="bottom"/>
          </w:tcPr>
          <w:p w14:paraId="06B4A2AC" w14:textId="77777777" w:rsidR="00A658D0" w:rsidRDefault="00A658D0">
            <w:pPr>
              <w:rPr>
                <w:rFonts w:ascii="Arial Narrow" w:hAnsi="Arial Narrow"/>
                <w:b/>
                <w:bCs/>
                <w:color w:val="000000"/>
                <w:sz w:val="18"/>
                <w:szCs w:val="18"/>
                <w:u w:val="single"/>
                <w:lang w:eastAsia="es-PE"/>
              </w:rPr>
            </w:pPr>
          </w:p>
        </w:tc>
        <w:tc>
          <w:tcPr>
            <w:tcW w:w="663" w:type="pct"/>
            <w:tcBorders>
              <w:top w:val="nil"/>
              <w:left w:val="nil"/>
              <w:bottom w:val="nil"/>
              <w:right w:val="nil"/>
            </w:tcBorders>
            <w:shd w:val="clear" w:color="000000" w:fill="FFFFFF"/>
            <w:noWrap/>
            <w:vAlign w:val="bottom"/>
          </w:tcPr>
          <w:p w14:paraId="06B4A2AD"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noWrap/>
            <w:vAlign w:val="bottom"/>
          </w:tcPr>
          <w:p w14:paraId="06B4A2AE"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2A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B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B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B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B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B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B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C2" w14:textId="77777777">
        <w:trPr>
          <w:trHeight w:val="330"/>
        </w:trPr>
        <w:tc>
          <w:tcPr>
            <w:tcW w:w="154" w:type="pct"/>
            <w:tcBorders>
              <w:top w:val="nil"/>
              <w:left w:val="nil"/>
              <w:bottom w:val="nil"/>
              <w:right w:val="nil"/>
            </w:tcBorders>
            <w:shd w:val="clear" w:color="000000" w:fill="FFFFFF"/>
            <w:noWrap/>
            <w:vAlign w:val="bottom"/>
          </w:tcPr>
          <w:p w14:paraId="06B4A2B7" w14:textId="77777777" w:rsidR="00A658D0" w:rsidRDefault="00A658D0">
            <w:pPr>
              <w:rPr>
                <w:rFonts w:ascii="Arial Narrow" w:hAnsi="Arial Narrow"/>
                <w:color w:val="000000"/>
                <w:sz w:val="18"/>
                <w:szCs w:val="18"/>
                <w:lang w:eastAsia="es-PE"/>
              </w:rPr>
            </w:pPr>
          </w:p>
        </w:tc>
        <w:tc>
          <w:tcPr>
            <w:tcW w:w="672" w:type="pct"/>
            <w:tcBorders>
              <w:top w:val="nil"/>
              <w:left w:val="nil"/>
              <w:bottom w:val="nil"/>
              <w:right w:val="nil"/>
            </w:tcBorders>
            <w:shd w:val="clear" w:color="000000" w:fill="FFFFFF"/>
            <w:noWrap/>
            <w:vAlign w:val="bottom"/>
          </w:tcPr>
          <w:p w14:paraId="06B4A2B8" w14:textId="77777777" w:rsidR="00A658D0" w:rsidRDefault="00A658D0">
            <w:pPr>
              <w:rPr>
                <w:rFonts w:ascii="Arial Narrow" w:hAnsi="Arial Narrow"/>
                <w:b/>
                <w:bCs/>
                <w:color w:val="000000"/>
                <w:sz w:val="18"/>
                <w:szCs w:val="18"/>
                <w:u w:val="single"/>
                <w:lang w:eastAsia="es-PE"/>
              </w:rPr>
            </w:pPr>
          </w:p>
        </w:tc>
        <w:tc>
          <w:tcPr>
            <w:tcW w:w="663" w:type="pct"/>
            <w:tcBorders>
              <w:top w:val="nil"/>
              <w:left w:val="nil"/>
              <w:bottom w:val="nil"/>
              <w:right w:val="nil"/>
            </w:tcBorders>
            <w:shd w:val="clear" w:color="000000" w:fill="FFFFFF"/>
            <w:noWrap/>
            <w:vAlign w:val="bottom"/>
          </w:tcPr>
          <w:p w14:paraId="06B4A2B9"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noWrap/>
            <w:vAlign w:val="bottom"/>
          </w:tcPr>
          <w:p w14:paraId="06B4A2BA"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2B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B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B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B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B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C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C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CE" w14:textId="77777777">
        <w:trPr>
          <w:trHeight w:val="330"/>
        </w:trPr>
        <w:tc>
          <w:tcPr>
            <w:tcW w:w="154" w:type="pct"/>
            <w:tcBorders>
              <w:top w:val="nil"/>
              <w:left w:val="nil"/>
              <w:bottom w:val="nil"/>
              <w:right w:val="nil"/>
            </w:tcBorders>
            <w:shd w:val="clear" w:color="000000" w:fill="FFFFFF"/>
            <w:noWrap/>
            <w:vAlign w:val="bottom"/>
          </w:tcPr>
          <w:p w14:paraId="06B4A2C3" w14:textId="77777777" w:rsidR="00A658D0" w:rsidRDefault="00A658D0">
            <w:pPr>
              <w:rPr>
                <w:rFonts w:ascii="Arial Narrow" w:hAnsi="Arial Narrow"/>
                <w:color w:val="000000"/>
                <w:sz w:val="18"/>
                <w:szCs w:val="18"/>
                <w:lang w:eastAsia="es-PE"/>
              </w:rPr>
            </w:pPr>
          </w:p>
        </w:tc>
        <w:tc>
          <w:tcPr>
            <w:tcW w:w="672" w:type="pct"/>
            <w:tcBorders>
              <w:top w:val="nil"/>
              <w:left w:val="nil"/>
              <w:bottom w:val="nil"/>
              <w:right w:val="nil"/>
            </w:tcBorders>
            <w:shd w:val="clear" w:color="000000" w:fill="FFFFFF"/>
            <w:noWrap/>
            <w:vAlign w:val="bottom"/>
          </w:tcPr>
          <w:p w14:paraId="06B4A2C4" w14:textId="77777777" w:rsidR="00A658D0" w:rsidRDefault="00A658D0">
            <w:pPr>
              <w:rPr>
                <w:rFonts w:ascii="Arial Narrow" w:hAnsi="Arial Narrow"/>
                <w:b/>
                <w:bCs/>
                <w:color w:val="000000"/>
                <w:sz w:val="18"/>
                <w:szCs w:val="18"/>
                <w:u w:val="single"/>
                <w:lang w:eastAsia="es-PE"/>
              </w:rPr>
            </w:pPr>
          </w:p>
        </w:tc>
        <w:tc>
          <w:tcPr>
            <w:tcW w:w="663" w:type="pct"/>
            <w:tcBorders>
              <w:top w:val="nil"/>
              <w:left w:val="nil"/>
              <w:bottom w:val="nil"/>
              <w:right w:val="nil"/>
            </w:tcBorders>
            <w:shd w:val="clear" w:color="000000" w:fill="FFFFFF"/>
            <w:noWrap/>
            <w:vAlign w:val="bottom"/>
          </w:tcPr>
          <w:p w14:paraId="06B4A2C5"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noWrap/>
            <w:vAlign w:val="bottom"/>
          </w:tcPr>
          <w:p w14:paraId="06B4A2C6"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2C7"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C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C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C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C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C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C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DA" w14:textId="77777777">
        <w:trPr>
          <w:trHeight w:val="330"/>
        </w:trPr>
        <w:tc>
          <w:tcPr>
            <w:tcW w:w="154" w:type="pct"/>
            <w:tcBorders>
              <w:top w:val="nil"/>
              <w:left w:val="nil"/>
              <w:bottom w:val="nil"/>
              <w:right w:val="nil"/>
            </w:tcBorders>
            <w:shd w:val="clear" w:color="000000" w:fill="FFFFFF"/>
            <w:noWrap/>
            <w:vAlign w:val="bottom"/>
          </w:tcPr>
          <w:p w14:paraId="06B4A2C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2D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63" w:type="pct"/>
            <w:tcBorders>
              <w:top w:val="nil"/>
              <w:left w:val="nil"/>
              <w:bottom w:val="nil"/>
              <w:right w:val="nil"/>
            </w:tcBorders>
            <w:shd w:val="clear" w:color="000000" w:fill="FFFFFF"/>
            <w:noWrap/>
            <w:vAlign w:val="bottom"/>
          </w:tcPr>
          <w:p w14:paraId="06B4A2D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03" w:type="pct"/>
            <w:tcBorders>
              <w:top w:val="nil"/>
              <w:left w:val="nil"/>
              <w:bottom w:val="nil"/>
              <w:right w:val="nil"/>
            </w:tcBorders>
            <w:shd w:val="clear" w:color="000000" w:fill="FFFFFF"/>
            <w:noWrap/>
            <w:vAlign w:val="bottom"/>
          </w:tcPr>
          <w:p w14:paraId="06B4A2D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noWrap/>
            <w:vAlign w:val="bottom"/>
          </w:tcPr>
          <w:p w14:paraId="06B4A2D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D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noWrap/>
            <w:vAlign w:val="bottom"/>
          </w:tcPr>
          <w:p w14:paraId="06B4A2D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D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noWrap/>
            <w:vAlign w:val="bottom"/>
          </w:tcPr>
          <w:p w14:paraId="06B4A2D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D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single" w:sz="4" w:space="0" w:color="auto"/>
              <w:right w:val="nil"/>
            </w:tcBorders>
            <w:shd w:val="clear" w:color="000000" w:fill="FFFFFF"/>
            <w:noWrap/>
            <w:vAlign w:val="bottom"/>
          </w:tcPr>
          <w:p w14:paraId="06B4A2D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E4" w14:textId="77777777">
        <w:trPr>
          <w:trHeight w:val="345"/>
        </w:trPr>
        <w:tc>
          <w:tcPr>
            <w:tcW w:w="154" w:type="pct"/>
            <w:tcBorders>
              <w:top w:val="nil"/>
              <w:left w:val="nil"/>
              <w:bottom w:val="nil"/>
              <w:right w:val="nil"/>
            </w:tcBorders>
            <w:shd w:val="clear" w:color="000000" w:fill="FFFFFF"/>
            <w:noWrap/>
            <w:vAlign w:val="bottom"/>
          </w:tcPr>
          <w:p w14:paraId="06B4A2D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2238" w:type="pct"/>
            <w:gridSpan w:val="3"/>
            <w:tcBorders>
              <w:top w:val="nil"/>
              <w:left w:val="nil"/>
              <w:bottom w:val="nil"/>
              <w:right w:val="nil"/>
            </w:tcBorders>
            <w:shd w:val="clear" w:color="000000" w:fill="FFFFFF"/>
            <w:vAlign w:val="bottom"/>
          </w:tcPr>
          <w:p w14:paraId="06B4A2DC" w14:textId="77777777" w:rsidR="00A658D0" w:rsidRDefault="00000000">
            <w:pPr>
              <w:rPr>
                <w:rFonts w:ascii="Arial Narrow" w:hAnsi="Arial Narrow"/>
                <w:b/>
                <w:bCs/>
                <w:color w:val="000000"/>
                <w:sz w:val="18"/>
                <w:szCs w:val="18"/>
                <w:lang w:eastAsia="es-PE"/>
              </w:rPr>
            </w:pPr>
            <w:proofErr w:type="gramStart"/>
            <w:r>
              <w:rPr>
                <w:rFonts w:ascii="Arial Narrow" w:hAnsi="Arial Narrow"/>
                <w:b/>
                <w:bCs/>
                <w:color w:val="000000"/>
                <w:sz w:val="18"/>
                <w:szCs w:val="18"/>
                <w:lang w:eastAsia="es-PE"/>
              </w:rPr>
              <w:t>TOTAL</w:t>
            </w:r>
            <w:proofErr w:type="gramEnd"/>
            <w:r>
              <w:rPr>
                <w:rFonts w:ascii="Arial Narrow" w:hAnsi="Arial Narrow"/>
                <w:b/>
                <w:bCs/>
                <w:color w:val="000000"/>
                <w:sz w:val="18"/>
                <w:szCs w:val="18"/>
                <w:lang w:eastAsia="es-PE"/>
              </w:rPr>
              <w:t xml:space="preserve"> ACTIVO</w:t>
            </w:r>
          </w:p>
        </w:tc>
        <w:tc>
          <w:tcPr>
            <w:tcW w:w="481" w:type="pct"/>
            <w:tcBorders>
              <w:top w:val="nil"/>
              <w:left w:val="nil"/>
              <w:bottom w:val="single" w:sz="12" w:space="0" w:color="auto"/>
              <w:right w:val="nil"/>
            </w:tcBorders>
            <w:shd w:val="clear" w:color="000000" w:fill="FFFFFF"/>
            <w:noWrap/>
            <w:vAlign w:val="bottom"/>
          </w:tcPr>
          <w:p w14:paraId="06B4A2D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D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12" w:space="0" w:color="auto"/>
              <w:right w:val="nil"/>
            </w:tcBorders>
            <w:shd w:val="clear" w:color="000000" w:fill="FFFFFF"/>
            <w:noWrap/>
            <w:vAlign w:val="bottom"/>
          </w:tcPr>
          <w:p w14:paraId="06B4A2D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E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12" w:space="0" w:color="auto"/>
              <w:right w:val="nil"/>
            </w:tcBorders>
            <w:shd w:val="clear" w:color="000000" w:fill="FFFFFF"/>
            <w:noWrap/>
            <w:vAlign w:val="bottom"/>
          </w:tcPr>
          <w:p w14:paraId="06B4A2E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E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single" w:sz="12" w:space="0" w:color="auto"/>
              <w:right w:val="nil"/>
            </w:tcBorders>
            <w:shd w:val="clear" w:color="000000" w:fill="FFFFFF"/>
            <w:noWrap/>
            <w:vAlign w:val="bottom"/>
          </w:tcPr>
          <w:p w14:paraId="06B4A2E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F0" w14:textId="77777777">
        <w:trPr>
          <w:trHeight w:val="345"/>
        </w:trPr>
        <w:tc>
          <w:tcPr>
            <w:tcW w:w="154" w:type="pct"/>
            <w:tcBorders>
              <w:top w:val="nil"/>
              <w:left w:val="nil"/>
              <w:bottom w:val="nil"/>
              <w:right w:val="nil"/>
            </w:tcBorders>
            <w:shd w:val="clear" w:color="000000" w:fill="FFFFFF"/>
            <w:noWrap/>
            <w:vAlign w:val="bottom"/>
          </w:tcPr>
          <w:p w14:paraId="06B4A2E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2E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63" w:type="pct"/>
            <w:tcBorders>
              <w:top w:val="nil"/>
              <w:left w:val="nil"/>
              <w:bottom w:val="nil"/>
              <w:right w:val="nil"/>
            </w:tcBorders>
            <w:shd w:val="clear" w:color="000000" w:fill="FFFFFF"/>
            <w:noWrap/>
            <w:vAlign w:val="bottom"/>
          </w:tcPr>
          <w:p w14:paraId="06B4A2E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03" w:type="pct"/>
            <w:tcBorders>
              <w:top w:val="nil"/>
              <w:left w:val="nil"/>
              <w:bottom w:val="nil"/>
              <w:right w:val="nil"/>
            </w:tcBorders>
            <w:shd w:val="clear" w:color="000000" w:fill="FFFFFF"/>
            <w:noWrap/>
            <w:vAlign w:val="bottom"/>
          </w:tcPr>
          <w:p w14:paraId="06B4A2E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E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E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E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E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E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E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E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2FA" w14:textId="77777777">
        <w:trPr>
          <w:trHeight w:val="330"/>
        </w:trPr>
        <w:tc>
          <w:tcPr>
            <w:tcW w:w="154" w:type="pct"/>
            <w:tcBorders>
              <w:top w:val="nil"/>
              <w:left w:val="nil"/>
              <w:bottom w:val="nil"/>
              <w:right w:val="nil"/>
            </w:tcBorders>
            <w:shd w:val="clear" w:color="000000" w:fill="FFFFFF"/>
            <w:noWrap/>
            <w:vAlign w:val="bottom"/>
          </w:tcPr>
          <w:p w14:paraId="06B4A2F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2238" w:type="pct"/>
            <w:gridSpan w:val="3"/>
            <w:tcBorders>
              <w:top w:val="nil"/>
              <w:left w:val="nil"/>
              <w:bottom w:val="nil"/>
              <w:right w:val="nil"/>
            </w:tcBorders>
            <w:shd w:val="clear" w:color="000000" w:fill="FFFFFF"/>
            <w:vAlign w:val="bottom"/>
          </w:tcPr>
          <w:p w14:paraId="06B4A2F2" w14:textId="77777777" w:rsidR="00A658D0" w:rsidRDefault="00000000">
            <w:pPr>
              <w:rPr>
                <w:rFonts w:ascii="Arial Narrow" w:hAnsi="Arial Narrow"/>
                <w:b/>
                <w:bCs/>
                <w:color w:val="000000"/>
                <w:sz w:val="18"/>
                <w:szCs w:val="18"/>
                <w:u w:val="single"/>
                <w:lang w:eastAsia="es-PE"/>
              </w:rPr>
            </w:pPr>
            <w:r>
              <w:rPr>
                <w:rFonts w:ascii="Arial Narrow" w:hAnsi="Arial Narrow"/>
                <w:b/>
                <w:bCs/>
                <w:color w:val="000000"/>
                <w:sz w:val="18"/>
                <w:szCs w:val="18"/>
                <w:u w:val="single"/>
                <w:lang w:eastAsia="es-PE"/>
              </w:rPr>
              <w:t>PASIVOS FINANCIEROS</w:t>
            </w:r>
          </w:p>
        </w:tc>
        <w:tc>
          <w:tcPr>
            <w:tcW w:w="481" w:type="pct"/>
            <w:tcBorders>
              <w:top w:val="nil"/>
              <w:left w:val="nil"/>
              <w:bottom w:val="nil"/>
              <w:right w:val="nil"/>
            </w:tcBorders>
            <w:shd w:val="clear" w:color="000000" w:fill="FFFFFF"/>
            <w:noWrap/>
            <w:vAlign w:val="bottom"/>
          </w:tcPr>
          <w:p w14:paraId="06B4A2F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F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F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F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2F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2F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2F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06" w14:textId="77777777">
        <w:trPr>
          <w:trHeight w:val="330"/>
        </w:trPr>
        <w:tc>
          <w:tcPr>
            <w:tcW w:w="154" w:type="pct"/>
            <w:tcBorders>
              <w:top w:val="nil"/>
              <w:left w:val="nil"/>
              <w:bottom w:val="nil"/>
              <w:right w:val="nil"/>
            </w:tcBorders>
            <w:shd w:val="clear" w:color="000000" w:fill="FFFFFF"/>
            <w:noWrap/>
            <w:vAlign w:val="bottom"/>
          </w:tcPr>
          <w:p w14:paraId="06B4A2F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vAlign w:val="bottom"/>
          </w:tcPr>
          <w:p w14:paraId="06B4A2FC" w14:textId="77777777" w:rsidR="00A658D0" w:rsidRDefault="00A658D0">
            <w:pPr>
              <w:rPr>
                <w:rFonts w:ascii="Arial Narrow" w:hAnsi="Arial Narrow"/>
                <w:b/>
                <w:bCs/>
                <w:color w:val="000000"/>
                <w:sz w:val="18"/>
                <w:szCs w:val="18"/>
                <w:u w:val="single"/>
                <w:lang w:eastAsia="es-PE"/>
              </w:rPr>
            </w:pPr>
          </w:p>
        </w:tc>
        <w:tc>
          <w:tcPr>
            <w:tcW w:w="663" w:type="pct"/>
            <w:tcBorders>
              <w:top w:val="nil"/>
              <w:left w:val="nil"/>
              <w:bottom w:val="nil"/>
              <w:right w:val="nil"/>
            </w:tcBorders>
            <w:shd w:val="clear" w:color="000000" w:fill="FFFFFF"/>
            <w:vAlign w:val="bottom"/>
          </w:tcPr>
          <w:p w14:paraId="06B4A2FD"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vAlign w:val="bottom"/>
          </w:tcPr>
          <w:p w14:paraId="06B4A2FE"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2F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0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0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0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0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0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0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12" w14:textId="77777777">
        <w:trPr>
          <w:trHeight w:val="330"/>
        </w:trPr>
        <w:tc>
          <w:tcPr>
            <w:tcW w:w="154" w:type="pct"/>
            <w:tcBorders>
              <w:top w:val="nil"/>
              <w:left w:val="nil"/>
              <w:bottom w:val="nil"/>
              <w:right w:val="nil"/>
            </w:tcBorders>
            <w:shd w:val="clear" w:color="000000" w:fill="FFFFFF"/>
            <w:noWrap/>
            <w:vAlign w:val="bottom"/>
          </w:tcPr>
          <w:p w14:paraId="06B4A30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308" w14:textId="77777777" w:rsidR="00A658D0" w:rsidRDefault="00A658D0">
            <w:pPr>
              <w:rPr>
                <w:rFonts w:ascii="Arial Narrow" w:hAnsi="Arial Narrow"/>
                <w:color w:val="000000"/>
                <w:sz w:val="18"/>
                <w:szCs w:val="18"/>
                <w:lang w:eastAsia="es-PE"/>
              </w:rPr>
            </w:pPr>
          </w:p>
        </w:tc>
        <w:tc>
          <w:tcPr>
            <w:tcW w:w="663" w:type="pct"/>
            <w:tcBorders>
              <w:top w:val="nil"/>
              <w:left w:val="nil"/>
              <w:bottom w:val="nil"/>
              <w:right w:val="nil"/>
            </w:tcBorders>
            <w:shd w:val="clear" w:color="000000" w:fill="FFFFFF"/>
            <w:vAlign w:val="bottom"/>
          </w:tcPr>
          <w:p w14:paraId="06B4A309"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vAlign w:val="bottom"/>
          </w:tcPr>
          <w:p w14:paraId="06B4A30A"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30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0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0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0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0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1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1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1E" w14:textId="77777777">
        <w:trPr>
          <w:trHeight w:val="330"/>
        </w:trPr>
        <w:tc>
          <w:tcPr>
            <w:tcW w:w="154" w:type="pct"/>
            <w:tcBorders>
              <w:top w:val="nil"/>
              <w:left w:val="nil"/>
              <w:bottom w:val="nil"/>
              <w:right w:val="nil"/>
            </w:tcBorders>
            <w:shd w:val="clear" w:color="000000" w:fill="FFFFFF"/>
            <w:noWrap/>
            <w:vAlign w:val="bottom"/>
          </w:tcPr>
          <w:p w14:paraId="06B4A31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314" w14:textId="77777777" w:rsidR="00A658D0" w:rsidRDefault="00A658D0">
            <w:pPr>
              <w:rPr>
                <w:rFonts w:ascii="Arial Narrow" w:hAnsi="Arial Narrow"/>
                <w:color w:val="000000"/>
                <w:sz w:val="18"/>
                <w:szCs w:val="18"/>
                <w:lang w:eastAsia="es-PE"/>
              </w:rPr>
            </w:pPr>
          </w:p>
        </w:tc>
        <w:tc>
          <w:tcPr>
            <w:tcW w:w="663" w:type="pct"/>
            <w:tcBorders>
              <w:top w:val="nil"/>
              <w:left w:val="nil"/>
              <w:bottom w:val="nil"/>
              <w:right w:val="nil"/>
            </w:tcBorders>
            <w:shd w:val="clear" w:color="000000" w:fill="FFFFFF"/>
            <w:vAlign w:val="bottom"/>
          </w:tcPr>
          <w:p w14:paraId="06B4A315"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vAlign w:val="bottom"/>
          </w:tcPr>
          <w:p w14:paraId="06B4A316"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317"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1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1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1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1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1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1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2A" w14:textId="77777777">
        <w:trPr>
          <w:trHeight w:val="70"/>
        </w:trPr>
        <w:tc>
          <w:tcPr>
            <w:tcW w:w="154" w:type="pct"/>
            <w:tcBorders>
              <w:top w:val="nil"/>
              <w:left w:val="nil"/>
              <w:bottom w:val="nil"/>
              <w:right w:val="nil"/>
            </w:tcBorders>
            <w:shd w:val="clear" w:color="000000" w:fill="FFFFFF"/>
            <w:noWrap/>
            <w:vAlign w:val="bottom"/>
          </w:tcPr>
          <w:p w14:paraId="06B4A31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vAlign w:val="bottom"/>
          </w:tcPr>
          <w:p w14:paraId="06B4A320" w14:textId="77777777" w:rsidR="00A658D0" w:rsidRDefault="00A658D0">
            <w:pPr>
              <w:rPr>
                <w:rFonts w:ascii="Arial Narrow" w:hAnsi="Arial Narrow"/>
                <w:b/>
                <w:bCs/>
                <w:color w:val="000000"/>
                <w:sz w:val="18"/>
                <w:szCs w:val="18"/>
                <w:u w:val="single"/>
                <w:lang w:eastAsia="es-PE"/>
              </w:rPr>
            </w:pPr>
          </w:p>
        </w:tc>
        <w:tc>
          <w:tcPr>
            <w:tcW w:w="663" w:type="pct"/>
            <w:tcBorders>
              <w:top w:val="nil"/>
              <w:left w:val="nil"/>
              <w:bottom w:val="nil"/>
              <w:right w:val="nil"/>
            </w:tcBorders>
            <w:shd w:val="clear" w:color="000000" w:fill="FFFFFF"/>
            <w:vAlign w:val="bottom"/>
          </w:tcPr>
          <w:p w14:paraId="06B4A321" w14:textId="77777777" w:rsidR="00A658D0" w:rsidRDefault="00A658D0">
            <w:pPr>
              <w:rPr>
                <w:rFonts w:ascii="Arial Narrow" w:hAnsi="Arial Narrow"/>
                <w:b/>
                <w:bCs/>
                <w:color w:val="000000"/>
                <w:sz w:val="18"/>
                <w:szCs w:val="18"/>
                <w:u w:val="single"/>
                <w:lang w:eastAsia="es-PE"/>
              </w:rPr>
            </w:pPr>
          </w:p>
        </w:tc>
        <w:tc>
          <w:tcPr>
            <w:tcW w:w="903" w:type="pct"/>
            <w:tcBorders>
              <w:top w:val="nil"/>
              <w:left w:val="nil"/>
              <w:bottom w:val="nil"/>
              <w:right w:val="nil"/>
            </w:tcBorders>
            <w:shd w:val="clear" w:color="000000" w:fill="FFFFFF"/>
            <w:vAlign w:val="bottom"/>
          </w:tcPr>
          <w:p w14:paraId="06B4A322" w14:textId="77777777" w:rsidR="00A658D0" w:rsidRDefault="00A658D0">
            <w:pPr>
              <w:rPr>
                <w:rFonts w:ascii="Arial Narrow" w:hAnsi="Arial Narrow"/>
                <w:b/>
                <w:bCs/>
                <w:color w:val="000000"/>
                <w:sz w:val="18"/>
                <w:szCs w:val="18"/>
                <w:u w:val="single"/>
                <w:lang w:eastAsia="es-PE"/>
              </w:rPr>
            </w:pPr>
          </w:p>
        </w:tc>
        <w:tc>
          <w:tcPr>
            <w:tcW w:w="481" w:type="pct"/>
            <w:tcBorders>
              <w:top w:val="nil"/>
              <w:left w:val="nil"/>
              <w:bottom w:val="nil"/>
              <w:right w:val="nil"/>
            </w:tcBorders>
            <w:shd w:val="clear" w:color="000000" w:fill="FFFFFF"/>
            <w:noWrap/>
            <w:vAlign w:val="bottom"/>
          </w:tcPr>
          <w:p w14:paraId="06B4A32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2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2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2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2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2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2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34" w14:textId="77777777">
        <w:trPr>
          <w:trHeight w:val="98"/>
        </w:trPr>
        <w:tc>
          <w:tcPr>
            <w:tcW w:w="154" w:type="pct"/>
            <w:tcBorders>
              <w:top w:val="nil"/>
              <w:left w:val="nil"/>
              <w:bottom w:val="nil"/>
              <w:right w:val="nil"/>
            </w:tcBorders>
            <w:shd w:val="clear" w:color="000000" w:fill="FFFFFF"/>
            <w:noWrap/>
            <w:vAlign w:val="bottom"/>
          </w:tcPr>
          <w:p w14:paraId="06B4A32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2238" w:type="pct"/>
            <w:gridSpan w:val="3"/>
            <w:tcBorders>
              <w:top w:val="nil"/>
              <w:left w:val="nil"/>
              <w:bottom w:val="nil"/>
              <w:right w:val="nil"/>
            </w:tcBorders>
            <w:shd w:val="clear" w:color="000000" w:fill="FFFFFF"/>
            <w:vAlign w:val="bottom"/>
          </w:tcPr>
          <w:p w14:paraId="06B4A32C"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OBLIGACIONES FINANCIERAS</w:t>
            </w:r>
          </w:p>
        </w:tc>
        <w:tc>
          <w:tcPr>
            <w:tcW w:w="481" w:type="pct"/>
            <w:tcBorders>
              <w:top w:val="nil"/>
              <w:left w:val="nil"/>
              <w:bottom w:val="nil"/>
              <w:right w:val="nil"/>
            </w:tcBorders>
            <w:shd w:val="clear" w:color="000000" w:fill="FFFFFF"/>
            <w:noWrap/>
            <w:vAlign w:val="bottom"/>
          </w:tcPr>
          <w:p w14:paraId="06B4A32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2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2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3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3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3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3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3F" w14:textId="77777777">
        <w:trPr>
          <w:trHeight w:val="330"/>
        </w:trPr>
        <w:tc>
          <w:tcPr>
            <w:tcW w:w="154" w:type="pct"/>
            <w:tcBorders>
              <w:top w:val="nil"/>
              <w:left w:val="nil"/>
              <w:bottom w:val="nil"/>
              <w:right w:val="nil"/>
            </w:tcBorders>
            <w:shd w:val="clear" w:color="000000" w:fill="FFFFFF"/>
            <w:noWrap/>
            <w:vAlign w:val="bottom"/>
          </w:tcPr>
          <w:p w14:paraId="06B4A33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33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566" w:type="pct"/>
            <w:gridSpan w:val="2"/>
            <w:tcBorders>
              <w:top w:val="nil"/>
              <w:left w:val="nil"/>
              <w:bottom w:val="nil"/>
              <w:right w:val="nil"/>
            </w:tcBorders>
            <w:shd w:val="clear" w:color="000000" w:fill="FFFFFF"/>
            <w:noWrap/>
            <w:vAlign w:val="bottom"/>
          </w:tcPr>
          <w:p w14:paraId="06B4A33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38"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3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3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3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3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3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3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4B" w14:textId="77777777">
        <w:trPr>
          <w:trHeight w:val="330"/>
        </w:trPr>
        <w:tc>
          <w:tcPr>
            <w:tcW w:w="154" w:type="pct"/>
            <w:tcBorders>
              <w:top w:val="nil"/>
              <w:left w:val="nil"/>
              <w:bottom w:val="nil"/>
              <w:right w:val="nil"/>
            </w:tcBorders>
            <w:shd w:val="clear" w:color="000000" w:fill="FFFFFF"/>
            <w:noWrap/>
            <w:vAlign w:val="bottom"/>
          </w:tcPr>
          <w:p w14:paraId="06B4A34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vAlign w:val="bottom"/>
          </w:tcPr>
          <w:p w14:paraId="06B4A341"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663" w:type="pct"/>
            <w:tcBorders>
              <w:top w:val="nil"/>
              <w:left w:val="nil"/>
              <w:bottom w:val="nil"/>
              <w:right w:val="nil"/>
            </w:tcBorders>
            <w:shd w:val="clear" w:color="000000" w:fill="FFFFFF"/>
            <w:vAlign w:val="bottom"/>
          </w:tcPr>
          <w:p w14:paraId="06B4A342"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903" w:type="pct"/>
            <w:tcBorders>
              <w:top w:val="nil"/>
              <w:left w:val="nil"/>
              <w:bottom w:val="nil"/>
              <w:right w:val="nil"/>
            </w:tcBorders>
            <w:shd w:val="clear" w:color="000000" w:fill="FFFFFF"/>
            <w:vAlign w:val="bottom"/>
          </w:tcPr>
          <w:p w14:paraId="06B4A343"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4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4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4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4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4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4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4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56" w14:textId="77777777">
        <w:trPr>
          <w:trHeight w:val="330"/>
        </w:trPr>
        <w:tc>
          <w:tcPr>
            <w:tcW w:w="154" w:type="pct"/>
            <w:tcBorders>
              <w:top w:val="nil"/>
              <w:left w:val="nil"/>
              <w:bottom w:val="nil"/>
              <w:right w:val="nil"/>
            </w:tcBorders>
            <w:shd w:val="clear" w:color="000000" w:fill="FFFFFF"/>
            <w:noWrap/>
            <w:vAlign w:val="bottom"/>
          </w:tcPr>
          <w:p w14:paraId="06B4A34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34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566" w:type="pct"/>
            <w:gridSpan w:val="2"/>
            <w:tcBorders>
              <w:top w:val="nil"/>
              <w:left w:val="nil"/>
              <w:bottom w:val="nil"/>
              <w:right w:val="nil"/>
            </w:tcBorders>
            <w:shd w:val="clear" w:color="000000" w:fill="FFFFFF"/>
            <w:vAlign w:val="center"/>
          </w:tcPr>
          <w:p w14:paraId="06B4A34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noWrap/>
            <w:vAlign w:val="bottom"/>
          </w:tcPr>
          <w:p w14:paraId="06B4A34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5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noWrap/>
            <w:vAlign w:val="bottom"/>
          </w:tcPr>
          <w:p w14:paraId="06B4A35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5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4" w:space="0" w:color="auto"/>
              <w:right w:val="nil"/>
            </w:tcBorders>
            <w:shd w:val="clear" w:color="000000" w:fill="FFFFFF"/>
            <w:noWrap/>
            <w:vAlign w:val="bottom"/>
          </w:tcPr>
          <w:p w14:paraId="06B4A35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5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single" w:sz="4" w:space="0" w:color="auto"/>
              <w:right w:val="nil"/>
            </w:tcBorders>
            <w:shd w:val="clear" w:color="000000" w:fill="FFFFFF"/>
            <w:noWrap/>
            <w:vAlign w:val="bottom"/>
          </w:tcPr>
          <w:p w14:paraId="06B4A35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60" w14:textId="77777777">
        <w:trPr>
          <w:trHeight w:val="345"/>
        </w:trPr>
        <w:tc>
          <w:tcPr>
            <w:tcW w:w="154" w:type="pct"/>
            <w:tcBorders>
              <w:top w:val="nil"/>
              <w:left w:val="nil"/>
              <w:bottom w:val="nil"/>
              <w:right w:val="nil"/>
            </w:tcBorders>
            <w:shd w:val="clear" w:color="000000" w:fill="FFFFFF"/>
            <w:noWrap/>
            <w:vAlign w:val="bottom"/>
          </w:tcPr>
          <w:p w14:paraId="06B4A35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2238" w:type="pct"/>
            <w:gridSpan w:val="3"/>
            <w:tcBorders>
              <w:top w:val="nil"/>
              <w:left w:val="nil"/>
              <w:bottom w:val="nil"/>
              <w:right w:val="nil"/>
            </w:tcBorders>
            <w:shd w:val="clear" w:color="000000" w:fill="FFFFFF"/>
            <w:vAlign w:val="bottom"/>
          </w:tcPr>
          <w:p w14:paraId="06B4A358" w14:textId="77777777" w:rsidR="00A658D0" w:rsidRDefault="00000000">
            <w:pPr>
              <w:rPr>
                <w:rFonts w:ascii="Arial Narrow" w:hAnsi="Arial Narrow"/>
                <w:b/>
                <w:bCs/>
                <w:color w:val="000000"/>
                <w:sz w:val="18"/>
                <w:szCs w:val="18"/>
                <w:lang w:eastAsia="es-PE"/>
              </w:rPr>
            </w:pPr>
            <w:proofErr w:type="gramStart"/>
            <w:r>
              <w:rPr>
                <w:rFonts w:ascii="Arial Narrow" w:hAnsi="Arial Narrow"/>
                <w:b/>
                <w:bCs/>
                <w:color w:val="000000"/>
                <w:sz w:val="18"/>
                <w:szCs w:val="18"/>
                <w:lang w:eastAsia="es-PE"/>
              </w:rPr>
              <w:t>TOTAL</w:t>
            </w:r>
            <w:proofErr w:type="gramEnd"/>
            <w:r>
              <w:rPr>
                <w:rFonts w:ascii="Arial Narrow" w:hAnsi="Arial Narrow"/>
                <w:b/>
                <w:bCs/>
                <w:color w:val="000000"/>
                <w:sz w:val="18"/>
                <w:szCs w:val="18"/>
                <w:lang w:eastAsia="es-PE"/>
              </w:rPr>
              <w:t xml:space="preserve"> PASIVO</w:t>
            </w:r>
          </w:p>
        </w:tc>
        <w:tc>
          <w:tcPr>
            <w:tcW w:w="481" w:type="pct"/>
            <w:tcBorders>
              <w:top w:val="nil"/>
              <w:left w:val="nil"/>
              <w:bottom w:val="single" w:sz="12" w:space="0" w:color="auto"/>
              <w:right w:val="nil"/>
            </w:tcBorders>
            <w:shd w:val="clear" w:color="000000" w:fill="FFFFFF"/>
            <w:noWrap/>
            <w:vAlign w:val="bottom"/>
          </w:tcPr>
          <w:p w14:paraId="06B4A359"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5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12" w:space="0" w:color="auto"/>
              <w:right w:val="nil"/>
            </w:tcBorders>
            <w:shd w:val="clear" w:color="000000" w:fill="FFFFFF"/>
            <w:noWrap/>
            <w:vAlign w:val="bottom"/>
          </w:tcPr>
          <w:p w14:paraId="06B4A35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5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single" w:sz="12" w:space="0" w:color="auto"/>
              <w:right w:val="nil"/>
            </w:tcBorders>
            <w:shd w:val="clear" w:color="000000" w:fill="FFFFFF"/>
            <w:noWrap/>
            <w:vAlign w:val="bottom"/>
          </w:tcPr>
          <w:p w14:paraId="06B4A35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5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single" w:sz="12" w:space="0" w:color="auto"/>
              <w:right w:val="nil"/>
            </w:tcBorders>
            <w:shd w:val="clear" w:color="000000" w:fill="FFFFFF"/>
            <w:noWrap/>
            <w:vAlign w:val="bottom"/>
          </w:tcPr>
          <w:p w14:paraId="06B4A35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6C" w14:textId="77777777">
        <w:trPr>
          <w:trHeight w:val="330"/>
        </w:trPr>
        <w:tc>
          <w:tcPr>
            <w:tcW w:w="154" w:type="pct"/>
            <w:tcBorders>
              <w:top w:val="nil"/>
              <w:left w:val="nil"/>
              <w:bottom w:val="nil"/>
              <w:right w:val="nil"/>
            </w:tcBorders>
            <w:shd w:val="clear" w:color="000000" w:fill="FFFFFF"/>
            <w:noWrap/>
            <w:vAlign w:val="bottom"/>
          </w:tcPr>
          <w:p w14:paraId="06B4A36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36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63" w:type="pct"/>
            <w:tcBorders>
              <w:top w:val="nil"/>
              <w:left w:val="nil"/>
              <w:bottom w:val="nil"/>
              <w:right w:val="nil"/>
            </w:tcBorders>
            <w:shd w:val="clear" w:color="000000" w:fill="FFFFFF"/>
            <w:noWrap/>
            <w:vAlign w:val="bottom"/>
          </w:tcPr>
          <w:p w14:paraId="06B4A36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03" w:type="pct"/>
            <w:tcBorders>
              <w:top w:val="nil"/>
              <w:left w:val="nil"/>
              <w:bottom w:val="nil"/>
              <w:right w:val="nil"/>
            </w:tcBorders>
            <w:shd w:val="clear" w:color="000000" w:fill="FFFFFF"/>
            <w:noWrap/>
            <w:vAlign w:val="bottom"/>
          </w:tcPr>
          <w:p w14:paraId="06B4A36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6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6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6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6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6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6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6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78" w14:textId="77777777">
        <w:trPr>
          <w:trHeight w:val="70"/>
        </w:trPr>
        <w:tc>
          <w:tcPr>
            <w:tcW w:w="154" w:type="pct"/>
            <w:tcBorders>
              <w:top w:val="nil"/>
              <w:left w:val="nil"/>
              <w:bottom w:val="nil"/>
              <w:right w:val="nil"/>
            </w:tcBorders>
            <w:shd w:val="clear" w:color="000000" w:fill="FFFFFF"/>
            <w:noWrap/>
            <w:vAlign w:val="bottom"/>
          </w:tcPr>
          <w:p w14:paraId="06B4A36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72" w:type="pct"/>
            <w:tcBorders>
              <w:top w:val="nil"/>
              <w:left w:val="nil"/>
              <w:bottom w:val="nil"/>
              <w:right w:val="nil"/>
            </w:tcBorders>
            <w:shd w:val="clear" w:color="000000" w:fill="FFFFFF"/>
            <w:noWrap/>
            <w:vAlign w:val="bottom"/>
          </w:tcPr>
          <w:p w14:paraId="06B4A36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663" w:type="pct"/>
            <w:tcBorders>
              <w:top w:val="nil"/>
              <w:left w:val="nil"/>
              <w:bottom w:val="nil"/>
              <w:right w:val="nil"/>
            </w:tcBorders>
            <w:shd w:val="clear" w:color="000000" w:fill="FFFFFF"/>
            <w:noWrap/>
            <w:vAlign w:val="bottom"/>
          </w:tcPr>
          <w:p w14:paraId="06B4A36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03" w:type="pct"/>
            <w:tcBorders>
              <w:top w:val="nil"/>
              <w:left w:val="nil"/>
              <w:bottom w:val="nil"/>
              <w:right w:val="nil"/>
            </w:tcBorders>
            <w:shd w:val="clear" w:color="000000" w:fill="FFFFFF"/>
            <w:noWrap/>
            <w:vAlign w:val="bottom"/>
          </w:tcPr>
          <w:p w14:paraId="06B4A37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7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7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7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7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481" w:type="pct"/>
            <w:tcBorders>
              <w:top w:val="nil"/>
              <w:left w:val="nil"/>
              <w:bottom w:val="nil"/>
              <w:right w:val="nil"/>
            </w:tcBorders>
            <w:shd w:val="clear" w:color="000000" w:fill="FFFFFF"/>
            <w:noWrap/>
            <w:vAlign w:val="bottom"/>
          </w:tcPr>
          <w:p w14:paraId="06B4A37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2" w:type="pct"/>
            <w:tcBorders>
              <w:top w:val="nil"/>
              <w:left w:val="nil"/>
              <w:bottom w:val="nil"/>
              <w:right w:val="nil"/>
            </w:tcBorders>
            <w:shd w:val="clear" w:color="000000" w:fill="FFFFFF"/>
            <w:noWrap/>
            <w:vAlign w:val="bottom"/>
          </w:tcPr>
          <w:p w14:paraId="06B4A37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888" w:type="pct"/>
            <w:tcBorders>
              <w:top w:val="nil"/>
              <w:left w:val="nil"/>
              <w:bottom w:val="nil"/>
              <w:right w:val="nil"/>
            </w:tcBorders>
            <w:shd w:val="clear" w:color="000000" w:fill="FFFFFF"/>
            <w:noWrap/>
            <w:vAlign w:val="bottom"/>
          </w:tcPr>
          <w:p w14:paraId="06B4A37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7C" w14:textId="77777777">
        <w:trPr>
          <w:trHeight w:val="330"/>
        </w:trPr>
        <w:tc>
          <w:tcPr>
            <w:tcW w:w="154" w:type="pct"/>
            <w:tcBorders>
              <w:top w:val="nil"/>
              <w:left w:val="nil"/>
              <w:bottom w:val="nil"/>
              <w:right w:val="nil"/>
            </w:tcBorders>
            <w:shd w:val="clear" w:color="000000" w:fill="FFFFFF"/>
            <w:noWrap/>
            <w:vAlign w:val="bottom"/>
          </w:tcPr>
          <w:p w14:paraId="06B4A379"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w:t>
            </w:r>
          </w:p>
        </w:tc>
        <w:tc>
          <w:tcPr>
            <w:tcW w:w="672" w:type="pct"/>
            <w:tcBorders>
              <w:top w:val="nil"/>
              <w:left w:val="nil"/>
              <w:bottom w:val="nil"/>
              <w:right w:val="nil"/>
            </w:tcBorders>
            <w:shd w:val="clear" w:color="000000" w:fill="FFFFFF"/>
            <w:noWrap/>
            <w:vAlign w:val="bottom"/>
          </w:tcPr>
          <w:p w14:paraId="06B4A37A"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Nivel 1</w:t>
            </w:r>
          </w:p>
        </w:tc>
        <w:tc>
          <w:tcPr>
            <w:tcW w:w="4174" w:type="pct"/>
            <w:gridSpan w:val="9"/>
            <w:tcBorders>
              <w:top w:val="nil"/>
              <w:left w:val="nil"/>
              <w:bottom w:val="nil"/>
              <w:right w:val="nil"/>
            </w:tcBorders>
            <w:shd w:val="clear" w:color="000000" w:fill="FFFFFF"/>
            <w:noWrap/>
            <w:vAlign w:val="bottom"/>
          </w:tcPr>
          <w:p w14:paraId="06B4A37B" w14:textId="77777777" w:rsidR="00A658D0" w:rsidRDefault="00000000">
            <w:pPr>
              <w:rPr>
                <w:rFonts w:ascii="Arial Narrow" w:hAnsi="Arial Narrow"/>
                <w:sz w:val="16"/>
                <w:szCs w:val="16"/>
                <w:lang w:eastAsia="es-PE"/>
              </w:rPr>
            </w:pPr>
            <w:r>
              <w:rPr>
                <w:rFonts w:ascii="Arial Narrow" w:hAnsi="Arial Narrow"/>
                <w:sz w:val="16"/>
                <w:szCs w:val="16"/>
                <w:lang w:eastAsia="es-PE"/>
              </w:rPr>
              <w:t>a) Comprende los instrumentos descritos en el enciso a) y b) del artículo 11 del Reglamento de Clasificación y Valorización de las inversiones.</w:t>
            </w:r>
          </w:p>
        </w:tc>
      </w:tr>
      <w:tr w:rsidR="00A658D0" w14:paraId="06B4A380" w14:textId="77777777">
        <w:trPr>
          <w:trHeight w:val="330"/>
        </w:trPr>
        <w:tc>
          <w:tcPr>
            <w:tcW w:w="154" w:type="pct"/>
            <w:tcBorders>
              <w:top w:val="nil"/>
              <w:left w:val="nil"/>
              <w:bottom w:val="nil"/>
              <w:right w:val="nil"/>
            </w:tcBorders>
            <w:shd w:val="clear" w:color="000000" w:fill="FFFFFF"/>
            <w:noWrap/>
            <w:vAlign w:val="bottom"/>
          </w:tcPr>
          <w:p w14:paraId="06B4A37D" w14:textId="77777777" w:rsidR="00A658D0" w:rsidRDefault="00000000">
            <w:pPr>
              <w:rPr>
                <w:rFonts w:ascii="Arial Narrow" w:hAnsi="Arial Narrow"/>
                <w:sz w:val="18"/>
                <w:szCs w:val="18"/>
                <w:lang w:eastAsia="es-PE"/>
              </w:rPr>
            </w:pPr>
            <w:r>
              <w:rPr>
                <w:rFonts w:ascii="Arial Narrow" w:hAnsi="Arial Narrow"/>
                <w:sz w:val="18"/>
                <w:szCs w:val="18"/>
                <w:lang w:eastAsia="es-PE"/>
              </w:rPr>
              <w:t> </w:t>
            </w:r>
          </w:p>
        </w:tc>
        <w:tc>
          <w:tcPr>
            <w:tcW w:w="672" w:type="pct"/>
            <w:tcBorders>
              <w:top w:val="nil"/>
              <w:left w:val="nil"/>
              <w:bottom w:val="nil"/>
              <w:right w:val="nil"/>
            </w:tcBorders>
            <w:shd w:val="clear" w:color="000000" w:fill="FFFFFF"/>
            <w:noWrap/>
            <w:vAlign w:val="bottom"/>
          </w:tcPr>
          <w:p w14:paraId="06B4A37E"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Nivel 2</w:t>
            </w:r>
          </w:p>
        </w:tc>
        <w:tc>
          <w:tcPr>
            <w:tcW w:w="4174" w:type="pct"/>
            <w:gridSpan w:val="9"/>
            <w:tcBorders>
              <w:top w:val="nil"/>
              <w:left w:val="nil"/>
              <w:bottom w:val="nil"/>
              <w:right w:val="nil"/>
            </w:tcBorders>
            <w:shd w:val="clear" w:color="000000" w:fill="FFFFFF"/>
            <w:noWrap/>
            <w:vAlign w:val="bottom"/>
          </w:tcPr>
          <w:p w14:paraId="06B4A37F" w14:textId="77777777" w:rsidR="00A658D0" w:rsidRDefault="00000000">
            <w:pPr>
              <w:rPr>
                <w:rFonts w:ascii="Arial Narrow" w:hAnsi="Arial Narrow"/>
                <w:sz w:val="16"/>
                <w:szCs w:val="16"/>
                <w:lang w:eastAsia="es-PE"/>
              </w:rPr>
            </w:pPr>
            <w:r>
              <w:rPr>
                <w:rFonts w:ascii="Arial Narrow" w:hAnsi="Arial Narrow"/>
                <w:sz w:val="16"/>
                <w:szCs w:val="16"/>
                <w:lang w:eastAsia="es-PE"/>
              </w:rPr>
              <w:t>b) Comprende los instrumentos descritos en el enciso c) del artículo 11 del Reglamento de Clasificación y Valorización de las inversiones.</w:t>
            </w:r>
          </w:p>
        </w:tc>
      </w:tr>
      <w:tr w:rsidR="00A658D0" w14:paraId="06B4A384" w14:textId="77777777">
        <w:trPr>
          <w:trHeight w:val="330"/>
        </w:trPr>
        <w:tc>
          <w:tcPr>
            <w:tcW w:w="154" w:type="pct"/>
            <w:tcBorders>
              <w:top w:val="nil"/>
              <w:left w:val="nil"/>
              <w:bottom w:val="nil"/>
              <w:right w:val="nil"/>
            </w:tcBorders>
            <w:shd w:val="clear" w:color="000000" w:fill="FFFFFF"/>
            <w:noWrap/>
            <w:vAlign w:val="bottom"/>
          </w:tcPr>
          <w:p w14:paraId="06B4A381" w14:textId="77777777" w:rsidR="00A658D0" w:rsidRDefault="00000000">
            <w:pPr>
              <w:rPr>
                <w:rFonts w:ascii="Arial Narrow" w:hAnsi="Arial Narrow"/>
                <w:sz w:val="18"/>
                <w:szCs w:val="18"/>
                <w:lang w:eastAsia="es-PE"/>
              </w:rPr>
            </w:pPr>
            <w:r>
              <w:rPr>
                <w:rFonts w:ascii="Arial Narrow" w:hAnsi="Arial Narrow"/>
                <w:sz w:val="18"/>
                <w:szCs w:val="18"/>
                <w:lang w:eastAsia="es-PE"/>
              </w:rPr>
              <w:t> </w:t>
            </w:r>
          </w:p>
        </w:tc>
        <w:tc>
          <w:tcPr>
            <w:tcW w:w="672" w:type="pct"/>
            <w:tcBorders>
              <w:top w:val="nil"/>
              <w:left w:val="nil"/>
              <w:bottom w:val="nil"/>
              <w:right w:val="nil"/>
            </w:tcBorders>
            <w:shd w:val="clear" w:color="000000" w:fill="FFFFFF"/>
            <w:noWrap/>
            <w:vAlign w:val="bottom"/>
          </w:tcPr>
          <w:p w14:paraId="06B4A382" w14:textId="77777777" w:rsidR="00A658D0" w:rsidRDefault="00000000">
            <w:pPr>
              <w:rPr>
                <w:rFonts w:ascii="Arial Narrow" w:hAnsi="Arial Narrow"/>
                <w:b/>
                <w:bCs/>
                <w:sz w:val="18"/>
                <w:szCs w:val="18"/>
                <w:lang w:eastAsia="es-PE"/>
              </w:rPr>
            </w:pPr>
            <w:r>
              <w:rPr>
                <w:rFonts w:ascii="Arial Narrow" w:hAnsi="Arial Narrow"/>
                <w:b/>
                <w:bCs/>
                <w:sz w:val="18"/>
                <w:szCs w:val="18"/>
                <w:lang w:eastAsia="es-PE"/>
              </w:rPr>
              <w:t>Nivel 3</w:t>
            </w:r>
          </w:p>
        </w:tc>
        <w:tc>
          <w:tcPr>
            <w:tcW w:w="4174" w:type="pct"/>
            <w:gridSpan w:val="9"/>
            <w:tcBorders>
              <w:top w:val="nil"/>
              <w:left w:val="nil"/>
              <w:bottom w:val="nil"/>
              <w:right w:val="nil"/>
            </w:tcBorders>
            <w:shd w:val="clear" w:color="000000" w:fill="FFFFFF"/>
            <w:noWrap/>
            <w:vAlign w:val="bottom"/>
          </w:tcPr>
          <w:p w14:paraId="06B4A383" w14:textId="77777777" w:rsidR="00A658D0" w:rsidRDefault="00000000">
            <w:pPr>
              <w:rPr>
                <w:rFonts w:ascii="Arial Narrow" w:hAnsi="Arial Narrow"/>
                <w:sz w:val="16"/>
                <w:szCs w:val="16"/>
                <w:lang w:eastAsia="es-PE"/>
              </w:rPr>
            </w:pPr>
            <w:r>
              <w:rPr>
                <w:rFonts w:ascii="Arial Narrow" w:hAnsi="Arial Narrow"/>
                <w:sz w:val="16"/>
                <w:szCs w:val="16"/>
                <w:lang w:eastAsia="es-PE"/>
              </w:rPr>
              <w:t>c) Comprende los instrumentos descritos en el enciso c) del artículo 11 del Reglamento de Clasificación y Valorización de las inversiones.</w:t>
            </w:r>
          </w:p>
        </w:tc>
      </w:tr>
    </w:tbl>
    <w:p w14:paraId="06B4A385" w14:textId="77777777" w:rsidR="00A658D0" w:rsidRDefault="00A658D0"/>
    <w:p w14:paraId="06B4A386" w14:textId="77777777" w:rsidR="00A658D0" w:rsidRDefault="00A658D0"/>
    <w:p w14:paraId="06B4A387" w14:textId="77777777" w:rsidR="00A658D0" w:rsidRDefault="00000000">
      <w:pPr>
        <w:jc w:val="right"/>
        <w:rPr>
          <w:sz w:val="22"/>
          <w:szCs w:val="22"/>
        </w:rPr>
      </w:pPr>
      <w:r>
        <w:br w:type="page"/>
      </w:r>
      <w:r>
        <w:rPr>
          <w:rFonts w:ascii="Arial Narrow" w:hAnsi="Arial Narrow"/>
          <w:b/>
          <w:sz w:val="22"/>
          <w:szCs w:val="22"/>
        </w:rPr>
        <w:lastRenderedPageBreak/>
        <w:t>ANEXO 4</w:t>
      </w:r>
    </w:p>
    <w:p w14:paraId="06B4A388" w14:textId="77777777" w:rsidR="00A658D0" w:rsidRDefault="00A658D0">
      <w:pPr>
        <w:jc w:val="center"/>
        <w:rPr>
          <w:rFonts w:ascii="Arial Narrow" w:hAnsi="Arial Narrow"/>
          <w:b/>
          <w:bCs/>
          <w:color w:val="000000"/>
          <w:sz w:val="22"/>
          <w:szCs w:val="22"/>
          <w:lang w:eastAsia="es-PE"/>
        </w:rPr>
      </w:pPr>
    </w:p>
    <w:p w14:paraId="06B4A389"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22"/>
          <w:szCs w:val="22"/>
          <w:lang w:eastAsia="es-PE"/>
        </w:rPr>
        <w:t>NOTA REFERIDA AL ANÁLISIS DE SENSIBILIDAD A LA TABLA DE MORTALIDAD Y TASA DE INTERÉS</w:t>
      </w:r>
    </w:p>
    <w:tbl>
      <w:tblPr>
        <w:tblW w:w="9072" w:type="dxa"/>
        <w:tblInd w:w="70" w:type="dxa"/>
        <w:tblCellMar>
          <w:left w:w="70" w:type="dxa"/>
          <w:right w:w="70" w:type="dxa"/>
        </w:tblCellMar>
        <w:tblLook w:val="04A0" w:firstRow="1" w:lastRow="0" w:firstColumn="1" w:lastColumn="0" w:noHBand="0" w:noVBand="1"/>
      </w:tblPr>
      <w:tblGrid>
        <w:gridCol w:w="2835"/>
        <w:gridCol w:w="1122"/>
        <w:gridCol w:w="1146"/>
        <w:gridCol w:w="1276"/>
        <w:gridCol w:w="1701"/>
        <w:gridCol w:w="992"/>
      </w:tblGrid>
      <w:tr w:rsidR="00A658D0" w14:paraId="06B4A390" w14:textId="77777777">
        <w:trPr>
          <w:trHeight w:val="300"/>
        </w:trPr>
        <w:tc>
          <w:tcPr>
            <w:tcW w:w="2835" w:type="dxa"/>
            <w:tcBorders>
              <w:top w:val="nil"/>
              <w:left w:val="nil"/>
              <w:bottom w:val="nil"/>
              <w:right w:val="nil"/>
            </w:tcBorders>
            <w:shd w:val="clear" w:color="000000" w:fill="FFFFFF"/>
            <w:noWrap/>
            <w:vAlign w:val="bottom"/>
          </w:tcPr>
          <w:p w14:paraId="06B4A38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38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8C"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38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38E"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38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bl>
    <w:p w14:paraId="06B4A391" w14:textId="77777777" w:rsidR="00A658D0" w:rsidRDefault="00000000">
      <w:pPr>
        <w:tabs>
          <w:tab w:val="left" w:pos="2905"/>
          <w:tab w:val="left" w:pos="4027"/>
          <w:tab w:val="left" w:pos="5173"/>
          <w:tab w:val="left" w:pos="6449"/>
          <w:tab w:val="left" w:pos="8150"/>
        </w:tabs>
        <w:ind w:left="70"/>
        <w:rPr>
          <w:rFonts w:ascii="Arial Narrow" w:hAnsi="Arial Narrow"/>
          <w:color w:val="000000"/>
          <w:sz w:val="18"/>
          <w:szCs w:val="18"/>
          <w:lang w:eastAsia="es-PE"/>
        </w:rPr>
      </w:pPr>
      <w:r>
        <w:rPr>
          <w:rFonts w:ascii="Arial Narrow" w:hAnsi="Arial Narrow"/>
          <w:b/>
          <w:bCs/>
          <w:color w:val="000000"/>
          <w:sz w:val="18"/>
          <w:szCs w:val="18"/>
          <w:lang w:eastAsia="es-PE"/>
        </w:rPr>
        <w:t>CONTRATOS DE SEGUROS DE VIDA</w:t>
      </w:r>
      <w:r>
        <w:rPr>
          <w:rFonts w:ascii="Arial Narrow" w:hAnsi="Arial Narrow"/>
          <w:b/>
          <w:bCs/>
          <w:color w:val="000000"/>
          <w:sz w:val="18"/>
          <w:szCs w:val="18"/>
          <w:lang w:eastAsia="es-PE"/>
        </w:rPr>
        <w:tab/>
      </w:r>
      <w:r>
        <w:rPr>
          <w:rFonts w:ascii="Arial Narrow" w:hAnsi="Arial Narrow"/>
          <w:color w:val="000000"/>
          <w:sz w:val="18"/>
          <w:szCs w:val="18"/>
          <w:lang w:eastAsia="es-PE"/>
        </w:rPr>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p>
    <w:p w14:paraId="06B4A392" w14:textId="77777777" w:rsidR="00A658D0" w:rsidRDefault="00000000">
      <w:pPr>
        <w:tabs>
          <w:tab w:val="left" w:pos="2905"/>
          <w:tab w:val="left" w:pos="4027"/>
          <w:tab w:val="left" w:pos="5173"/>
          <w:tab w:val="left" w:pos="6449"/>
          <w:tab w:val="left" w:pos="8150"/>
        </w:tabs>
        <w:ind w:left="70"/>
        <w:rPr>
          <w:rFonts w:ascii="Arial Narrow" w:hAnsi="Arial Narrow"/>
          <w:color w:val="000000"/>
          <w:sz w:val="18"/>
          <w:szCs w:val="18"/>
          <w:lang w:eastAsia="es-PE"/>
        </w:rPr>
      </w:pPr>
      <w:r>
        <w:rPr>
          <w:rFonts w:ascii="Arial Narrow" w:hAnsi="Arial Narrow"/>
          <w:b/>
          <w:bCs/>
          <w:color w:val="000000"/>
          <w:sz w:val="18"/>
          <w:szCs w:val="18"/>
          <w:lang w:eastAsia="es-PE"/>
        </w:rPr>
        <w:t>Al 31 de diciembre de 20X2</w:t>
      </w:r>
      <w:r>
        <w:rPr>
          <w:rFonts w:ascii="Arial Narrow" w:hAnsi="Arial Narrow"/>
          <w:b/>
          <w:bCs/>
          <w:color w:val="000000"/>
          <w:sz w:val="18"/>
          <w:szCs w:val="18"/>
          <w:lang w:eastAsia="es-PE"/>
        </w:rPr>
        <w:tab/>
      </w:r>
      <w:r>
        <w:rPr>
          <w:rFonts w:ascii="Arial Narrow" w:hAnsi="Arial Narrow"/>
          <w:color w:val="000000"/>
          <w:sz w:val="18"/>
          <w:szCs w:val="18"/>
          <w:lang w:eastAsia="es-PE"/>
        </w:rPr>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p>
    <w:tbl>
      <w:tblPr>
        <w:tblW w:w="9072" w:type="dxa"/>
        <w:tblInd w:w="70" w:type="dxa"/>
        <w:tblCellMar>
          <w:left w:w="70" w:type="dxa"/>
          <w:right w:w="70" w:type="dxa"/>
        </w:tblCellMar>
        <w:tblLook w:val="04A0" w:firstRow="1" w:lastRow="0" w:firstColumn="1" w:lastColumn="0" w:noHBand="0" w:noVBand="1"/>
      </w:tblPr>
      <w:tblGrid>
        <w:gridCol w:w="2835"/>
        <w:gridCol w:w="1122"/>
        <w:gridCol w:w="1146"/>
        <w:gridCol w:w="1276"/>
        <w:gridCol w:w="1701"/>
        <w:gridCol w:w="992"/>
      </w:tblGrid>
      <w:tr w:rsidR="00A658D0" w14:paraId="06B4A399" w14:textId="77777777">
        <w:trPr>
          <w:trHeight w:val="555"/>
        </w:trPr>
        <w:tc>
          <w:tcPr>
            <w:tcW w:w="2835" w:type="dxa"/>
            <w:tcBorders>
              <w:top w:val="nil"/>
              <w:left w:val="nil"/>
              <w:bottom w:val="nil"/>
              <w:right w:val="nil"/>
            </w:tcBorders>
            <w:shd w:val="clear" w:color="000000" w:fill="FFFFFF"/>
            <w:noWrap/>
            <w:vAlign w:val="bottom"/>
          </w:tcPr>
          <w:p w14:paraId="06B4A393"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Variables</w:t>
            </w:r>
          </w:p>
        </w:tc>
        <w:tc>
          <w:tcPr>
            <w:tcW w:w="1122" w:type="dxa"/>
            <w:tcBorders>
              <w:top w:val="nil"/>
              <w:left w:val="nil"/>
              <w:bottom w:val="nil"/>
              <w:right w:val="nil"/>
            </w:tcBorders>
            <w:shd w:val="clear" w:color="000000" w:fill="FFFFFF"/>
            <w:noWrap/>
            <w:vAlign w:val="bottom"/>
          </w:tcPr>
          <w:p w14:paraId="06B4A394"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Cambios en variables (%)</w:t>
            </w:r>
          </w:p>
        </w:tc>
        <w:tc>
          <w:tcPr>
            <w:tcW w:w="1146" w:type="dxa"/>
            <w:tcBorders>
              <w:top w:val="nil"/>
              <w:left w:val="nil"/>
              <w:bottom w:val="nil"/>
              <w:right w:val="nil"/>
            </w:tcBorders>
            <w:shd w:val="clear" w:color="000000" w:fill="FFFFFF"/>
            <w:noWrap/>
            <w:vAlign w:val="bottom"/>
          </w:tcPr>
          <w:p w14:paraId="06B4A395"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brutos</w:t>
            </w:r>
          </w:p>
        </w:tc>
        <w:tc>
          <w:tcPr>
            <w:tcW w:w="1276" w:type="dxa"/>
            <w:tcBorders>
              <w:top w:val="nil"/>
              <w:left w:val="nil"/>
              <w:bottom w:val="nil"/>
              <w:right w:val="nil"/>
            </w:tcBorders>
            <w:shd w:val="clear" w:color="000000" w:fill="FFFFFF"/>
            <w:noWrap/>
            <w:vAlign w:val="bottom"/>
          </w:tcPr>
          <w:p w14:paraId="06B4A396"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netos</w:t>
            </w:r>
          </w:p>
        </w:tc>
        <w:tc>
          <w:tcPr>
            <w:tcW w:w="1701" w:type="dxa"/>
            <w:tcBorders>
              <w:top w:val="nil"/>
              <w:left w:val="nil"/>
              <w:bottom w:val="nil"/>
              <w:right w:val="nil"/>
            </w:tcBorders>
            <w:shd w:val="clear" w:color="000000" w:fill="FFFFFF"/>
            <w:noWrap/>
            <w:vAlign w:val="bottom"/>
          </w:tcPr>
          <w:p w14:paraId="06B4A397"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resultados antes de impuestos</w:t>
            </w:r>
          </w:p>
        </w:tc>
        <w:tc>
          <w:tcPr>
            <w:tcW w:w="992" w:type="dxa"/>
            <w:tcBorders>
              <w:top w:val="nil"/>
              <w:left w:val="nil"/>
              <w:bottom w:val="nil"/>
              <w:right w:val="nil"/>
            </w:tcBorders>
            <w:shd w:val="clear" w:color="000000" w:fill="FFFFFF"/>
            <w:noWrap/>
            <w:vAlign w:val="bottom"/>
          </w:tcPr>
          <w:p w14:paraId="06B4A398"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patrimonio</w:t>
            </w:r>
          </w:p>
        </w:tc>
      </w:tr>
      <w:tr w:rsidR="00A658D0" w14:paraId="06B4A3A0" w14:textId="77777777">
        <w:trPr>
          <w:trHeight w:val="300"/>
        </w:trPr>
        <w:tc>
          <w:tcPr>
            <w:tcW w:w="2835" w:type="dxa"/>
            <w:tcBorders>
              <w:top w:val="nil"/>
              <w:left w:val="nil"/>
              <w:bottom w:val="nil"/>
              <w:right w:val="nil"/>
            </w:tcBorders>
            <w:shd w:val="clear" w:color="000000" w:fill="FFFFFF"/>
            <w:noWrap/>
            <w:vAlign w:val="bottom"/>
          </w:tcPr>
          <w:p w14:paraId="06B4A39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39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9C"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276" w:type="dxa"/>
            <w:tcBorders>
              <w:top w:val="nil"/>
              <w:left w:val="nil"/>
              <w:bottom w:val="nil"/>
              <w:right w:val="nil"/>
            </w:tcBorders>
            <w:shd w:val="clear" w:color="000000" w:fill="FFFFFF"/>
            <w:noWrap/>
            <w:vAlign w:val="bottom"/>
          </w:tcPr>
          <w:p w14:paraId="06B4A39D"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701" w:type="dxa"/>
            <w:tcBorders>
              <w:top w:val="nil"/>
              <w:left w:val="nil"/>
              <w:bottom w:val="nil"/>
              <w:right w:val="nil"/>
            </w:tcBorders>
            <w:shd w:val="clear" w:color="000000" w:fill="FFFFFF"/>
            <w:noWrap/>
            <w:vAlign w:val="bottom"/>
          </w:tcPr>
          <w:p w14:paraId="06B4A39E"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992" w:type="dxa"/>
            <w:tcBorders>
              <w:top w:val="nil"/>
              <w:left w:val="nil"/>
              <w:bottom w:val="nil"/>
              <w:right w:val="nil"/>
            </w:tcBorders>
            <w:shd w:val="clear" w:color="000000" w:fill="FFFFFF"/>
            <w:noWrap/>
            <w:vAlign w:val="bottom"/>
          </w:tcPr>
          <w:p w14:paraId="06B4A39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r>
      <w:tr w:rsidR="00A658D0" w14:paraId="06B4A3A7" w14:textId="77777777">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4A3A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Tabla de mortalidad</w:t>
            </w:r>
          </w:p>
        </w:tc>
        <w:tc>
          <w:tcPr>
            <w:tcW w:w="1122" w:type="dxa"/>
            <w:tcBorders>
              <w:top w:val="single" w:sz="4" w:space="0" w:color="auto"/>
              <w:left w:val="nil"/>
              <w:bottom w:val="single" w:sz="4" w:space="0" w:color="auto"/>
              <w:right w:val="single" w:sz="4" w:space="0" w:color="auto"/>
            </w:tcBorders>
            <w:shd w:val="clear" w:color="000000" w:fill="FFFFFF"/>
            <w:noWrap/>
            <w:vAlign w:val="bottom"/>
          </w:tcPr>
          <w:p w14:paraId="06B4A3A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single" w:sz="4" w:space="0" w:color="auto"/>
              <w:left w:val="nil"/>
              <w:bottom w:val="single" w:sz="4" w:space="0" w:color="auto"/>
              <w:right w:val="single" w:sz="4" w:space="0" w:color="auto"/>
            </w:tcBorders>
            <w:shd w:val="clear" w:color="000000" w:fill="FFFFFF"/>
            <w:noWrap/>
            <w:vAlign w:val="bottom"/>
          </w:tcPr>
          <w:p w14:paraId="06B4A3A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6B4A3A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6B4A3A5"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4A3A6"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AE"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3A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Tasa de interés</w:t>
            </w:r>
          </w:p>
        </w:tc>
        <w:tc>
          <w:tcPr>
            <w:tcW w:w="1122" w:type="dxa"/>
            <w:tcBorders>
              <w:top w:val="nil"/>
              <w:left w:val="nil"/>
              <w:bottom w:val="single" w:sz="4" w:space="0" w:color="auto"/>
              <w:right w:val="single" w:sz="4" w:space="0" w:color="auto"/>
            </w:tcBorders>
            <w:shd w:val="clear" w:color="000000" w:fill="FFFFFF"/>
            <w:noWrap/>
            <w:vAlign w:val="bottom"/>
          </w:tcPr>
          <w:p w14:paraId="06B4A3A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single" w:sz="4" w:space="0" w:color="auto"/>
              <w:right w:val="single" w:sz="4" w:space="0" w:color="auto"/>
            </w:tcBorders>
            <w:shd w:val="clear" w:color="000000" w:fill="FFFFFF"/>
            <w:noWrap/>
            <w:vAlign w:val="bottom"/>
          </w:tcPr>
          <w:p w14:paraId="06B4A3AA"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3A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3AC"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3A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B5" w14:textId="77777777">
        <w:trPr>
          <w:trHeight w:val="300"/>
        </w:trPr>
        <w:tc>
          <w:tcPr>
            <w:tcW w:w="2835" w:type="dxa"/>
            <w:tcBorders>
              <w:top w:val="nil"/>
              <w:left w:val="nil"/>
              <w:bottom w:val="nil"/>
              <w:right w:val="nil"/>
            </w:tcBorders>
            <w:shd w:val="clear" w:color="000000" w:fill="FFFFFF"/>
            <w:noWrap/>
            <w:vAlign w:val="bottom"/>
          </w:tcPr>
          <w:p w14:paraId="06B4A3A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3B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B1"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3B2"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3B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3B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BC" w14:textId="77777777">
        <w:trPr>
          <w:trHeight w:val="300"/>
        </w:trPr>
        <w:tc>
          <w:tcPr>
            <w:tcW w:w="2835" w:type="dxa"/>
            <w:tcBorders>
              <w:top w:val="nil"/>
              <w:left w:val="nil"/>
              <w:bottom w:val="nil"/>
              <w:right w:val="nil"/>
            </w:tcBorders>
            <w:shd w:val="clear" w:color="000000" w:fill="FFFFFF"/>
            <w:noWrap/>
            <w:vAlign w:val="bottom"/>
          </w:tcPr>
          <w:p w14:paraId="06B4A3B6"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Al 31 de diciembre de 20X1</w:t>
            </w:r>
          </w:p>
        </w:tc>
        <w:tc>
          <w:tcPr>
            <w:tcW w:w="1122" w:type="dxa"/>
            <w:tcBorders>
              <w:top w:val="nil"/>
              <w:left w:val="nil"/>
              <w:bottom w:val="nil"/>
              <w:right w:val="nil"/>
            </w:tcBorders>
            <w:shd w:val="clear" w:color="000000" w:fill="FFFFFF"/>
            <w:noWrap/>
            <w:vAlign w:val="bottom"/>
          </w:tcPr>
          <w:p w14:paraId="06B4A3B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B8"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3B9"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3BA"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3B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C3" w14:textId="77777777">
        <w:trPr>
          <w:trHeight w:val="585"/>
        </w:trPr>
        <w:tc>
          <w:tcPr>
            <w:tcW w:w="2835" w:type="dxa"/>
            <w:tcBorders>
              <w:top w:val="nil"/>
              <w:left w:val="nil"/>
              <w:bottom w:val="nil"/>
              <w:right w:val="nil"/>
            </w:tcBorders>
            <w:shd w:val="clear" w:color="000000" w:fill="FFFFFF"/>
            <w:noWrap/>
            <w:vAlign w:val="bottom"/>
          </w:tcPr>
          <w:p w14:paraId="06B4A3BD"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Variables</w:t>
            </w:r>
          </w:p>
        </w:tc>
        <w:tc>
          <w:tcPr>
            <w:tcW w:w="1122" w:type="dxa"/>
            <w:tcBorders>
              <w:top w:val="nil"/>
              <w:left w:val="nil"/>
              <w:bottom w:val="nil"/>
              <w:right w:val="nil"/>
            </w:tcBorders>
            <w:shd w:val="clear" w:color="000000" w:fill="FFFFFF"/>
            <w:noWrap/>
            <w:vAlign w:val="bottom"/>
          </w:tcPr>
          <w:p w14:paraId="06B4A3BE"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Cambios en variables (%)</w:t>
            </w:r>
          </w:p>
        </w:tc>
        <w:tc>
          <w:tcPr>
            <w:tcW w:w="1146" w:type="dxa"/>
            <w:tcBorders>
              <w:top w:val="nil"/>
              <w:left w:val="nil"/>
              <w:bottom w:val="nil"/>
              <w:right w:val="nil"/>
            </w:tcBorders>
            <w:shd w:val="clear" w:color="000000" w:fill="FFFFFF"/>
            <w:noWrap/>
            <w:vAlign w:val="bottom"/>
          </w:tcPr>
          <w:p w14:paraId="06B4A3B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brutos</w:t>
            </w:r>
          </w:p>
        </w:tc>
        <w:tc>
          <w:tcPr>
            <w:tcW w:w="1276" w:type="dxa"/>
            <w:tcBorders>
              <w:top w:val="nil"/>
              <w:left w:val="nil"/>
              <w:bottom w:val="nil"/>
              <w:right w:val="nil"/>
            </w:tcBorders>
            <w:shd w:val="clear" w:color="000000" w:fill="FFFFFF"/>
            <w:noWrap/>
            <w:vAlign w:val="bottom"/>
          </w:tcPr>
          <w:p w14:paraId="06B4A3C0"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netos</w:t>
            </w:r>
          </w:p>
        </w:tc>
        <w:tc>
          <w:tcPr>
            <w:tcW w:w="1701" w:type="dxa"/>
            <w:tcBorders>
              <w:top w:val="nil"/>
              <w:left w:val="nil"/>
              <w:bottom w:val="nil"/>
              <w:right w:val="nil"/>
            </w:tcBorders>
            <w:shd w:val="clear" w:color="000000" w:fill="FFFFFF"/>
            <w:noWrap/>
            <w:vAlign w:val="bottom"/>
          </w:tcPr>
          <w:p w14:paraId="06B4A3C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resultados antes de impuestos</w:t>
            </w:r>
          </w:p>
        </w:tc>
        <w:tc>
          <w:tcPr>
            <w:tcW w:w="992" w:type="dxa"/>
            <w:tcBorders>
              <w:top w:val="nil"/>
              <w:left w:val="nil"/>
              <w:bottom w:val="nil"/>
              <w:right w:val="nil"/>
            </w:tcBorders>
            <w:shd w:val="clear" w:color="000000" w:fill="FFFFFF"/>
            <w:noWrap/>
            <w:vAlign w:val="bottom"/>
          </w:tcPr>
          <w:p w14:paraId="06B4A3C2"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patrimonio</w:t>
            </w:r>
          </w:p>
        </w:tc>
      </w:tr>
      <w:tr w:rsidR="00A658D0" w14:paraId="06B4A3CA" w14:textId="77777777">
        <w:trPr>
          <w:trHeight w:val="300"/>
        </w:trPr>
        <w:tc>
          <w:tcPr>
            <w:tcW w:w="2835" w:type="dxa"/>
            <w:tcBorders>
              <w:top w:val="nil"/>
              <w:left w:val="nil"/>
              <w:bottom w:val="nil"/>
              <w:right w:val="nil"/>
            </w:tcBorders>
            <w:shd w:val="clear" w:color="000000" w:fill="FFFFFF"/>
            <w:noWrap/>
            <w:vAlign w:val="bottom"/>
          </w:tcPr>
          <w:p w14:paraId="06B4A3C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3C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C6"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276" w:type="dxa"/>
            <w:tcBorders>
              <w:top w:val="nil"/>
              <w:left w:val="nil"/>
              <w:bottom w:val="nil"/>
              <w:right w:val="nil"/>
            </w:tcBorders>
            <w:shd w:val="clear" w:color="000000" w:fill="FFFFFF"/>
            <w:noWrap/>
            <w:vAlign w:val="bottom"/>
          </w:tcPr>
          <w:p w14:paraId="06B4A3C7"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701" w:type="dxa"/>
            <w:tcBorders>
              <w:top w:val="nil"/>
              <w:left w:val="nil"/>
              <w:bottom w:val="nil"/>
              <w:right w:val="nil"/>
            </w:tcBorders>
            <w:shd w:val="clear" w:color="000000" w:fill="FFFFFF"/>
            <w:noWrap/>
            <w:vAlign w:val="bottom"/>
          </w:tcPr>
          <w:p w14:paraId="06B4A3C8"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992" w:type="dxa"/>
            <w:tcBorders>
              <w:top w:val="nil"/>
              <w:left w:val="nil"/>
              <w:bottom w:val="nil"/>
              <w:right w:val="nil"/>
            </w:tcBorders>
            <w:shd w:val="clear" w:color="000000" w:fill="FFFFFF"/>
            <w:noWrap/>
            <w:vAlign w:val="bottom"/>
          </w:tcPr>
          <w:p w14:paraId="06B4A3C9"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r>
      <w:tr w:rsidR="00A658D0" w14:paraId="06B4A3D1" w14:textId="77777777">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4A3C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Tabla de mortalidad</w:t>
            </w:r>
          </w:p>
        </w:tc>
        <w:tc>
          <w:tcPr>
            <w:tcW w:w="1122" w:type="dxa"/>
            <w:tcBorders>
              <w:top w:val="single" w:sz="4" w:space="0" w:color="auto"/>
              <w:left w:val="nil"/>
              <w:bottom w:val="single" w:sz="4" w:space="0" w:color="auto"/>
              <w:right w:val="single" w:sz="4" w:space="0" w:color="auto"/>
            </w:tcBorders>
            <w:shd w:val="clear" w:color="000000" w:fill="FFFFFF"/>
            <w:noWrap/>
            <w:vAlign w:val="bottom"/>
          </w:tcPr>
          <w:p w14:paraId="06B4A3C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single" w:sz="4" w:space="0" w:color="auto"/>
              <w:left w:val="nil"/>
              <w:bottom w:val="single" w:sz="4" w:space="0" w:color="auto"/>
              <w:right w:val="single" w:sz="4" w:space="0" w:color="auto"/>
            </w:tcBorders>
            <w:shd w:val="clear" w:color="000000" w:fill="FFFFFF"/>
            <w:noWrap/>
            <w:vAlign w:val="bottom"/>
          </w:tcPr>
          <w:p w14:paraId="06B4A3C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6B4A3CE"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6B4A3C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4A3D0"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D8"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3D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Tasa de interés</w:t>
            </w:r>
          </w:p>
        </w:tc>
        <w:tc>
          <w:tcPr>
            <w:tcW w:w="1122" w:type="dxa"/>
            <w:tcBorders>
              <w:top w:val="nil"/>
              <w:left w:val="nil"/>
              <w:bottom w:val="single" w:sz="4" w:space="0" w:color="auto"/>
              <w:right w:val="single" w:sz="4" w:space="0" w:color="auto"/>
            </w:tcBorders>
            <w:shd w:val="clear" w:color="000000" w:fill="FFFFFF"/>
            <w:noWrap/>
            <w:vAlign w:val="bottom"/>
          </w:tcPr>
          <w:p w14:paraId="06B4A3D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single" w:sz="4" w:space="0" w:color="auto"/>
              <w:right w:val="single" w:sz="4" w:space="0" w:color="auto"/>
            </w:tcBorders>
            <w:shd w:val="clear" w:color="000000" w:fill="FFFFFF"/>
            <w:noWrap/>
            <w:vAlign w:val="bottom"/>
          </w:tcPr>
          <w:p w14:paraId="06B4A3D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3D5"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3D6"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3D7"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3DF" w14:textId="77777777">
        <w:trPr>
          <w:trHeight w:val="300"/>
        </w:trPr>
        <w:tc>
          <w:tcPr>
            <w:tcW w:w="2835" w:type="dxa"/>
            <w:tcBorders>
              <w:top w:val="nil"/>
              <w:left w:val="nil"/>
              <w:bottom w:val="nil"/>
              <w:right w:val="nil"/>
            </w:tcBorders>
            <w:shd w:val="clear" w:color="000000" w:fill="FFFFFF"/>
            <w:noWrap/>
            <w:vAlign w:val="bottom"/>
          </w:tcPr>
          <w:p w14:paraId="06B4A3D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3D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D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3DC"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3D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3DE"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bl>
    <w:p w14:paraId="06B4A3E0" w14:textId="77777777" w:rsidR="00A658D0" w:rsidRDefault="00000000">
      <w:pPr>
        <w:tabs>
          <w:tab w:val="left" w:pos="2905"/>
          <w:tab w:val="left" w:pos="4027"/>
          <w:tab w:val="left" w:pos="5173"/>
          <w:tab w:val="left" w:pos="6449"/>
          <w:tab w:val="left" w:pos="8150"/>
        </w:tabs>
        <w:ind w:left="70"/>
        <w:rPr>
          <w:rFonts w:ascii="Arial Narrow" w:hAnsi="Arial Narrow"/>
          <w:color w:val="000000"/>
          <w:sz w:val="18"/>
          <w:szCs w:val="18"/>
          <w:lang w:eastAsia="es-PE"/>
        </w:rPr>
      </w:pPr>
      <w:r>
        <w:rPr>
          <w:rFonts w:ascii="Arial Narrow" w:hAnsi="Arial Narrow"/>
          <w:color w:val="000000"/>
          <w:sz w:val="18"/>
          <w:szCs w:val="18"/>
          <w:lang w:eastAsia="es-PE"/>
        </w:rPr>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p>
    <w:p w14:paraId="06B4A3E1"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CONTRATOS DE INVERSIÓN CON COMPONENTES DE PARTICIPACIÓN DISCRECIONAL</w:t>
      </w:r>
    </w:p>
    <w:p w14:paraId="06B4A3E2"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Al 31 de diciembre de 20X2</w:t>
      </w:r>
    </w:p>
    <w:p w14:paraId="06B4A3E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p w14:paraId="06B4A3E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bl>
      <w:tblPr>
        <w:tblW w:w="9072" w:type="dxa"/>
        <w:tblInd w:w="70" w:type="dxa"/>
        <w:tblCellMar>
          <w:left w:w="70" w:type="dxa"/>
          <w:right w:w="70" w:type="dxa"/>
        </w:tblCellMar>
        <w:tblLook w:val="04A0" w:firstRow="1" w:lastRow="0" w:firstColumn="1" w:lastColumn="0" w:noHBand="0" w:noVBand="1"/>
      </w:tblPr>
      <w:tblGrid>
        <w:gridCol w:w="2835"/>
        <w:gridCol w:w="1122"/>
        <w:gridCol w:w="1146"/>
        <w:gridCol w:w="1276"/>
        <w:gridCol w:w="1701"/>
        <w:gridCol w:w="992"/>
      </w:tblGrid>
      <w:tr w:rsidR="00A658D0" w14:paraId="06B4A3EB" w14:textId="77777777">
        <w:trPr>
          <w:trHeight w:val="600"/>
        </w:trPr>
        <w:tc>
          <w:tcPr>
            <w:tcW w:w="2835" w:type="dxa"/>
            <w:tcBorders>
              <w:top w:val="nil"/>
              <w:left w:val="nil"/>
              <w:bottom w:val="nil"/>
              <w:right w:val="nil"/>
            </w:tcBorders>
            <w:shd w:val="clear" w:color="000000" w:fill="FFFFFF"/>
            <w:noWrap/>
            <w:vAlign w:val="bottom"/>
          </w:tcPr>
          <w:p w14:paraId="06B4A3E5"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Variables</w:t>
            </w:r>
          </w:p>
        </w:tc>
        <w:tc>
          <w:tcPr>
            <w:tcW w:w="1122" w:type="dxa"/>
            <w:tcBorders>
              <w:top w:val="nil"/>
              <w:left w:val="nil"/>
              <w:bottom w:val="nil"/>
              <w:right w:val="nil"/>
            </w:tcBorders>
            <w:shd w:val="clear" w:color="000000" w:fill="FFFFFF"/>
            <w:noWrap/>
            <w:vAlign w:val="bottom"/>
          </w:tcPr>
          <w:p w14:paraId="06B4A3E6"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Cambios en variables (%)</w:t>
            </w:r>
          </w:p>
        </w:tc>
        <w:tc>
          <w:tcPr>
            <w:tcW w:w="1146" w:type="dxa"/>
            <w:tcBorders>
              <w:top w:val="nil"/>
              <w:left w:val="nil"/>
              <w:bottom w:val="nil"/>
              <w:right w:val="nil"/>
            </w:tcBorders>
            <w:shd w:val="clear" w:color="000000" w:fill="FFFFFF"/>
            <w:noWrap/>
            <w:vAlign w:val="bottom"/>
          </w:tcPr>
          <w:p w14:paraId="06B4A3E7"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brutos</w:t>
            </w:r>
          </w:p>
        </w:tc>
        <w:tc>
          <w:tcPr>
            <w:tcW w:w="1276" w:type="dxa"/>
            <w:tcBorders>
              <w:top w:val="nil"/>
              <w:left w:val="nil"/>
              <w:bottom w:val="nil"/>
              <w:right w:val="nil"/>
            </w:tcBorders>
            <w:shd w:val="clear" w:color="000000" w:fill="FFFFFF"/>
            <w:noWrap/>
            <w:vAlign w:val="bottom"/>
          </w:tcPr>
          <w:p w14:paraId="06B4A3E8"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netos</w:t>
            </w:r>
          </w:p>
        </w:tc>
        <w:tc>
          <w:tcPr>
            <w:tcW w:w="1701" w:type="dxa"/>
            <w:tcBorders>
              <w:top w:val="nil"/>
              <w:left w:val="nil"/>
              <w:bottom w:val="nil"/>
              <w:right w:val="nil"/>
            </w:tcBorders>
            <w:shd w:val="clear" w:color="000000" w:fill="FFFFFF"/>
            <w:noWrap/>
            <w:vAlign w:val="bottom"/>
          </w:tcPr>
          <w:p w14:paraId="06B4A3E9"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resultados antes de impuestos</w:t>
            </w:r>
          </w:p>
        </w:tc>
        <w:tc>
          <w:tcPr>
            <w:tcW w:w="992" w:type="dxa"/>
            <w:tcBorders>
              <w:top w:val="nil"/>
              <w:left w:val="nil"/>
              <w:bottom w:val="nil"/>
              <w:right w:val="nil"/>
            </w:tcBorders>
            <w:shd w:val="clear" w:color="000000" w:fill="FFFFFF"/>
            <w:noWrap/>
            <w:vAlign w:val="bottom"/>
          </w:tcPr>
          <w:p w14:paraId="06B4A3EA"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patrimonio</w:t>
            </w:r>
          </w:p>
        </w:tc>
      </w:tr>
      <w:tr w:rsidR="00A658D0" w14:paraId="06B4A3F2" w14:textId="77777777">
        <w:trPr>
          <w:trHeight w:val="300"/>
        </w:trPr>
        <w:tc>
          <w:tcPr>
            <w:tcW w:w="2835" w:type="dxa"/>
            <w:tcBorders>
              <w:top w:val="nil"/>
              <w:left w:val="nil"/>
              <w:bottom w:val="nil"/>
              <w:right w:val="nil"/>
            </w:tcBorders>
            <w:shd w:val="clear" w:color="000000" w:fill="FFFFFF"/>
            <w:noWrap/>
            <w:vAlign w:val="bottom"/>
          </w:tcPr>
          <w:p w14:paraId="06B4A3E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3E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3EE"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276" w:type="dxa"/>
            <w:tcBorders>
              <w:top w:val="nil"/>
              <w:left w:val="nil"/>
              <w:bottom w:val="nil"/>
              <w:right w:val="nil"/>
            </w:tcBorders>
            <w:shd w:val="clear" w:color="000000" w:fill="FFFFFF"/>
            <w:noWrap/>
            <w:vAlign w:val="bottom"/>
          </w:tcPr>
          <w:p w14:paraId="06B4A3E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701" w:type="dxa"/>
            <w:tcBorders>
              <w:top w:val="nil"/>
              <w:left w:val="nil"/>
              <w:bottom w:val="nil"/>
              <w:right w:val="nil"/>
            </w:tcBorders>
            <w:shd w:val="clear" w:color="000000" w:fill="FFFFFF"/>
            <w:noWrap/>
            <w:vAlign w:val="bottom"/>
          </w:tcPr>
          <w:p w14:paraId="06B4A3F0"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992" w:type="dxa"/>
            <w:tcBorders>
              <w:top w:val="nil"/>
              <w:left w:val="nil"/>
              <w:bottom w:val="nil"/>
              <w:right w:val="nil"/>
            </w:tcBorders>
            <w:shd w:val="clear" w:color="000000" w:fill="FFFFFF"/>
            <w:noWrap/>
            <w:vAlign w:val="bottom"/>
          </w:tcPr>
          <w:p w14:paraId="06B4A3F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r>
      <w:tr w:rsidR="00A658D0" w14:paraId="06B4A3F9" w14:textId="77777777">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4A3F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Tabla de mortalidad</w:t>
            </w:r>
          </w:p>
        </w:tc>
        <w:tc>
          <w:tcPr>
            <w:tcW w:w="1122" w:type="dxa"/>
            <w:tcBorders>
              <w:top w:val="single" w:sz="4" w:space="0" w:color="auto"/>
              <w:left w:val="nil"/>
              <w:bottom w:val="single" w:sz="4" w:space="0" w:color="auto"/>
              <w:right w:val="single" w:sz="4" w:space="0" w:color="auto"/>
            </w:tcBorders>
            <w:shd w:val="clear" w:color="000000" w:fill="FFFFFF"/>
            <w:noWrap/>
            <w:vAlign w:val="bottom"/>
          </w:tcPr>
          <w:p w14:paraId="06B4A3F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single" w:sz="4" w:space="0" w:color="auto"/>
              <w:left w:val="nil"/>
              <w:bottom w:val="single" w:sz="4" w:space="0" w:color="auto"/>
              <w:right w:val="single" w:sz="4" w:space="0" w:color="auto"/>
            </w:tcBorders>
            <w:shd w:val="clear" w:color="000000" w:fill="FFFFFF"/>
            <w:noWrap/>
            <w:vAlign w:val="bottom"/>
          </w:tcPr>
          <w:p w14:paraId="06B4A3F5"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6B4A3F6"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6B4A3F7"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4A3F8"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00"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3F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Tasa de interés</w:t>
            </w:r>
          </w:p>
        </w:tc>
        <w:tc>
          <w:tcPr>
            <w:tcW w:w="1122" w:type="dxa"/>
            <w:tcBorders>
              <w:top w:val="nil"/>
              <w:left w:val="nil"/>
              <w:bottom w:val="single" w:sz="4" w:space="0" w:color="auto"/>
              <w:right w:val="single" w:sz="4" w:space="0" w:color="auto"/>
            </w:tcBorders>
            <w:shd w:val="clear" w:color="000000" w:fill="FFFFFF"/>
            <w:noWrap/>
            <w:vAlign w:val="bottom"/>
          </w:tcPr>
          <w:p w14:paraId="06B4A3F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single" w:sz="4" w:space="0" w:color="auto"/>
              <w:right w:val="single" w:sz="4" w:space="0" w:color="auto"/>
            </w:tcBorders>
            <w:shd w:val="clear" w:color="000000" w:fill="FFFFFF"/>
            <w:noWrap/>
            <w:vAlign w:val="bottom"/>
          </w:tcPr>
          <w:p w14:paraId="06B4A3FC"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3F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3FE"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3F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07" w14:textId="77777777">
        <w:trPr>
          <w:trHeight w:val="300"/>
        </w:trPr>
        <w:tc>
          <w:tcPr>
            <w:tcW w:w="2835" w:type="dxa"/>
            <w:tcBorders>
              <w:top w:val="nil"/>
              <w:left w:val="nil"/>
              <w:bottom w:val="nil"/>
              <w:right w:val="nil"/>
            </w:tcBorders>
            <w:shd w:val="clear" w:color="000000" w:fill="FFFFFF"/>
            <w:noWrap/>
            <w:vAlign w:val="bottom"/>
          </w:tcPr>
          <w:p w14:paraId="06B4A40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0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0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0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05"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06"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0E" w14:textId="77777777">
        <w:trPr>
          <w:trHeight w:val="300"/>
        </w:trPr>
        <w:tc>
          <w:tcPr>
            <w:tcW w:w="2835" w:type="dxa"/>
            <w:tcBorders>
              <w:top w:val="nil"/>
              <w:left w:val="nil"/>
              <w:bottom w:val="nil"/>
              <w:right w:val="nil"/>
            </w:tcBorders>
            <w:shd w:val="clear" w:color="000000" w:fill="FFFFFF"/>
            <w:noWrap/>
            <w:vAlign w:val="bottom"/>
          </w:tcPr>
          <w:p w14:paraId="06B4A408"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Al 31 de diciembre de 20X1</w:t>
            </w:r>
          </w:p>
        </w:tc>
        <w:tc>
          <w:tcPr>
            <w:tcW w:w="1122" w:type="dxa"/>
            <w:tcBorders>
              <w:top w:val="nil"/>
              <w:left w:val="nil"/>
              <w:bottom w:val="nil"/>
              <w:right w:val="nil"/>
            </w:tcBorders>
            <w:shd w:val="clear" w:color="000000" w:fill="FFFFFF"/>
            <w:noWrap/>
            <w:vAlign w:val="bottom"/>
          </w:tcPr>
          <w:p w14:paraId="06B4A40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0A"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0B"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0C"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0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15" w14:textId="77777777">
        <w:trPr>
          <w:trHeight w:val="675"/>
        </w:trPr>
        <w:tc>
          <w:tcPr>
            <w:tcW w:w="2835" w:type="dxa"/>
            <w:tcBorders>
              <w:top w:val="nil"/>
              <w:left w:val="nil"/>
              <w:bottom w:val="nil"/>
              <w:right w:val="nil"/>
            </w:tcBorders>
            <w:shd w:val="clear" w:color="000000" w:fill="FFFFFF"/>
            <w:noWrap/>
            <w:vAlign w:val="bottom"/>
          </w:tcPr>
          <w:p w14:paraId="06B4A40F"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Variables</w:t>
            </w:r>
          </w:p>
        </w:tc>
        <w:tc>
          <w:tcPr>
            <w:tcW w:w="1122" w:type="dxa"/>
            <w:tcBorders>
              <w:top w:val="nil"/>
              <w:left w:val="nil"/>
              <w:bottom w:val="nil"/>
              <w:right w:val="nil"/>
            </w:tcBorders>
            <w:shd w:val="clear" w:color="000000" w:fill="FFFFFF"/>
            <w:noWrap/>
            <w:vAlign w:val="bottom"/>
          </w:tcPr>
          <w:p w14:paraId="06B4A410"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Cambios en variables (%)</w:t>
            </w:r>
          </w:p>
        </w:tc>
        <w:tc>
          <w:tcPr>
            <w:tcW w:w="1146" w:type="dxa"/>
            <w:tcBorders>
              <w:top w:val="nil"/>
              <w:left w:val="nil"/>
              <w:bottom w:val="nil"/>
              <w:right w:val="nil"/>
            </w:tcBorders>
            <w:shd w:val="clear" w:color="000000" w:fill="FFFFFF"/>
            <w:noWrap/>
            <w:vAlign w:val="bottom"/>
          </w:tcPr>
          <w:p w14:paraId="06B4A41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brutos</w:t>
            </w:r>
          </w:p>
        </w:tc>
        <w:tc>
          <w:tcPr>
            <w:tcW w:w="1276" w:type="dxa"/>
            <w:tcBorders>
              <w:top w:val="nil"/>
              <w:left w:val="nil"/>
              <w:bottom w:val="nil"/>
              <w:right w:val="nil"/>
            </w:tcBorders>
            <w:shd w:val="clear" w:color="000000" w:fill="FFFFFF"/>
            <w:noWrap/>
            <w:vAlign w:val="bottom"/>
          </w:tcPr>
          <w:p w14:paraId="06B4A412"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netos</w:t>
            </w:r>
          </w:p>
        </w:tc>
        <w:tc>
          <w:tcPr>
            <w:tcW w:w="1701" w:type="dxa"/>
            <w:tcBorders>
              <w:top w:val="nil"/>
              <w:left w:val="nil"/>
              <w:bottom w:val="nil"/>
              <w:right w:val="nil"/>
            </w:tcBorders>
            <w:shd w:val="clear" w:color="000000" w:fill="FFFFFF"/>
            <w:noWrap/>
            <w:vAlign w:val="bottom"/>
          </w:tcPr>
          <w:p w14:paraId="06B4A413"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resultados antes de impuestos</w:t>
            </w:r>
          </w:p>
        </w:tc>
        <w:tc>
          <w:tcPr>
            <w:tcW w:w="992" w:type="dxa"/>
            <w:tcBorders>
              <w:top w:val="nil"/>
              <w:left w:val="nil"/>
              <w:bottom w:val="nil"/>
              <w:right w:val="nil"/>
            </w:tcBorders>
            <w:shd w:val="clear" w:color="000000" w:fill="FFFFFF"/>
            <w:noWrap/>
            <w:vAlign w:val="bottom"/>
          </w:tcPr>
          <w:p w14:paraId="06B4A414"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patrimonio</w:t>
            </w:r>
          </w:p>
        </w:tc>
      </w:tr>
      <w:tr w:rsidR="00A658D0" w14:paraId="06B4A41C" w14:textId="77777777">
        <w:trPr>
          <w:trHeight w:val="300"/>
        </w:trPr>
        <w:tc>
          <w:tcPr>
            <w:tcW w:w="2835" w:type="dxa"/>
            <w:tcBorders>
              <w:top w:val="nil"/>
              <w:left w:val="nil"/>
              <w:bottom w:val="nil"/>
              <w:right w:val="nil"/>
            </w:tcBorders>
            <w:shd w:val="clear" w:color="000000" w:fill="FFFFFF"/>
            <w:noWrap/>
            <w:vAlign w:val="bottom"/>
          </w:tcPr>
          <w:p w14:paraId="06B4A41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1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18"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276" w:type="dxa"/>
            <w:tcBorders>
              <w:top w:val="nil"/>
              <w:left w:val="nil"/>
              <w:bottom w:val="nil"/>
              <w:right w:val="nil"/>
            </w:tcBorders>
            <w:shd w:val="clear" w:color="000000" w:fill="FFFFFF"/>
            <w:noWrap/>
            <w:vAlign w:val="bottom"/>
          </w:tcPr>
          <w:p w14:paraId="06B4A419"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1701" w:type="dxa"/>
            <w:tcBorders>
              <w:top w:val="nil"/>
              <w:left w:val="nil"/>
              <w:bottom w:val="nil"/>
              <w:right w:val="nil"/>
            </w:tcBorders>
            <w:shd w:val="clear" w:color="000000" w:fill="FFFFFF"/>
            <w:noWrap/>
            <w:vAlign w:val="bottom"/>
          </w:tcPr>
          <w:p w14:paraId="06B4A41A"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c>
          <w:tcPr>
            <w:tcW w:w="992" w:type="dxa"/>
            <w:tcBorders>
              <w:top w:val="nil"/>
              <w:left w:val="nil"/>
              <w:bottom w:val="nil"/>
              <w:right w:val="nil"/>
            </w:tcBorders>
            <w:shd w:val="clear" w:color="000000" w:fill="FFFFFF"/>
            <w:noWrap/>
            <w:vAlign w:val="bottom"/>
          </w:tcPr>
          <w:p w14:paraId="06B4A41B"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S/. 000</w:t>
            </w:r>
          </w:p>
        </w:tc>
      </w:tr>
      <w:tr w:rsidR="00A658D0" w14:paraId="06B4A423" w14:textId="77777777">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4A41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Tabla de mortalidad</w:t>
            </w:r>
          </w:p>
        </w:tc>
        <w:tc>
          <w:tcPr>
            <w:tcW w:w="1122" w:type="dxa"/>
            <w:tcBorders>
              <w:top w:val="single" w:sz="4" w:space="0" w:color="auto"/>
              <w:left w:val="nil"/>
              <w:bottom w:val="single" w:sz="4" w:space="0" w:color="auto"/>
              <w:right w:val="single" w:sz="4" w:space="0" w:color="auto"/>
            </w:tcBorders>
            <w:shd w:val="clear" w:color="000000" w:fill="FFFFFF"/>
            <w:noWrap/>
            <w:vAlign w:val="bottom"/>
          </w:tcPr>
          <w:p w14:paraId="06B4A41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single" w:sz="4" w:space="0" w:color="auto"/>
              <w:left w:val="nil"/>
              <w:bottom w:val="single" w:sz="4" w:space="0" w:color="auto"/>
              <w:right w:val="single" w:sz="4" w:space="0" w:color="auto"/>
            </w:tcBorders>
            <w:shd w:val="clear" w:color="000000" w:fill="FFFFFF"/>
            <w:noWrap/>
            <w:vAlign w:val="bottom"/>
          </w:tcPr>
          <w:p w14:paraId="06B4A41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6B4A420"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6B4A421"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4A422"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2A"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42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Tasa de interés</w:t>
            </w:r>
          </w:p>
        </w:tc>
        <w:tc>
          <w:tcPr>
            <w:tcW w:w="1122" w:type="dxa"/>
            <w:tcBorders>
              <w:top w:val="nil"/>
              <w:left w:val="nil"/>
              <w:bottom w:val="single" w:sz="4" w:space="0" w:color="auto"/>
              <w:right w:val="single" w:sz="4" w:space="0" w:color="auto"/>
            </w:tcBorders>
            <w:shd w:val="clear" w:color="000000" w:fill="FFFFFF"/>
            <w:noWrap/>
            <w:vAlign w:val="bottom"/>
          </w:tcPr>
          <w:p w14:paraId="06B4A42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single" w:sz="4" w:space="0" w:color="auto"/>
              <w:right w:val="single" w:sz="4" w:space="0" w:color="auto"/>
            </w:tcBorders>
            <w:shd w:val="clear" w:color="000000" w:fill="FFFFFF"/>
            <w:noWrap/>
            <w:vAlign w:val="bottom"/>
          </w:tcPr>
          <w:p w14:paraId="06B4A426"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427"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428"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429"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31" w14:textId="77777777">
        <w:trPr>
          <w:trHeight w:val="300"/>
        </w:trPr>
        <w:tc>
          <w:tcPr>
            <w:tcW w:w="2835" w:type="dxa"/>
            <w:tcBorders>
              <w:top w:val="nil"/>
              <w:left w:val="nil"/>
              <w:bottom w:val="nil"/>
              <w:right w:val="nil"/>
            </w:tcBorders>
            <w:shd w:val="clear" w:color="000000" w:fill="FFFFFF"/>
            <w:noWrap/>
            <w:vAlign w:val="bottom"/>
          </w:tcPr>
          <w:p w14:paraId="06B4A42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2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2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2E"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2F"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30"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 </w:t>
            </w:r>
          </w:p>
        </w:tc>
      </w:tr>
    </w:tbl>
    <w:p w14:paraId="06B4A432" w14:textId="77777777" w:rsidR="00A658D0" w:rsidRDefault="00A658D0"/>
    <w:p w14:paraId="06B4A433" w14:textId="77777777" w:rsidR="00A658D0" w:rsidRDefault="00000000">
      <w:r>
        <w:br w:type="page"/>
      </w:r>
    </w:p>
    <w:tbl>
      <w:tblPr>
        <w:tblW w:w="9072" w:type="dxa"/>
        <w:tblInd w:w="70" w:type="dxa"/>
        <w:tblCellMar>
          <w:left w:w="70" w:type="dxa"/>
          <w:right w:w="70" w:type="dxa"/>
        </w:tblCellMar>
        <w:tblLook w:val="04A0" w:firstRow="1" w:lastRow="0" w:firstColumn="1" w:lastColumn="0" w:noHBand="0" w:noVBand="1"/>
      </w:tblPr>
      <w:tblGrid>
        <w:gridCol w:w="2835"/>
        <w:gridCol w:w="1122"/>
        <w:gridCol w:w="1146"/>
        <w:gridCol w:w="1276"/>
        <w:gridCol w:w="1701"/>
        <w:gridCol w:w="992"/>
      </w:tblGrid>
      <w:tr w:rsidR="00A658D0" w14:paraId="06B4A43A" w14:textId="77777777">
        <w:trPr>
          <w:trHeight w:val="300"/>
        </w:trPr>
        <w:tc>
          <w:tcPr>
            <w:tcW w:w="2835" w:type="dxa"/>
            <w:tcBorders>
              <w:top w:val="nil"/>
              <w:left w:val="nil"/>
              <w:bottom w:val="nil"/>
              <w:right w:val="nil"/>
            </w:tcBorders>
            <w:shd w:val="clear" w:color="000000" w:fill="FFFFFF"/>
            <w:noWrap/>
            <w:vAlign w:val="bottom"/>
          </w:tcPr>
          <w:p w14:paraId="06B4A434"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lastRenderedPageBreak/>
              <w:t xml:space="preserve">ANALISIS DE SENSIBILIDAD </w:t>
            </w:r>
          </w:p>
        </w:tc>
        <w:tc>
          <w:tcPr>
            <w:tcW w:w="1122" w:type="dxa"/>
            <w:tcBorders>
              <w:top w:val="nil"/>
              <w:left w:val="nil"/>
              <w:bottom w:val="nil"/>
              <w:right w:val="nil"/>
            </w:tcBorders>
            <w:shd w:val="clear" w:color="000000" w:fill="FFFFFF"/>
            <w:noWrap/>
            <w:vAlign w:val="bottom"/>
          </w:tcPr>
          <w:p w14:paraId="06B4A43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3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3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3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3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41" w14:textId="77777777">
        <w:trPr>
          <w:trHeight w:val="300"/>
        </w:trPr>
        <w:tc>
          <w:tcPr>
            <w:tcW w:w="2835" w:type="dxa"/>
            <w:tcBorders>
              <w:top w:val="nil"/>
              <w:left w:val="nil"/>
              <w:bottom w:val="nil"/>
              <w:right w:val="nil"/>
            </w:tcBorders>
            <w:shd w:val="clear" w:color="000000" w:fill="FFFFFF"/>
            <w:noWrap/>
            <w:vAlign w:val="bottom"/>
          </w:tcPr>
          <w:p w14:paraId="06B4A43B"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3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3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3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3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4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bl>
    <w:p w14:paraId="06B4A442" w14:textId="77777777" w:rsidR="00A658D0" w:rsidRDefault="00000000">
      <w:pPr>
        <w:tabs>
          <w:tab w:val="left" w:pos="4027"/>
          <w:tab w:val="left" w:pos="5173"/>
          <w:tab w:val="left" w:pos="6449"/>
          <w:tab w:val="left" w:pos="8150"/>
        </w:tabs>
        <w:ind w:left="70"/>
        <w:rPr>
          <w:rFonts w:ascii="Arial Narrow" w:hAnsi="Arial Narrow"/>
          <w:color w:val="000000"/>
          <w:sz w:val="18"/>
          <w:szCs w:val="18"/>
          <w:lang w:eastAsia="es-PE"/>
        </w:rPr>
      </w:pPr>
      <w:r>
        <w:rPr>
          <w:rFonts w:ascii="Arial Narrow" w:hAnsi="Arial Narrow"/>
          <w:b/>
          <w:bCs/>
          <w:color w:val="000000"/>
          <w:sz w:val="18"/>
          <w:szCs w:val="18"/>
          <w:lang w:eastAsia="es-PE"/>
        </w:rPr>
        <w:t>CONTRATOS DE SEGUROS GENERALES</w:t>
      </w:r>
      <w:r>
        <w:rPr>
          <w:rFonts w:ascii="Arial Narrow" w:hAnsi="Arial Narrow"/>
          <w:b/>
          <w:bCs/>
          <w:color w:val="000000"/>
          <w:sz w:val="18"/>
          <w:szCs w:val="18"/>
          <w:lang w:eastAsia="es-PE"/>
        </w:rPr>
        <w:tab/>
      </w:r>
      <w:r>
        <w:rPr>
          <w:rFonts w:ascii="Arial Narrow" w:hAnsi="Arial Narrow"/>
          <w:color w:val="000000"/>
          <w:sz w:val="18"/>
          <w:szCs w:val="18"/>
          <w:lang w:eastAsia="es-PE"/>
        </w:rPr>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p>
    <w:p w14:paraId="06B4A443" w14:textId="77777777" w:rsidR="00A658D0" w:rsidRDefault="00000000">
      <w:pPr>
        <w:tabs>
          <w:tab w:val="left" w:pos="2905"/>
          <w:tab w:val="left" w:pos="4027"/>
          <w:tab w:val="left" w:pos="5173"/>
          <w:tab w:val="left" w:pos="6449"/>
          <w:tab w:val="left" w:pos="8150"/>
        </w:tabs>
        <w:ind w:left="70"/>
        <w:rPr>
          <w:rFonts w:ascii="Arial Narrow" w:hAnsi="Arial Narrow"/>
          <w:color w:val="000000"/>
          <w:sz w:val="18"/>
          <w:szCs w:val="18"/>
          <w:lang w:eastAsia="es-PE"/>
        </w:rPr>
      </w:pPr>
      <w:r>
        <w:rPr>
          <w:rFonts w:ascii="Arial Narrow" w:hAnsi="Arial Narrow"/>
          <w:b/>
          <w:bCs/>
          <w:color w:val="000000"/>
          <w:sz w:val="18"/>
          <w:szCs w:val="18"/>
          <w:lang w:eastAsia="es-PE"/>
        </w:rPr>
        <w:t xml:space="preserve">Al 31 de </w:t>
      </w:r>
      <w:proofErr w:type="gramStart"/>
      <w:r>
        <w:rPr>
          <w:rFonts w:ascii="Arial Narrow" w:hAnsi="Arial Narrow"/>
          <w:b/>
          <w:bCs/>
          <w:color w:val="000000"/>
          <w:sz w:val="18"/>
          <w:szCs w:val="18"/>
          <w:lang w:eastAsia="es-PE"/>
        </w:rPr>
        <w:t>Diciembre</w:t>
      </w:r>
      <w:proofErr w:type="gramEnd"/>
      <w:r>
        <w:rPr>
          <w:rFonts w:ascii="Arial Narrow" w:hAnsi="Arial Narrow"/>
          <w:b/>
          <w:bCs/>
          <w:color w:val="000000"/>
          <w:sz w:val="18"/>
          <w:szCs w:val="18"/>
          <w:lang w:eastAsia="es-PE"/>
        </w:rPr>
        <w:t xml:space="preserve"> de 20X2</w:t>
      </w:r>
      <w:r>
        <w:rPr>
          <w:rFonts w:ascii="Arial Narrow" w:hAnsi="Arial Narrow"/>
          <w:b/>
          <w:bCs/>
          <w:color w:val="000000"/>
          <w:sz w:val="18"/>
          <w:szCs w:val="18"/>
          <w:lang w:eastAsia="es-PE"/>
        </w:rPr>
        <w:tab/>
      </w:r>
      <w:r>
        <w:rPr>
          <w:rFonts w:ascii="Arial Narrow" w:hAnsi="Arial Narrow"/>
          <w:color w:val="000000"/>
          <w:sz w:val="18"/>
          <w:szCs w:val="18"/>
          <w:lang w:eastAsia="es-PE"/>
        </w:rPr>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r>
        <w:rPr>
          <w:rFonts w:ascii="Arial Narrow" w:hAnsi="Arial Narrow"/>
          <w:color w:val="000000"/>
          <w:sz w:val="18"/>
          <w:szCs w:val="18"/>
          <w:lang w:eastAsia="es-PE"/>
        </w:rPr>
        <w:tab/>
        <w:t> </w:t>
      </w:r>
    </w:p>
    <w:tbl>
      <w:tblPr>
        <w:tblW w:w="9072" w:type="dxa"/>
        <w:tblInd w:w="70" w:type="dxa"/>
        <w:tblCellMar>
          <w:left w:w="70" w:type="dxa"/>
          <w:right w:w="70" w:type="dxa"/>
        </w:tblCellMar>
        <w:tblLook w:val="04A0" w:firstRow="1" w:lastRow="0" w:firstColumn="1" w:lastColumn="0" w:noHBand="0" w:noVBand="1"/>
      </w:tblPr>
      <w:tblGrid>
        <w:gridCol w:w="2835"/>
        <w:gridCol w:w="1122"/>
        <w:gridCol w:w="1146"/>
        <w:gridCol w:w="1276"/>
        <w:gridCol w:w="1701"/>
        <w:gridCol w:w="992"/>
      </w:tblGrid>
      <w:tr w:rsidR="00A658D0" w14:paraId="06B4A44A" w14:textId="77777777">
        <w:trPr>
          <w:trHeight w:val="540"/>
        </w:trPr>
        <w:tc>
          <w:tcPr>
            <w:tcW w:w="2835" w:type="dxa"/>
            <w:tcBorders>
              <w:top w:val="nil"/>
              <w:left w:val="nil"/>
              <w:bottom w:val="nil"/>
              <w:right w:val="nil"/>
            </w:tcBorders>
            <w:shd w:val="clear" w:color="000000" w:fill="FFFFFF"/>
            <w:noWrap/>
            <w:vAlign w:val="bottom"/>
          </w:tcPr>
          <w:p w14:paraId="06B4A44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45"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Cambios en las variables</w:t>
            </w:r>
          </w:p>
        </w:tc>
        <w:tc>
          <w:tcPr>
            <w:tcW w:w="1146" w:type="dxa"/>
            <w:tcBorders>
              <w:top w:val="nil"/>
              <w:left w:val="nil"/>
              <w:bottom w:val="nil"/>
              <w:right w:val="nil"/>
            </w:tcBorders>
            <w:shd w:val="clear" w:color="000000" w:fill="FFFFFF"/>
            <w:noWrap/>
            <w:vAlign w:val="bottom"/>
          </w:tcPr>
          <w:p w14:paraId="06B4A446"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brutos</w:t>
            </w:r>
          </w:p>
        </w:tc>
        <w:tc>
          <w:tcPr>
            <w:tcW w:w="1276" w:type="dxa"/>
            <w:tcBorders>
              <w:top w:val="nil"/>
              <w:left w:val="nil"/>
              <w:bottom w:val="nil"/>
              <w:right w:val="nil"/>
            </w:tcBorders>
            <w:shd w:val="clear" w:color="000000" w:fill="FFFFFF"/>
            <w:noWrap/>
            <w:vAlign w:val="bottom"/>
          </w:tcPr>
          <w:p w14:paraId="06B4A447"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netos</w:t>
            </w:r>
          </w:p>
        </w:tc>
        <w:tc>
          <w:tcPr>
            <w:tcW w:w="1701" w:type="dxa"/>
            <w:tcBorders>
              <w:top w:val="nil"/>
              <w:left w:val="nil"/>
              <w:bottom w:val="nil"/>
              <w:right w:val="nil"/>
            </w:tcBorders>
            <w:shd w:val="clear" w:color="000000" w:fill="FFFFFF"/>
            <w:noWrap/>
            <w:vAlign w:val="bottom"/>
          </w:tcPr>
          <w:p w14:paraId="06B4A448"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resultados antes de impuestos</w:t>
            </w:r>
          </w:p>
        </w:tc>
        <w:tc>
          <w:tcPr>
            <w:tcW w:w="992" w:type="dxa"/>
            <w:tcBorders>
              <w:top w:val="nil"/>
              <w:left w:val="nil"/>
              <w:bottom w:val="nil"/>
              <w:right w:val="nil"/>
            </w:tcBorders>
            <w:shd w:val="clear" w:color="000000" w:fill="FFFFFF"/>
            <w:noWrap/>
            <w:vAlign w:val="bottom"/>
          </w:tcPr>
          <w:p w14:paraId="06B4A449"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patrimonio</w:t>
            </w:r>
          </w:p>
        </w:tc>
      </w:tr>
      <w:tr w:rsidR="00A658D0" w14:paraId="06B4A451" w14:textId="77777777">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4A44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Costo promedio de reclamos</w:t>
            </w:r>
          </w:p>
        </w:tc>
        <w:tc>
          <w:tcPr>
            <w:tcW w:w="1122" w:type="dxa"/>
            <w:tcBorders>
              <w:top w:val="single" w:sz="4" w:space="0" w:color="auto"/>
              <w:left w:val="nil"/>
              <w:bottom w:val="single" w:sz="4" w:space="0" w:color="auto"/>
              <w:right w:val="single" w:sz="4" w:space="0" w:color="auto"/>
            </w:tcBorders>
            <w:shd w:val="clear" w:color="000000" w:fill="FFFFFF"/>
            <w:noWrap/>
            <w:vAlign w:val="bottom"/>
          </w:tcPr>
          <w:p w14:paraId="06B4A44C"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w:t>
            </w:r>
          </w:p>
        </w:tc>
        <w:tc>
          <w:tcPr>
            <w:tcW w:w="1146" w:type="dxa"/>
            <w:tcBorders>
              <w:top w:val="single" w:sz="4" w:space="0" w:color="auto"/>
              <w:left w:val="nil"/>
              <w:bottom w:val="single" w:sz="4" w:space="0" w:color="auto"/>
              <w:right w:val="single" w:sz="4" w:space="0" w:color="auto"/>
            </w:tcBorders>
            <w:shd w:val="clear" w:color="000000" w:fill="FFFFFF"/>
            <w:noWrap/>
            <w:vAlign w:val="bottom"/>
          </w:tcPr>
          <w:p w14:paraId="06B4A44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6B4A44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6B4A44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4A45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58"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45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Número promedio de reclamos</w:t>
            </w:r>
          </w:p>
        </w:tc>
        <w:tc>
          <w:tcPr>
            <w:tcW w:w="1122" w:type="dxa"/>
            <w:tcBorders>
              <w:top w:val="nil"/>
              <w:left w:val="nil"/>
              <w:bottom w:val="single" w:sz="4" w:space="0" w:color="auto"/>
              <w:right w:val="single" w:sz="4" w:space="0" w:color="auto"/>
            </w:tcBorders>
            <w:shd w:val="clear" w:color="000000" w:fill="FFFFFF"/>
            <w:noWrap/>
            <w:vAlign w:val="bottom"/>
          </w:tcPr>
          <w:p w14:paraId="06B4A453"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w:t>
            </w:r>
          </w:p>
        </w:tc>
        <w:tc>
          <w:tcPr>
            <w:tcW w:w="1146" w:type="dxa"/>
            <w:tcBorders>
              <w:top w:val="nil"/>
              <w:left w:val="nil"/>
              <w:bottom w:val="single" w:sz="4" w:space="0" w:color="auto"/>
              <w:right w:val="single" w:sz="4" w:space="0" w:color="auto"/>
            </w:tcBorders>
            <w:shd w:val="clear" w:color="000000" w:fill="FFFFFF"/>
            <w:noWrap/>
            <w:vAlign w:val="bottom"/>
          </w:tcPr>
          <w:p w14:paraId="06B4A45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45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45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45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5F"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45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Periodo promedio de liquidación de siniestros</w:t>
            </w:r>
          </w:p>
        </w:tc>
        <w:tc>
          <w:tcPr>
            <w:tcW w:w="1122" w:type="dxa"/>
            <w:tcBorders>
              <w:top w:val="nil"/>
              <w:left w:val="nil"/>
              <w:bottom w:val="single" w:sz="4" w:space="0" w:color="auto"/>
              <w:right w:val="single" w:sz="4" w:space="0" w:color="auto"/>
            </w:tcBorders>
            <w:shd w:val="clear" w:color="000000" w:fill="FFFFFF"/>
            <w:noWrap/>
            <w:vAlign w:val="bottom"/>
          </w:tcPr>
          <w:p w14:paraId="06B4A45A"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(1)</w:t>
            </w:r>
          </w:p>
        </w:tc>
        <w:tc>
          <w:tcPr>
            <w:tcW w:w="1146" w:type="dxa"/>
            <w:tcBorders>
              <w:top w:val="nil"/>
              <w:left w:val="nil"/>
              <w:bottom w:val="single" w:sz="4" w:space="0" w:color="auto"/>
              <w:right w:val="single" w:sz="4" w:space="0" w:color="auto"/>
            </w:tcBorders>
            <w:shd w:val="clear" w:color="000000" w:fill="FFFFFF"/>
            <w:noWrap/>
            <w:vAlign w:val="bottom"/>
          </w:tcPr>
          <w:p w14:paraId="06B4A45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45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45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45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66" w14:textId="77777777">
        <w:trPr>
          <w:trHeight w:val="300"/>
        </w:trPr>
        <w:tc>
          <w:tcPr>
            <w:tcW w:w="2835" w:type="dxa"/>
            <w:tcBorders>
              <w:top w:val="nil"/>
              <w:left w:val="nil"/>
              <w:bottom w:val="nil"/>
              <w:right w:val="nil"/>
            </w:tcBorders>
            <w:shd w:val="clear" w:color="000000" w:fill="FFFFFF"/>
            <w:noWrap/>
            <w:vAlign w:val="bottom"/>
          </w:tcPr>
          <w:p w14:paraId="06B4A46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6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6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6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6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6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6D" w14:textId="77777777">
        <w:trPr>
          <w:trHeight w:val="300"/>
        </w:trPr>
        <w:tc>
          <w:tcPr>
            <w:tcW w:w="2835" w:type="dxa"/>
            <w:tcBorders>
              <w:top w:val="nil"/>
              <w:left w:val="nil"/>
              <w:bottom w:val="nil"/>
              <w:right w:val="nil"/>
            </w:tcBorders>
            <w:shd w:val="clear" w:color="000000" w:fill="FFFFFF"/>
            <w:noWrap/>
            <w:vAlign w:val="bottom"/>
          </w:tcPr>
          <w:p w14:paraId="06B4A467" w14:textId="77777777" w:rsidR="00A658D0" w:rsidRDefault="00000000">
            <w:pPr>
              <w:rPr>
                <w:rFonts w:ascii="Arial Narrow" w:hAnsi="Arial Narrow"/>
                <w:b/>
                <w:bCs/>
                <w:color w:val="000000"/>
                <w:sz w:val="18"/>
                <w:szCs w:val="18"/>
                <w:lang w:eastAsia="es-PE"/>
              </w:rPr>
            </w:pPr>
            <w:r>
              <w:rPr>
                <w:rFonts w:ascii="Arial Narrow" w:hAnsi="Arial Narrow"/>
                <w:b/>
                <w:bCs/>
                <w:color w:val="000000"/>
                <w:sz w:val="18"/>
                <w:szCs w:val="18"/>
                <w:lang w:eastAsia="es-PE"/>
              </w:rPr>
              <w:t xml:space="preserve">Al 31 de </w:t>
            </w:r>
            <w:proofErr w:type="gramStart"/>
            <w:r>
              <w:rPr>
                <w:rFonts w:ascii="Arial Narrow" w:hAnsi="Arial Narrow"/>
                <w:b/>
                <w:bCs/>
                <w:color w:val="000000"/>
                <w:sz w:val="18"/>
                <w:szCs w:val="18"/>
                <w:lang w:eastAsia="es-PE"/>
              </w:rPr>
              <w:t>Diciembre</w:t>
            </w:r>
            <w:proofErr w:type="gramEnd"/>
            <w:r>
              <w:rPr>
                <w:rFonts w:ascii="Arial Narrow" w:hAnsi="Arial Narrow"/>
                <w:b/>
                <w:bCs/>
                <w:color w:val="000000"/>
                <w:sz w:val="18"/>
                <w:szCs w:val="18"/>
                <w:lang w:eastAsia="es-PE"/>
              </w:rPr>
              <w:t xml:space="preserve"> de 20X1</w:t>
            </w:r>
          </w:p>
        </w:tc>
        <w:tc>
          <w:tcPr>
            <w:tcW w:w="1122" w:type="dxa"/>
            <w:tcBorders>
              <w:top w:val="nil"/>
              <w:left w:val="nil"/>
              <w:bottom w:val="nil"/>
              <w:right w:val="nil"/>
            </w:tcBorders>
            <w:shd w:val="clear" w:color="000000" w:fill="FFFFFF"/>
            <w:noWrap/>
            <w:vAlign w:val="bottom"/>
          </w:tcPr>
          <w:p w14:paraId="06B4A46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6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6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6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6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74" w14:textId="77777777">
        <w:trPr>
          <w:trHeight w:val="540"/>
        </w:trPr>
        <w:tc>
          <w:tcPr>
            <w:tcW w:w="2835" w:type="dxa"/>
            <w:tcBorders>
              <w:top w:val="nil"/>
              <w:left w:val="nil"/>
              <w:bottom w:val="nil"/>
              <w:right w:val="nil"/>
            </w:tcBorders>
            <w:shd w:val="clear" w:color="000000" w:fill="FFFFFF"/>
            <w:noWrap/>
            <w:vAlign w:val="bottom"/>
          </w:tcPr>
          <w:p w14:paraId="06B4A46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6F"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Cambios en las variables</w:t>
            </w:r>
          </w:p>
        </w:tc>
        <w:tc>
          <w:tcPr>
            <w:tcW w:w="1146" w:type="dxa"/>
            <w:tcBorders>
              <w:top w:val="nil"/>
              <w:left w:val="nil"/>
              <w:bottom w:val="nil"/>
              <w:right w:val="nil"/>
            </w:tcBorders>
            <w:shd w:val="clear" w:color="000000" w:fill="FFFFFF"/>
            <w:noWrap/>
            <w:vAlign w:val="bottom"/>
          </w:tcPr>
          <w:p w14:paraId="06B4A470"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brutos</w:t>
            </w:r>
          </w:p>
        </w:tc>
        <w:tc>
          <w:tcPr>
            <w:tcW w:w="1276" w:type="dxa"/>
            <w:tcBorders>
              <w:top w:val="nil"/>
              <w:left w:val="nil"/>
              <w:bottom w:val="nil"/>
              <w:right w:val="nil"/>
            </w:tcBorders>
            <w:shd w:val="clear" w:color="000000" w:fill="FFFFFF"/>
            <w:noWrap/>
            <w:vAlign w:val="bottom"/>
          </w:tcPr>
          <w:p w14:paraId="06B4A471"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pasivos netos</w:t>
            </w:r>
          </w:p>
        </w:tc>
        <w:tc>
          <w:tcPr>
            <w:tcW w:w="1701" w:type="dxa"/>
            <w:tcBorders>
              <w:top w:val="nil"/>
              <w:left w:val="nil"/>
              <w:bottom w:val="nil"/>
              <w:right w:val="nil"/>
            </w:tcBorders>
            <w:shd w:val="clear" w:color="000000" w:fill="FFFFFF"/>
            <w:noWrap/>
            <w:vAlign w:val="bottom"/>
          </w:tcPr>
          <w:p w14:paraId="06B4A472"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resultados antes de impuestos</w:t>
            </w:r>
          </w:p>
        </w:tc>
        <w:tc>
          <w:tcPr>
            <w:tcW w:w="992" w:type="dxa"/>
            <w:tcBorders>
              <w:top w:val="nil"/>
              <w:left w:val="nil"/>
              <w:bottom w:val="nil"/>
              <w:right w:val="nil"/>
            </w:tcBorders>
            <w:shd w:val="clear" w:color="000000" w:fill="FFFFFF"/>
            <w:noWrap/>
            <w:vAlign w:val="bottom"/>
          </w:tcPr>
          <w:p w14:paraId="06B4A473" w14:textId="77777777" w:rsidR="00A658D0" w:rsidRDefault="00000000">
            <w:pPr>
              <w:jc w:val="center"/>
              <w:rPr>
                <w:rFonts w:ascii="Arial Narrow" w:hAnsi="Arial Narrow"/>
                <w:b/>
                <w:bCs/>
                <w:color w:val="000000"/>
                <w:sz w:val="18"/>
                <w:szCs w:val="18"/>
                <w:lang w:eastAsia="es-PE"/>
              </w:rPr>
            </w:pPr>
            <w:r>
              <w:rPr>
                <w:rFonts w:ascii="Arial Narrow" w:hAnsi="Arial Narrow"/>
                <w:b/>
                <w:bCs/>
                <w:color w:val="000000"/>
                <w:sz w:val="18"/>
                <w:szCs w:val="18"/>
                <w:lang w:eastAsia="es-PE"/>
              </w:rPr>
              <w:t>Impacto en patrimonio</w:t>
            </w:r>
          </w:p>
        </w:tc>
      </w:tr>
      <w:tr w:rsidR="00A658D0" w14:paraId="06B4A47B" w14:textId="77777777">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4A47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Costo promedio de reclamos</w:t>
            </w:r>
          </w:p>
        </w:tc>
        <w:tc>
          <w:tcPr>
            <w:tcW w:w="1122" w:type="dxa"/>
            <w:tcBorders>
              <w:top w:val="single" w:sz="4" w:space="0" w:color="auto"/>
              <w:left w:val="nil"/>
              <w:bottom w:val="single" w:sz="4" w:space="0" w:color="auto"/>
              <w:right w:val="single" w:sz="4" w:space="0" w:color="auto"/>
            </w:tcBorders>
            <w:shd w:val="clear" w:color="000000" w:fill="FFFFFF"/>
            <w:noWrap/>
            <w:vAlign w:val="bottom"/>
          </w:tcPr>
          <w:p w14:paraId="06B4A476"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w:t>
            </w:r>
          </w:p>
        </w:tc>
        <w:tc>
          <w:tcPr>
            <w:tcW w:w="1146" w:type="dxa"/>
            <w:tcBorders>
              <w:top w:val="single" w:sz="4" w:space="0" w:color="auto"/>
              <w:left w:val="nil"/>
              <w:bottom w:val="single" w:sz="4" w:space="0" w:color="auto"/>
              <w:right w:val="single" w:sz="4" w:space="0" w:color="auto"/>
            </w:tcBorders>
            <w:shd w:val="clear" w:color="000000" w:fill="FFFFFF"/>
            <w:noWrap/>
            <w:vAlign w:val="bottom"/>
          </w:tcPr>
          <w:p w14:paraId="06B4A47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6B4A47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6B4A479"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4A47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82"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47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Número promedio de reclamos</w:t>
            </w:r>
          </w:p>
        </w:tc>
        <w:tc>
          <w:tcPr>
            <w:tcW w:w="1122" w:type="dxa"/>
            <w:tcBorders>
              <w:top w:val="nil"/>
              <w:left w:val="nil"/>
              <w:bottom w:val="single" w:sz="4" w:space="0" w:color="auto"/>
              <w:right w:val="single" w:sz="4" w:space="0" w:color="auto"/>
            </w:tcBorders>
            <w:shd w:val="clear" w:color="000000" w:fill="FFFFFF"/>
            <w:noWrap/>
            <w:vAlign w:val="bottom"/>
          </w:tcPr>
          <w:p w14:paraId="06B4A47D"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w:t>
            </w:r>
          </w:p>
        </w:tc>
        <w:tc>
          <w:tcPr>
            <w:tcW w:w="1146" w:type="dxa"/>
            <w:tcBorders>
              <w:top w:val="nil"/>
              <w:left w:val="nil"/>
              <w:bottom w:val="single" w:sz="4" w:space="0" w:color="auto"/>
              <w:right w:val="single" w:sz="4" w:space="0" w:color="auto"/>
            </w:tcBorders>
            <w:shd w:val="clear" w:color="000000" w:fill="FFFFFF"/>
            <w:noWrap/>
            <w:vAlign w:val="bottom"/>
          </w:tcPr>
          <w:p w14:paraId="06B4A47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47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480"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48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89" w14:textId="77777777">
        <w:trPr>
          <w:trHeight w:val="300"/>
        </w:trPr>
        <w:tc>
          <w:tcPr>
            <w:tcW w:w="2835" w:type="dxa"/>
            <w:tcBorders>
              <w:top w:val="nil"/>
              <w:left w:val="single" w:sz="4" w:space="0" w:color="auto"/>
              <w:bottom w:val="single" w:sz="4" w:space="0" w:color="auto"/>
              <w:right w:val="single" w:sz="4" w:space="0" w:color="auto"/>
            </w:tcBorders>
            <w:shd w:val="clear" w:color="000000" w:fill="FFFFFF"/>
            <w:noWrap/>
            <w:vAlign w:val="bottom"/>
          </w:tcPr>
          <w:p w14:paraId="06B4A48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Periodo promedio de liquidación de siniestros</w:t>
            </w:r>
          </w:p>
        </w:tc>
        <w:tc>
          <w:tcPr>
            <w:tcW w:w="1122" w:type="dxa"/>
            <w:tcBorders>
              <w:top w:val="nil"/>
              <w:left w:val="nil"/>
              <w:bottom w:val="single" w:sz="4" w:space="0" w:color="auto"/>
              <w:right w:val="single" w:sz="4" w:space="0" w:color="auto"/>
            </w:tcBorders>
            <w:shd w:val="clear" w:color="000000" w:fill="FFFFFF"/>
            <w:noWrap/>
            <w:vAlign w:val="bottom"/>
          </w:tcPr>
          <w:p w14:paraId="06B4A484" w14:textId="77777777" w:rsidR="00A658D0" w:rsidRDefault="00000000">
            <w:pPr>
              <w:jc w:val="center"/>
              <w:rPr>
                <w:rFonts w:ascii="Arial Narrow" w:hAnsi="Arial Narrow"/>
                <w:color w:val="000000"/>
                <w:sz w:val="18"/>
                <w:szCs w:val="18"/>
                <w:lang w:eastAsia="es-PE"/>
              </w:rPr>
            </w:pPr>
            <w:r>
              <w:rPr>
                <w:rFonts w:ascii="Arial Narrow" w:hAnsi="Arial Narrow"/>
                <w:color w:val="000000"/>
                <w:sz w:val="18"/>
                <w:szCs w:val="18"/>
                <w:lang w:eastAsia="es-PE"/>
              </w:rPr>
              <w:t>(1)</w:t>
            </w:r>
          </w:p>
        </w:tc>
        <w:tc>
          <w:tcPr>
            <w:tcW w:w="1146" w:type="dxa"/>
            <w:tcBorders>
              <w:top w:val="nil"/>
              <w:left w:val="nil"/>
              <w:bottom w:val="single" w:sz="4" w:space="0" w:color="auto"/>
              <w:right w:val="single" w:sz="4" w:space="0" w:color="auto"/>
            </w:tcBorders>
            <w:shd w:val="clear" w:color="000000" w:fill="FFFFFF"/>
            <w:noWrap/>
            <w:vAlign w:val="bottom"/>
          </w:tcPr>
          <w:p w14:paraId="06B4A485"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single" w:sz="4" w:space="0" w:color="auto"/>
              <w:right w:val="single" w:sz="4" w:space="0" w:color="auto"/>
            </w:tcBorders>
            <w:shd w:val="clear" w:color="000000" w:fill="FFFFFF"/>
            <w:noWrap/>
            <w:vAlign w:val="bottom"/>
          </w:tcPr>
          <w:p w14:paraId="06B4A486"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single" w:sz="4" w:space="0" w:color="auto"/>
              <w:right w:val="single" w:sz="4" w:space="0" w:color="auto"/>
            </w:tcBorders>
            <w:shd w:val="clear" w:color="000000" w:fill="FFFFFF"/>
            <w:noWrap/>
            <w:vAlign w:val="bottom"/>
          </w:tcPr>
          <w:p w14:paraId="06B4A487"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single" w:sz="4" w:space="0" w:color="auto"/>
              <w:right w:val="single" w:sz="4" w:space="0" w:color="auto"/>
            </w:tcBorders>
            <w:shd w:val="clear" w:color="000000" w:fill="FFFFFF"/>
            <w:noWrap/>
            <w:vAlign w:val="bottom"/>
          </w:tcPr>
          <w:p w14:paraId="06B4A488"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90" w14:textId="77777777">
        <w:trPr>
          <w:trHeight w:val="300"/>
        </w:trPr>
        <w:tc>
          <w:tcPr>
            <w:tcW w:w="2835" w:type="dxa"/>
            <w:tcBorders>
              <w:top w:val="nil"/>
              <w:left w:val="nil"/>
              <w:bottom w:val="nil"/>
              <w:right w:val="nil"/>
            </w:tcBorders>
            <w:shd w:val="clear" w:color="000000" w:fill="FFFFFF"/>
            <w:noWrap/>
            <w:vAlign w:val="bottom"/>
          </w:tcPr>
          <w:p w14:paraId="06B4A48A"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22" w:type="dxa"/>
            <w:tcBorders>
              <w:top w:val="nil"/>
              <w:left w:val="nil"/>
              <w:bottom w:val="nil"/>
              <w:right w:val="nil"/>
            </w:tcBorders>
            <w:shd w:val="clear" w:color="000000" w:fill="FFFFFF"/>
            <w:noWrap/>
            <w:vAlign w:val="bottom"/>
          </w:tcPr>
          <w:p w14:paraId="06B4A48B"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146" w:type="dxa"/>
            <w:tcBorders>
              <w:top w:val="nil"/>
              <w:left w:val="nil"/>
              <w:bottom w:val="nil"/>
              <w:right w:val="nil"/>
            </w:tcBorders>
            <w:shd w:val="clear" w:color="000000" w:fill="FFFFFF"/>
            <w:noWrap/>
            <w:vAlign w:val="bottom"/>
          </w:tcPr>
          <w:p w14:paraId="06B4A48C"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276" w:type="dxa"/>
            <w:tcBorders>
              <w:top w:val="nil"/>
              <w:left w:val="nil"/>
              <w:bottom w:val="nil"/>
              <w:right w:val="nil"/>
            </w:tcBorders>
            <w:shd w:val="clear" w:color="000000" w:fill="FFFFFF"/>
            <w:noWrap/>
            <w:vAlign w:val="bottom"/>
          </w:tcPr>
          <w:p w14:paraId="06B4A48D"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8E"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8F"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r w:rsidR="00A658D0" w14:paraId="06B4A495" w14:textId="77777777">
        <w:trPr>
          <w:trHeight w:val="300"/>
        </w:trPr>
        <w:tc>
          <w:tcPr>
            <w:tcW w:w="5103" w:type="dxa"/>
            <w:gridSpan w:val="3"/>
            <w:tcBorders>
              <w:top w:val="nil"/>
              <w:left w:val="nil"/>
              <w:bottom w:val="nil"/>
              <w:right w:val="nil"/>
            </w:tcBorders>
            <w:shd w:val="clear" w:color="000000" w:fill="FFFFFF"/>
            <w:noWrap/>
            <w:vAlign w:val="bottom"/>
          </w:tcPr>
          <w:p w14:paraId="06B4A491"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(1) Cambio (reducción) en el número promedio de meses de liquidación de siniestros</w:t>
            </w:r>
          </w:p>
        </w:tc>
        <w:tc>
          <w:tcPr>
            <w:tcW w:w="1276" w:type="dxa"/>
            <w:tcBorders>
              <w:top w:val="nil"/>
              <w:left w:val="nil"/>
              <w:bottom w:val="nil"/>
              <w:right w:val="nil"/>
            </w:tcBorders>
            <w:shd w:val="clear" w:color="000000" w:fill="FFFFFF"/>
            <w:noWrap/>
            <w:vAlign w:val="bottom"/>
          </w:tcPr>
          <w:p w14:paraId="06B4A492"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1701" w:type="dxa"/>
            <w:tcBorders>
              <w:top w:val="nil"/>
              <w:left w:val="nil"/>
              <w:bottom w:val="nil"/>
              <w:right w:val="nil"/>
            </w:tcBorders>
            <w:shd w:val="clear" w:color="000000" w:fill="FFFFFF"/>
            <w:noWrap/>
            <w:vAlign w:val="bottom"/>
          </w:tcPr>
          <w:p w14:paraId="06B4A493"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c>
          <w:tcPr>
            <w:tcW w:w="992" w:type="dxa"/>
            <w:tcBorders>
              <w:top w:val="nil"/>
              <w:left w:val="nil"/>
              <w:bottom w:val="nil"/>
              <w:right w:val="nil"/>
            </w:tcBorders>
            <w:shd w:val="clear" w:color="000000" w:fill="FFFFFF"/>
            <w:noWrap/>
            <w:vAlign w:val="bottom"/>
          </w:tcPr>
          <w:p w14:paraId="06B4A494" w14:textId="77777777" w:rsidR="00A658D0" w:rsidRDefault="00000000">
            <w:pPr>
              <w:rPr>
                <w:rFonts w:ascii="Arial Narrow" w:hAnsi="Arial Narrow"/>
                <w:color w:val="000000"/>
                <w:sz w:val="18"/>
                <w:szCs w:val="18"/>
                <w:lang w:eastAsia="es-PE"/>
              </w:rPr>
            </w:pPr>
            <w:r>
              <w:rPr>
                <w:rFonts w:ascii="Arial Narrow" w:hAnsi="Arial Narrow"/>
                <w:color w:val="000000"/>
                <w:sz w:val="18"/>
                <w:szCs w:val="18"/>
                <w:lang w:eastAsia="es-PE"/>
              </w:rPr>
              <w:t> </w:t>
            </w:r>
          </w:p>
        </w:tc>
      </w:tr>
    </w:tbl>
    <w:p w14:paraId="06B4A496" w14:textId="77777777" w:rsidR="00A658D0" w:rsidRDefault="00A658D0"/>
    <w:p w14:paraId="06B4A497" w14:textId="77777777" w:rsidR="00A658D0" w:rsidRDefault="00000000">
      <w:pPr>
        <w:jc w:val="right"/>
        <w:rPr>
          <w:rFonts w:ascii="Arial Narrow" w:hAnsi="Arial Narrow"/>
          <w:b/>
          <w:sz w:val="22"/>
          <w:szCs w:val="22"/>
        </w:rPr>
      </w:pPr>
      <w:r>
        <w:br w:type="page"/>
      </w:r>
      <w:r>
        <w:rPr>
          <w:rFonts w:ascii="Arial Narrow" w:hAnsi="Arial Narrow"/>
          <w:b/>
          <w:sz w:val="22"/>
          <w:szCs w:val="22"/>
        </w:rPr>
        <w:lastRenderedPageBreak/>
        <w:t>ANEXO 5</w:t>
      </w:r>
    </w:p>
    <w:p w14:paraId="06B4A498" w14:textId="77777777" w:rsidR="00A658D0" w:rsidRDefault="00A658D0">
      <w:pPr>
        <w:jc w:val="right"/>
        <w:rPr>
          <w:sz w:val="22"/>
          <w:szCs w:val="22"/>
        </w:rPr>
      </w:pPr>
    </w:p>
    <w:p w14:paraId="06B4A499" w14:textId="77777777" w:rsidR="00A658D0" w:rsidRDefault="00000000">
      <w:pPr>
        <w:jc w:val="center"/>
        <w:rPr>
          <w:rFonts w:ascii="Arial Narrow" w:hAnsi="Arial Narrow"/>
          <w:b/>
          <w:bCs/>
          <w:sz w:val="22"/>
          <w:szCs w:val="22"/>
          <w:lang w:eastAsia="es-PE"/>
        </w:rPr>
      </w:pPr>
      <w:r>
        <w:rPr>
          <w:rFonts w:ascii="Arial Narrow" w:hAnsi="Arial Narrow"/>
          <w:b/>
          <w:bCs/>
          <w:sz w:val="22"/>
          <w:szCs w:val="22"/>
          <w:lang w:eastAsia="es-PE"/>
        </w:rPr>
        <w:t xml:space="preserve">NOTA REFERIDA A LA CONCENTRACIÓN DE RIESGOS DE </w:t>
      </w:r>
    </w:p>
    <w:p w14:paraId="06B4A49A" w14:textId="77777777" w:rsidR="00A658D0" w:rsidRDefault="00000000">
      <w:pPr>
        <w:jc w:val="center"/>
        <w:rPr>
          <w:rFonts w:ascii="Arial Narrow" w:hAnsi="Arial Narrow"/>
          <w:b/>
          <w:bCs/>
          <w:sz w:val="24"/>
          <w:szCs w:val="24"/>
          <w:lang w:eastAsia="es-PE"/>
        </w:rPr>
      </w:pPr>
      <w:r>
        <w:rPr>
          <w:rFonts w:ascii="Arial Narrow" w:hAnsi="Arial Narrow"/>
          <w:b/>
          <w:bCs/>
          <w:sz w:val="22"/>
          <w:szCs w:val="22"/>
          <w:lang w:eastAsia="es-PE"/>
        </w:rPr>
        <w:t>SEGUROS GENERALES POR ÁREA GEOGRÁFICA</w:t>
      </w:r>
    </w:p>
    <w:tbl>
      <w:tblPr>
        <w:tblW w:w="9073" w:type="dxa"/>
        <w:tblInd w:w="70" w:type="dxa"/>
        <w:tblCellMar>
          <w:left w:w="70" w:type="dxa"/>
          <w:right w:w="70" w:type="dxa"/>
        </w:tblCellMar>
        <w:tblLook w:val="04A0" w:firstRow="1" w:lastRow="0" w:firstColumn="1" w:lastColumn="0" w:noHBand="0" w:noVBand="1"/>
      </w:tblPr>
      <w:tblGrid>
        <w:gridCol w:w="1985"/>
        <w:gridCol w:w="1134"/>
        <w:gridCol w:w="1276"/>
        <w:gridCol w:w="992"/>
        <w:gridCol w:w="291"/>
        <w:gridCol w:w="985"/>
        <w:gridCol w:w="1276"/>
        <w:gridCol w:w="1134"/>
      </w:tblGrid>
      <w:tr w:rsidR="00A658D0" w14:paraId="06B4A4A3" w14:textId="77777777">
        <w:trPr>
          <w:trHeight w:val="300"/>
        </w:trPr>
        <w:tc>
          <w:tcPr>
            <w:tcW w:w="1985" w:type="dxa"/>
            <w:tcBorders>
              <w:top w:val="nil"/>
              <w:left w:val="nil"/>
              <w:bottom w:val="nil"/>
              <w:right w:val="nil"/>
            </w:tcBorders>
            <w:shd w:val="clear" w:color="000000" w:fill="FFFFFF"/>
            <w:noWrap/>
            <w:vAlign w:val="bottom"/>
          </w:tcPr>
          <w:p w14:paraId="06B4A49B" w14:textId="77777777" w:rsidR="00A658D0" w:rsidRDefault="00000000">
            <w:pPr>
              <w:rPr>
                <w:rFonts w:ascii="Arial Narrow" w:hAnsi="Arial Narrow"/>
                <w:b/>
                <w:bCs/>
                <w:color w:val="000000"/>
                <w:lang w:eastAsia="es-PE"/>
              </w:rPr>
            </w:pPr>
            <w:r>
              <w:rPr>
                <w:rFonts w:ascii="Arial Narrow" w:hAnsi="Arial Narrow"/>
                <w:b/>
                <w:bCs/>
                <w:color w:val="000000"/>
                <w:lang w:eastAsia="es-PE"/>
              </w:rPr>
              <w:t> </w:t>
            </w:r>
          </w:p>
        </w:tc>
        <w:tc>
          <w:tcPr>
            <w:tcW w:w="1134" w:type="dxa"/>
            <w:tcBorders>
              <w:top w:val="nil"/>
              <w:left w:val="nil"/>
              <w:bottom w:val="nil"/>
              <w:right w:val="nil"/>
            </w:tcBorders>
            <w:shd w:val="clear" w:color="000000" w:fill="FFFFFF"/>
            <w:noWrap/>
            <w:vAlign w:val="center"/>
          </w:tcPr>
          <w:p w14:paraId="06B4A49C"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nil"/>
            </w:tcBorders>
            <w:shd w:val="clear" w:color="000000" w:fill="FFFFFF"/>
            <w:noWrap/>
            <w:vAlign w:val="center"/>
          </w:tcPr>
          <w:p w14:paraId="06B4A49D"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nil"/>
            </w:tcBorders>
            <w:shd w:val="clear" w:color="000000" w:fill="FFFFFF"/>
            <w:noWrap/>
            <w:vAlign w:val="bottom"/>
          </w:tcPr>
          <w:p w14:paraId="06B4A49E"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9F"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nil"/>
              <w:bottom w:val="nil"/>
              <w:right w:val="nil"/>
            </w:tcBorders>
            <w:shd w:val="clear" w:color="000000" w:fill="FFFFFF"/>
            <w:noWrap/>
            <w:vAlign w:val="bottom"/>
          </w:tcPr>
          <w:p w14:paraId="06B4A4A0"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nil"/>
            </w:tcBorders>
            <w:shd w:val="clear" w:color="000000" w:fill="FFFFFF"/>
            <w:noWrap/>
            <w:vAlign w:val="bottom"/>
          </w:tcPr>
          <w:p w14:paraId="06B4A4A1"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nil"/>
            </w:tcBorders>
            <w:shd w:val="clear" w:color="000000" w:fill="FFFFFF"/>
            <w:noWrap/>
            <w:vAlign w:val="bottom"/>
          </w:tcPr>
          <w:p w14:paraId="06B4A4A2"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4A8" w14:textId="77777777">
        <w:trPr>
          <w:trHeight w:val="300"/>
        </w:trPr>
        <w:tc>
          <w:tcPr>
            <w:tcW w:w="1985" w:type="dxa"/>
            <w:tcBorders>
              <w:top w:val="nil"/>
              <w:left w:val="nil"/>
              <w:bottom w:val="nil"/>
              <w:right w:val="nil"/>
            </w:tcBorders>
            <w:shd w:val="clear" w:color="000000" w:fill="FFFFFF"/>
            <w:noWrap/>
            <w:vAlign w:val="bottom"/>
          </w:tcPr>
          <w:p w14:paraId="06B4A4A4" w14:textId="77777777" w:rsidR="00A658D0" w:rsidRDefault="00000000">
            <w:pPr>
              <w:rPr>
                <w:rFonts w:ascii="Arial Narrow" w:hAnsi="Arial Narrow"/>
                <w:b/>
                <w:bCs/>
                <w:color w:val="000000"/>
                <w:lang w:eastAsia="es-PE"/>
              </w:rPr>
            </w:pPr>
            <w:r>
              <w:rPr>
                <w:rFonts w:ascii="Arial Narrow" w:hAnsi="Arial Narrow"/>
                <w:b/>
                <w:bCs/>
                <w:color w:val="000000"/>
                <w:lang w:eastAsia="es-PE"/>
              </w:rPr>
              <w:t> </w:t>
            </w:r>
          </w:p>
        </w:tc>
        <w:tc>
          <w:tcPr>
            <w:tcW w:w="3402" w:type="dxa"/>
            <w:gridSpan w:val="3"/>
            <w:tcBorders>
              <w:top w:val="single" w:sz="4" w:space="0" w:color="auto"/>
              <w:left w:val="single" w:sz="4" w:space="0" w:color="auto"/>
              <w:bottom w:val="single" w:sz="4" w:space="0" w:color="000000"/>
              <w:right w:val="single" w:sz="4" w:space="0" w:color="000000"/>
            </w:tcBorders>
            <w:shd w:val="clear" w:color="000000" w:fill="FFFFFF"/>
            <w:noWrap/>
            <w:vAlign w:val="center"/>
          </w:tcPr>
          <w:p w14:paraId="06B4A4A5"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Periodo 1</w:t>
            </w:r>
          </w:p>
        </w:tc>
        <w:tc>
          <w:tcPr>
            <w:tcW w:w="291" w:type="dxa"/>
            <w:tcBorders>
              <w:top w:val="nil"/>
              <w:left w:val="nil"/>
              <w:bottom w:val="nil"/>
              <w:right w:val="nil"/>
            </w:tcBorders>
            <w:shd w:val="clear" w:color="000000" w:fill="FFFFFF"/>
            <w:noWrap/>
            <w:vAlign w:val="center"/>
          </w:tcPr>
          <w:p w14:paraId="06B4A4A6"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339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tcPr>
          <w:p w14:paraId="06B4A4A7"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Periodo 0</w:t>
            </w:r>
          </w:p>
        </w:tc>
      </w:tr>
      <w:tr w:rsidR="00A658D0" w14:paraId="06B4A4B1" w14:textId="77777777">
        <w:trPr>
          <w:trHeight w:val="510"/>
        </w:trPr>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06B4A4A9" w14:textId="77777777" w:rsidR="00A658D0" w:rsidRDefault="00000000">
            <w:pPr>
              <w:rPr>
                <w:rFonts w:ascii="Arial Narrow" w:hAnsi="Arial Narrow"/>
                <w:b/>
                <w:bCs/>
                <w:color w:val="000000"/>
                <w:lang w:eastAsia="es-PE"/>
              </w:rPr>
            </w:pPr>
            <w:r>
              <w:rPr>
                <w:rFonts w:ascii="Arial Narrow" w:hAnsi="Arial Narrow"/>
                <w:b/>
                <w:bCs/>
                <w:color w:val="000000"/>
                <w:lang w:eastAsia="es-PE"/>
              </w:rPr>
              <w:t xml:space="preserve">Ubicación Geográfica </w:t>
            </w:r>
          </w:p>
        </w:tc>
        <w:tc>
          <w:tcPr>
            <w:tcW w:w="1134" w:type="dxa"/>
            <w:tcBorders>
              <w:top w:val="nil"/>
              <w:left w:val="nil"/>
              <w:bottom w:val="nil"/>
              <w:right w:val="single" w:sz="4" w:space="0" w:color="auto"/>
            </w:tcBorders>
            <w:shd w:val="clear" w:color="000000" w:fill="FFFFFF"/>
            <w:vAlign w:val="center"/>
          </w:tcPr>
          <w:p w14:paraId="06B4A4AA"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Brutos</w:t>
            </w:r>
          </w:p>
        </w:tc>
        <w:tc>
          <w:tcPr>
            <w:tcW w:w="1276" w:type="dxa"/>
            <w:tcBorders>
              <w:top w:val="nil"/>
              <w:left w:val="nil"/>
              <w:bottom w:val="nil"/>
              <w:right w:val="single" w:sz="4" w:space="0" w:color="auto"/>
            </w:tcBorders>
            <w:shd w:val="clear" w:color="000000" w:fill="FFFFFF"/>
            <w:vAlign w:val="center"/>
          </w:tcPr>
          <w:p w14:paraId="06B4A4AB"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Reaseguro de Pasivos</w:t>
            </w:r>
          </w:p>
        </w:tc>
        <w:tc>
          <w:tcPr>
            <w:tcW w:w="992" w:type="dxa"/>
            <w:tcBorders>
              <w:top w:val="nil"/>
              <w:left w:val="nil"/>
              <w:bottom w:val="nil"/>
              <w:right w:val="single" w:sz="4" w:space="0" w:color="auto"/>
            </w:tcBorders>
            <w:shd w:val="clear" w:color="000000" w:fill="FFFFFF"/>
            <w:vAlign w:val="center"/>
          </w:tcPr>
          <w:p w14:paraId="06B4A4AC"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Netos</w:t>
            </w:r>
          </w:p>
        </w:tc>
        <w:tc>
          <w:tcPr>
            <w:tcW w:w="291" w:type="dxa"/>
            <w:tcBorders>
              <w:top w:val="nil"/>
              <w:left w:val="nil"/>
              <w:bottom w:val="nil"/>
              <w:right w:val="nil"/>
            </w:tcBorders>
            <w:shd w:val="clear" w:color="000000" w:fill="FFFFFF"/>
            <w:vAlign w:val="center"/>
          </w:tcPr>
          <w:p w14:paraId="06B4A4AD"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85" w:type="dxa"/>
            <w:tcBorders>
              <w:top w:val="nil"/>
              <w:left w:val="single" w:sz="4" w:space="0" w:color="auto"/>
              <w:bottom w:val="nil"/>
              <w:right w:val="single" w:sz="4" w:space="0" w:color="auto"/>
            </w:tcBorders>
            <w:shd w:val="clear" w:color="000000" w:fill="FFFFFF"/>
            <w:vAlign w:val="center"/>
          </w:tcPr>
          <w:p w14:paraId="06B4A4AE"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Brutos</w:t>
            </w:r>
          </w:p>
        </w:tc>
        <w:tc>
          <w:tcPr>
            <w:tcW w:w="1276" w:type="dxa"/>
            <w:tcBorders>
              <w:top w:val="nil"/>
              <w:left w:val="nil"/>
              <w:bottom w:val="nil"/>
              <w:right w:val="single" w:sz="4" w:space="0" w:color="auto"/>
            </w:tcBorders>
            <w:shd w:val="clear" w:color="000000" w:fill="FFFFFF"/>
            <w:vAlign w:val="center"/>
          </w:tcPr>
          <w:p w14:paraId="06B4A4AF"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Reaseguro de Pasivos</w:t>
            </w:r>
          </w:p>
        </w:tc>
        <w:tc>
          <w:tcPr>
            <w:tcW w:w="1134" w:type="dxa"/>
            <w:tcBorders>
              <w:top w:val="nil"/>
              <w:left w:val="nil"/>
              <w:bottom w:val="nil"/>
              <w:right w:val="single" w:sz="4" w:space="0" w:color="auto"/>
            </w:tcBorders>
            <w:shd w:val="clear" w:color="000000" w:fill="FFFFFF"/>
            <w:vAlign w:val="center"/>
          </w:tcPr>
          <w:p w14:paraId="06B4A4B0"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Netos</w:t>
            </w:r>
          </w:p>
        </w:tc>
      </w:tr>
      <w:tr w:rsidR="00A658D0" w14:paraId="06B4A4BA" w14:textId="77777777">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tcPr>
          <w:p w14:paraId="06B4A4B2" w14:textId="77777777" w:rsidR="00A658D0" w:rsidRDefault="00A658D0">
            <w:pPr>
              <w:rPr>
                <w:rFonts w:ascii="Arial Narrow" w:hAnsi="Arial Narrow"/>
                <w:b/>
                <w:bCs/>
                <w:color w:val="000000"/>
                <w:lang w:eastAsia="es-PE"/>
              </w:rPr>
            </w:pPr>
          </w:p>
        </w:tc>
        <w:tc>
          <w:tcPr>
            <w:tcW w:w="1134" w:type="dxa"/>
            <w:tcBorders>
              <w:top w:val="nil"/>
              <w:left w:val="nil"/>
              <w:bottom w:val="single" w:sz="4" w:space="0" w:color="auto"/>
              <w:right w:val="single" w:sz="4" w:space="0" w:color="auto"/>
            </w:tcBorders>
            <w:shd w:val="clear" w:color="000000" w:fill="FFFFFF"/>
            <w:noWrap/>
            <w:vAlign w:val="center"/>
          </w:tcPr>
          <w:p w14:paraId="06B4A4B3"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1276" w:type="dxa"/>
            <w:tcBorders>
              <w:top w:val="nil"/>
              <w:left w:val="nil"/>
              <w:bottom w:val="single" w:sz="4" w:space="0" w:color="auto"/>
              <w:right w:val="single" w:sz="4" w:space="0" w:color="auto"/>
            </w:tcBorders>
            <w:shd w:val="clear" w:color="000000" w:fill="FFFFFF"/>
            <w:noWrap/>
            <w:vAlign w:val="center"/>
          </w:tcPr>
          <w:p w14:paraId="06B4A4B4"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992" w:type="dxa"/>
            <w:tcBorders>
              <w:top w:val="nil"/>
              <w:left w:val="nil"/>
              <w:bottom w:val="single" w:sz="4" w:space="0" w:color="auto"/>
              <w:right w:val="single" w:sz="4" w:space="0" w:color="auto"/>
            </w:tcBorders>
            <w:shd w:val="clear" w:color="000000" w:fill="FFFFFF"/>
            <w:noWrap/>
            <w:vAlign w:val="center"/>
          </w:tcPr>
          <w:p w14:paraId="06B4A4B5"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291" w:type="dxa"/>
            <w:tcBorders>
              <w:top w:val="nil"/>
              <w:left w:val="nil"/>
              <w:bottom w:val="nil"/>
              <w:right w:val="nil"/>
            </w:tcBorders>
            <w:shd w:val="clear" w:color="000000" w:fill="FFFFFF"/>
            <w:noWrap/>
            <w:vAlign w:val="center"/>
          </w:tcPr>
          <w:p w14:paraId="06B4A4B6"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85" w:type="dxa"/>
            <w:tcBorders>
              <w:top w:val="nil"/>
              <w:left w:val="single" w:sz="4" w:space="0" w:color="auto"/>
              <w:bottom w:val="single" w:sz="4" w:space="0" w:color="auto"/>
              <w:right w:val="single" w:sz="4" w:space="0" w:color="auto"/>
            </w:tcBorders>
            <w:shd w:val="clear" w:color="000000" w:fill="FFFFFF"/>
            <w:noWrap/>
            <w:vAlign w:val="center"/>
          </w:tcPr>
          <w:p w14:paraId="06B4A4B7"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1276" w:type="dxa"/>
            <w:tcBorders>
              <w:top w:val="nil"/>
              <w:left w:val="nil"/>
              <w:bottom w:val="single" w:sz="4" w:space="0" w:color="auto"/>
              <w:right w:val="single" w:sz="4" w:space="0" w:color="auto"/>
            </w:tcBorders>
            <w:shd w:val="clear" w:color="000000" w:fill="FFFFFF"/>
            <w:noWrap/>
            <w:vAlign w:val="center"/>
          </w:tcPr>
          <w:p w14:paraId="06B4A4B8"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1134" w:type="dxa"/>
            <w:tcBorders>
              <w:top w:val="nil"/>
              <w:left w:val="nil"/>
              <w:bottom w:val="single" w:sz="4" w:space="0" w:color="auto"/>
              <w:right w:val="single" w:sz="4" w:space="0" w:color="auto"/>
            </w:tcBorders>
            <w:shd w:val="clear" w:color="000000" w:fill="FFFFFF"/>
            <w:noWrap/>
            <w:vAlign w:val="center"/>
          </w:tcPr>
          <w:p w14:paraId="06B4A4B9"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r>
      <w:tr w:rsidR="00A658D0" w14:paraId="06B4A4C3" w14:textId="77777777">
        <w:trPr>
          <w:trHeight w:val="300"/>
        </w:trPr>
        <w:tc>
          <w:tcPr>
            <w:tcW w:w="1985" w:type="dxa"/>
            <w:tcBorders>
              <w:top w:val="nil"/>
              <w:left w:val="single" w:sz="4" w:space="0" w:color="auto"/>
              <w:bottom w:val="nil"/>
              <w:right w:val="nil"/>
            </w:tcBorders>
            <w:shd w:val="clear" w:color="000000" w:fill="FFFFFF"/>
            <w:vAlign w:val="center"/>
          </w:tcPr>
          <w:p w14:paraId="06B4A4BB" w14:textId="77777777" w:rsidR="00A658D0" w:rsidRDefault="00000000">
            <w:pPr>
              <w:rPr>
                <w:rFonts w:ascii="Arial Narrow" w:hAnsi="Arial Narrow"/>
                <w:b/>
                <w:bCs/>
                <w:color w:val="000000"/>
                <w:lang w:eastAsia="es-PE"/>
              </w:rPr>
            </w:pPr>
            <w:r>
              <w:rPr>
                <w:rFonts w:ascii="Arial Narrow" w:hAnsi="Arial Narrow"/>
                <w:b/>
                <w:bCs/>
                <w:color w:val="000000"/>
                <w:lang w:eastAsia="es-PE"/>
              </w:rPr>
              <w:t>Nacional</w:t>
            </w:r>
          </w:p>
        </w:tc>
        <w:tc>
          <w:tcPr>
            <w:tcW w:w="1134" w:type="dxa"/>
            <w:tcBorders>
              <w:top w:val="nil"/>
              <w:left w:val="single" w:sz="4" w:space="0" w:color="auto"/>
              <w:bottom w:val="nil"/>
              <w:right w:val="single" w:sz="4" w:space="0" w:color="auto"/>
            </w:tcBorders>
            <w:shd w:val="clear" w:color="000000" w:fill="FFFFFF"/>
            <w:noWrap/>
            <w:vAlign w:val="center"/>
          </w:tcPr>
          <w:p w14:paraId="06B4A4BC"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BD"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92" w:type="dxa"/>
            <w:tcBorders>
              <w:top w:val="nil"/>
              <w:left w:val="nil"/>
              <w:bottom w:val="nil"/>
              <w:right w:val="single" w:sz="4" w:space="0" w:color="auto"/>
            </w:tcBorders>
            <w:shd w:val="clear" w:color="000000" w:fill="FFFFFF"/>
            <w:noWrap/>
            <w:vAlign w:val="center"/>
          </w:tcPr>
          <w:p w14:paraId="06B4A4BE"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291" w:type="dxa"/>
            <w:tcBorders>
              <w:top w:val="nil"/>
              <w:left w:val="nil"/>
              <w:bottom w:val="nil"/>
              <w:right w:val="nil"/>
            </w:tcBorders>
            <w:shd w:val="clear" w:color="000000" w:fill="FFFFFF"/>
            <w:noWrap/>
            <w:vAlign w:val="center"/>
          </w:tcPr>
          <w:p w14:paraId="06B4A4BF"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center"/>
          </w:tcPr>
          <w:p w14:paraId="06B4A4C0"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C1"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1134" w:type="dxa"/>
            <w:tcBorders>
              <w:top w:val="nil"/>
              <w:left w:val="nil"/>
              <w:bottom w:val="nil"/>
              <w:right w:val="single" w:sz="4" w:space="0" w:color="auto"/>
            </w:tcBorders>
            <w:shd w:val="clear" w:color="000000" w:fill="FFFFFF"/>
            <w:noWrap/>
            <w:vAlign w:val="center"/>
          </w:tcPr>
          <w:p w14:paraId="06B4A4C2"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r>
      <w:tr w:rsidR="00A658D0" w14:paraId="06B4A4CC" w14:textId="77777777">
        <w:trPr>
          <w:trHeight w:val="300"/>
        </w:trPr>
        <w:tc>
          <w:tcPr>
            <w:tcW w:w="1985" w:type="dxa"/>
            <w:tcBorders>
              <w:top w:val="nil"/>
              <w:left w:val="single" w:sz="4" w:space="0" w:color="auto"/>
              <w:bottom w:val="nil"/>
              <w:right w:val="nil"/>
            </w:tcBorders>
            <w:shd w:val="clear" w:color="000000" w:fill="FFFFFF"/>
            <w:noWrap/>
            <w:vAlign w:val="bottom"/>
          </w:tcPr>
          <w:p w14:paraId="06B4A4C4"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Norte</w:t>
            </w:r>
          </w:p>
        </w:tc>
        <w:tc>
          <w:tcPr>
            <w:tcW w:w="1134" w:type="dxa"/>
            <w:tcBorders>
              <w:top w:val="nil"/>
              <w:left w:val="single" w:sz="4" w:space="0" w:color="auto"/>
              <w:bottom w:val="nil"/>
              <w:right w:val="single" w:sz="4" w:space="0" w:color="auto"/>
            </w:tcBorders>
            <w:shd w:val="clear" w:color="000000" w:fill="FFFFFF"/>
            <w:noWrap/>
            <w:vAlign w:val="center"/>
          </w:tcPr>
          <w:p w14:paraId="06B4A4C5"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C6"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4C7"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C8"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4C9"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4CA"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4CB"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4D5" w14:textId="77777777">
        <w:trPr>
          <w:trHeight w:val="300"/>
        </w:trPr>
        <w:tc>
          <w:tcPr>
            <w:tcW w:w="1985" w:type="dxa"/>
            <w:tcBorders>
              <w:top w:val="nil"/>
              <w:left w:val="single" w:sz="4" w:space="0" w:color="auto"/>
              <w:bottom w:val="nil"/>
              <w:right w:val="nil"/>
            </w:tcBorders>
            <w:shd w:val="clear" w:color="000000" w:fill="FFFFFF"/>
            <w:noWrap/>
            <w:vAlign w:val="bottom"/>
          </w:tcPr>
          <w:p w14:paraId="06B4A4CD"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 xml:space="preserve">Centro </w:t>
            </w:r>
          </w:p>
        </w:tc>
        <w:tc>
          <w:tcPr>
            <w:tcW w:w="1134" w:type="dxa"/>
            <w:tcBorders>
              <w:top w:val="nil"/>
              <w:left w:val="single" w:sz="4" w:space="0" w:color="auto"/>
              <w:bottom w:val="nil"/>
              <w:right w:val="single" w:sz="4" w:space="0" w:color="auto"/>
            </w:tcBorders>
            <w:shd w:val="clear" w:color="000000" w:fill="FFFFFF"/>
            <w:noWrap/>
            <w:vAlign w:val="center"/>
          </w:tcPr>
          <w:p w14:paraId="06B4A4CE"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CF"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4D0"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D1"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4D2"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4D3"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4D4"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4DE" w14:textId="77777777">
        <w:trPr>
          <w:trHeight w:val="300"/>
        </w:trPr>
        <w:tc>
          <w:tcPr>
            <w:tcW w:w="1985" w:type="dxa"/>
            <w:tcBorders>
              <w:top w:val="nil"/>
              <w:left w:val="single" w:sz="4" w:space="0" w:color="auto"/>
              <w:bottom w:val="nil"/>
              <w:right w:val="nil"/>
            </w:tcBorders>
            <w:shd w:val="clear" w:color="000000" w:fill="FFFFFF"/>
            <w:noWrap/>
            <w:vAlign w:val="bottom"/>
          </w:tcPr>
          <w:p w14:paraId="06B4A4D6"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Oriente</w:t>
            </w:r>
          </w:p>
        </w:tc>
        <w:tc>
          <w:tcPr>
            <w:tcW w:w="1134" w:type="dxa"/>
            <w:tcBorders>
              <w:top w:val="nil"/>
              <w:left w:val="single" w:sz="4" w:space="0" w:color="auto"/>
              <w:bottom w:val="nil"/>
              <w:right w:val="single" w:sz="4" w:space="0" w:color="auto"/>
            </w:tcBorders>
            <w:shd w:val="clear" w:color="000000" w:fill="FFFFFF"/>
            <w:noWrap/>
            <w:vAlign w:val="center"/>
          </w:tcPr>
          <w:p w14:paraId="06B4A4D7"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D8"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4D9"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DA"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4DB"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4DC"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4DD"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4E7" w14:textId="77777777">
        <w:trPr>
          <w:trHeight w:val="300"/>
        </w:trPr>
        <w:tc>
          <w:tcPr>
            <w:tcW w:w="1985" w:type="dxa"/>
            <w:tcBorders>
              <w:top w:val="nil"/>
              <w:left w:val="single" w:sz="4" w:space="0" w:color="auto"/>
              <w:bottom w:val="nil"/>
              <w:right w:val="nil"/>
            </w:tcBorders>
            <w:shd w:val="clear" w:color="000000" w:fill="FFFFFF"/>
            <w:noWrap/>
            <w:vAlign w:val="bottom"/>
          </w:tcPr>
          <w:p w14:paraId="06B4A4DF"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Sur</w:t>
            </w:r>
          </w:p>
        </w:tc>
        <w:tc>
          <w:tcPr>
            <w:tcW w:w="1134" w:type="dxa"/>
            <w:tcBorders>
              <w:top w:val="nil"/>
              <w:left w:val="single" w:sz="4" w:space="0" w:color="auto"/>
              <w:bottom w:val="nil"/>
              <w:right w:val="single" w:sz="4" w:space="0" w:color="auto"/>
            </w:tcBorders>
            <w:shd w:val="clear" w:color="000000" w:fill="FFFFFF"/>
            <w:noWrap/>
            <w:vAlign w:val="center"/>
          </w:tcPr>
          <w:p w14:paraId="06B4A4E0"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E1"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4E2"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E3"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4E4"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4E5"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4E6"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4F0" w14:textId="77777777">
        <w:trPr>
          <w:trHeight w:val="300"/>
        </w:trPr>
        <w:tc>
          <w:tcPr>
            <w:tcW w:w="1985" w:type="dxa"/>
            <w:tcBorders>
              <w:top w:val="nil"/>
              <w:left w:val="single" w:sz="4" w:space="0" w:color="auto"/>
              <w:bottom w:val="nil"/>
              <w:right w:val="nil"/>
            </w:tcBorders>
            <w:shd w:val="clear" w:color="000000" w:fill="FFFFFF"/>
            <w:noWrap/>
            <w:vAlign w:val="bottom"/>
          </w:tcPr>
          <w:p w14:paraId="06B4A4E8" w14:textId="77777777" w:rsidR="00A658D0" w:rsidRDefault="00000000">
            <w:pPr>
              <w:rPr>
                <w:rFonts w:ascii="Arial Narrow" w:hAnsi="Arial Narrow"/>
                <w:b/>
                <w:bCs/>
                <w:color w:val="000000"/>
                <w:lang w:eastAsia="es-PE"/>
              </w:rPr>
            </w:pPr>
            <w:r>
              <w:rPr>
                <w:rFonts w:ascii="Arial Narrow" w:hAnsi="Arial Narrow"/>
                <w:b/>
                <w:bCs/>
                <w:color w:val="000000"/>
                <w:lang w:eastAsia="es-PE"/>
              </w:rPr>
              <w:t>Extranjero</w:t>
            </w:r>
          </w:p>
        </w:tc>
        <w:tc>
          <w:tcPr>
            <w:tcW w:w="1134" w:type="dxa"/>
            <w:tcBorders>
              <w:top w:val="nil"/>
              <w:left w:val="single" w:sz="4" w:space="0" w:color="auto"/>
              <w:bottom w:val="nil"/>
              <w:right w:val="single" w:sz="4" w:space="0" w:color="auto"/>
            </w:tcBorders>
            <w:shd w:val="clear" w:color="000000" w:fill="FFFFFF"/>
            <w:noWrap/>
            <w:vAlign w:val="center"/>
          </w:tcPr>
          <w:p w14:paraId="06B4A4E9"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EA"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4EB"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EC"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4ED"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4EE"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4EF"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4F9" w14:textId="77777777">
        <w:trPr>
          <w:trHeight w:val="300"/>
        </w:trPr>
        <w:tc>
          <w:tcPr>
            <w:tcW w:w="1985" w:type="dxa"/>
            <w:tcBorders>
              <w:top w:val="nil"/>
              <w:left w:val="single" w:sz="4" w:space="0" w:color="auto"/>
              <w:bottom w:val="nil"/>
              <w:right w:val="nil"/>
            </w:tcBorders>
            <w:shd w:val="clear" w:color="000000" w:fill="FFFFFF"/>
            <w:noWrap/>
            <w:vAlign w:val="bottom"/>
          </w:tcPr>
          <w:p w14:paraId="06B4A4F1" w14:textId="77777777" w:rsidR="00A658D0" w:rsidRDefault="00000000">
            <w:pPr>
              <w:rPr>
                <w:rFonts w:ascii="Arial Narrow" w:hAnsi="Arial Narrow"/>
                <w:b/>
                <w:bCs/>
                <w:color w:val="000000"/>
                <w:lang w:eastAsia="es-PE"/>
              </w:rPr>
            </w:pPr>
            <w:r>
              <w:rPr>
                <w:rFonts w:ascii="Arial Narrow" w:hAnsi="Arial Narrow"/>
                <w:b/>
                <w:bCs/>
                <w:color w:val="000000"/>
                <w:lang w:eastAsia="es-PE"/>
              </w:rPr>
              <w:t> </w:t>
            </w:r>
          </w:p>
        </w:tc>
        <w:tc>
          <w:tcPr>
            <w:tcW w:w="1134" w:type="dxa"/>
            <w:tcBorders>
              <w:top w:val="nil"/>
              <w:left w:val="single" w:sz="4" w:space="0" w:color="auto"/>
              <w:bottom w:val="nil"/>
              <w:right w:val="single" w:sz="4" w:space="0" w:color="auto"/>
            </w:tcBorders>
            <w:shd w:val="clear" w:color="000000" w:fill="FFFFFF"/>
            <w:noWrap/>
            <w:vAlign w:val="center"/>
          </w:tcPr>
          <w:p w14:paraId="06B4A4F2"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4F3"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4F4"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4F5"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4F6"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4F7"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4F8"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02" w14:textId="77777777">
        <w:trPr>
          <w:trHeight w:val="300"/>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4A4FA" w14:textId="77777777" w:rsidR="00A658D0" w:rsidRDefault="00000000">
            <w:pPr>
              <w:rPr>
                <w:rFonts w:ascii="Arial Narrow" w:hAnsi="Arial Narrow"/>
                <w:b/>
                <w:bCs/>
                <w:color w:val="000000"/>
                <w:lang w:eastAsia="es-PE"/>
              </w:rPr>
            </w:pPr>
            <w:r>
              <w:rPr>
                <w:rFonts w:ascii="Arial Narrow" w:hAnsi="Arial Narrow"/>
                <w:b/>
                <w:bCs/>
                <w:color w:val="000000"/>
                <w:lang w:eastAsia="es-PE"/>
              </w:rPr>
              <w:t>TOTAL</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B4A4FB"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6B4A4FC"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B4A4FD"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vAlign w:val="center"/>
          </w:tcPr>
          <w:p w14:paraId="06B4A4FE"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06B4A4FF"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6B4A500"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B4A501"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0B" w14:textId="77777777">
        <w:trPr>
          <w:trHeight w:val="300"/>
        </w:trPr>
        <w:tc>
          <w:tcPr>
            <w:tcW w:w="1985" w:type="dxa"/>
            <w:tcBorders>
              <w:top w:val="nil"/>
              <w:left w:val="nil"/>
              <w:bottom w:val="nil"/>
              <w:right w:val="nil"/>
            </w:tcBorders>
            <w:shd w:val="clear" w:color="000000" w:fill="FFFFFF"/>
            <w:noWrap/>
            <w:vAlign w:val="bottom"/>
          </w:tcPr>
          <w:p w14:paraId="06B4A503"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134" w:type="dxa"/>
            <w:tcBorders>
              <w:top w:val="nil"/>
              <w:left w:val="nil"/>
              <w:bottom w:val="nil"/>
              <w:right w:val="nil"/>
            </w:tcBorders>
            <w:shd w:val="clear" w:color="000000" w:fill="FFFFFF"/>
            <w:noWrap/>
            <w:vAlign w:val="bottom"/>
          </w:tcPr>
          <w:p w14:paraId="06B4A504"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276" w:type="dxa"/>
            <w:tcBorders>
              <w:top w:val="nil"/>
              <w:left w:val="nil"/>
              <w:bottom w:val="nil"/>
              <w:right w:val="nil"/>
            </w:tcBorders>
            <w:shd w:val="clear" w:color="000000" w:fill="FFFFFF"/>
            <w:noWrap/>
            <w:vAlign w:val="bottom"/>
          </w:tcPr>
          <w:p w14:paraId="06B4A505"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992" w:type="dxa"/>
            <w:tcBorders>
              <w:top w:val="nil"/>
              <w:left w:val="nil"/>
              <w:bottom w:val="nil"/>
              <w:right w:val="nil"/>
            </w:tcBorders>
            <w:shd w:val="clear" w:color="000000" w:fill="FFFFFF"/>
            <w:noWrap/>
            <w:vAlign w:val="bottom"/>
          </w:tcPr>
          <w:p w14:paraId="06B4A506"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291" w:type="dxa"/>
            <w:tcBorders>
              <w:top w:val="nil"/>
              <w:left w:val="nil"/>
              <w:bottom w:val="nil"/>
              <w:right w:val="nil"/>
            </w:tcBorders>
            <w:shd w:val="clear" w:color="000000" w:fill="FFFFFF"/>
            <w:noWrap/>
            <w:vAlign w:val="bottom"/>
          </w:tcPr>
          <w:p w14:paraId="06B4A507"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985" w:type="dxa"/>
            <w:tcBorders>
              <w:top w:val="nil"/>
              <w:left w:val="nil"/>
              <w:bottom w:val="nil"/>
              <w:right w:val="nil"/>
            </w:tcBorders>
            <w:shd w:val="clear" w:color="000000" w:fill="FFFFFF"/>
            <w:noWrap/>
            <w:vAlign w:val="bottom"/>
          </w:tcPr>
          <w:p w14:paraId="06B4A508"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276" w:type="dxa"/>
            <w:tcBorders>
              <w:top w:val="nil"/>
              <w:left w:val="nil"/>
              <w:bottom w:val="nil"/>
              <w:right w:val="nil"/>
            </w:tcBorders>
            <w:shd w:val="clear" w:color="000000" w:fill="FFFFFF"/>
            <w:noWrap/>
            <w:vAlign w:val="bottom"/>
          </w:tcPr>
          <w:p w14:paraId="06B4A509"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134" w:type="dxa"/>
            <w:tcBorders>
              <w:top w:val="nil"/>
              <w:left w:val="nil"/>
              <w:bottom w:val="nil"/>
              <w:right w:val="nil"/>
            </w:tcBorders>
            <w:shd w:val="clear" w:color="000000" w:fill="FFFFFF"/>
            <w:noWrap/>
            <w:vAlign w:val="bottom"/>
          </w:tcPr>
          <w:p w14:paraId="06B4A50A"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r>
      <w:tr w:rsidR="00A658D0" w14:paraId="06B4A514" w14:textId="77777777">
        <w:trPr>
          <w:trHeight w:val="300"/>
        </w:trPr>
        <w:tc>
          <w:tcPr>
            <w:tcW w:w="1985" w:type="dxa"/>
            <w:tcBorders>
              <w:top w:val="nil"/>
              <w:left w:val="nil"/>
              <w:bottom w:val="nil"/>
              <w:right w:val="nil"/>
            </w:tcBorders>
            <w:shd w:val="clear" w:color="000000" w:fill="FFFFFF"/>
            <w:noWrap/>
            <w:vAlign w:val="bottom"/>
          </w:tcPr>
          <w:p w14:paraId="06B4A50C"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134" w:type="dxa"/>
            <w:tcBorders>
              <w:top w:val="nil"/>
              <w:left w:val="nil"/>
              <w:bottom w:val="nil"/>
              <w:right w:val="nil"/>
            </w:tcBorders>
            <w:shd w:val="clear" w:color="000000" w:fill="FFFFFF"/>
            <w:noWrap/>
            <w:vAlign w:val="bottom"/>
          </w:tcPr>
          <w:p w14:paraId="06B4A50D"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276" w:type="dxa"/>
            <w:tcBorders>
              <w:top w:val="nil"/>
              <w:left w:val="nil"/>
              <w:bottom w:val="nil"/>
              <w:right w:val="nil"/>
            </w:tcBorders>
            <w:shd w:val="clear" w:color="000000" w:fill="FFFFFF"/>
            <w:noWrap/>
            <w:vAlign w:val="bottom"/>
          </w:tcPr>
          <w:p w14:paraId="06B4A50E"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992" w:type="dxa"/>
            <w:tcBorders>
              <w:top w:val="nil"/>
              <w:left w:val="nil"/>
              <w:bottom w:val="nil"/>
              <w:right w:val="nil"/>
            </w:tcBorders>
            <w:shd w:val="clear" w:color="000000" w:fill="FFFFFF"/>
            <w:noWrap/>
            <w:vAlign w:val="bottom"/>
          </w:tcPr>
          <w:p w14:paraId="06B4A50F"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291" w:type="dxa"/>
            <w:tcBorders>
              <w:top w:val="nil"/>
              <w:left w:val="nil"/>
              <w:bottom w:val="nil"/>
              <w:right w:val="nil"/>
            </w:tcBorders>
            <w:shd w:val="clear" w:color="000000" w:fill="FFFFFF"/>
            <w:noWrap/>
            <w:vAlign w:val="bottom"/>
          </w:tcPr>
          <w:p w14:paraId="06B4A510"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985" w:type="dxa"/>
            <w:tcBorders>
              <w:top w:val="nil"/>
              <w:left w:val="nil"/>
              <w:bottom w:val="nil"/>
              <w:right w:val="nil"/>
            </w:tcBorders>
            <w:shd w:val="clear" w:color="000000" w:fill="FFFFFF"/>
            <w:noWrap/>
            <w:vAlign w:val="bottom"/>
          </w:tcPr>
          <w:p w14:paraId="06B4A511"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276" w:type="dxa"/>
            <w:tcBorders>
              <w:top w:val="nil"/>
              <w:left w:val="nil"/>
              <w:bottom w:val="nil"/>
              <w:right w:val="nil"/>
            </w:tcBorders>
            <w:shd w:val="clear" w:color="000000" w:fill="FFFFFF"/>
            <w:noWrap/>
            <w:vAlign w:val="bottom"/>
          </w:tcPr>
          <w:p w14:paraId="06B4A512"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134" w:type="dxa"/>
            <w:tcBorders>
              <w:top w:val="nil"/>
              <w:left w:val="nil"/>
              <w:bottom w:val="nil"/>
              <w:right w:val="nil"/>
            </w:tcBorders>
            <w:shd w:val="clear" w:color="000000" w:fill="FFFFFF"/>
            <w:noWrap/>
            <w:vAlign w:val="bottom"/>
          </w:tcPr>
          <w:p w14:paraId="06B4A513"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r>
      <w:tr w:rsidR="00A658D0" w14:paraId="06B4A51D" w14:textId="77777777">
        <w:trPr>
          <w:trHeight w:val="300"/>
        </w:trPr>
        <w:tc>
          <w:tcPr>
            <w:tcW w:w="1985" w:type="dxa"/>
            <w:tcBorders>
              <w:top w:val="nil"/>
              <w:left w:val="nil"/>
              <w:bottom w:val="nil"/>
              <w:right w:val="nil"/>
            </w:tcBorders>
            <w:shd w:val="clear" w:color="000000" w:fill="FFFFFF"/>
            <w:noWrap/>
            <w:vAlign w:val="bottom"/>
          </w:tcPr>
          <w:p w14:paraId="06B4A515"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134" w:type="dxa"/>
            <w:tcBorders>
              <w:top w:val="nil"/>
              <w:left w:val="nil"/>
              <w:bottom w:val="nil"/>
              <w:right w:val="nil"/>
            </w:tcBorders>
            <w:shd w:val="clear" w:color="000000" w:fill="FFFFFF"/>
            <w:noWrap/>
            <w:vAlign w:val="bottom"/>
          </w:tcPr>
          <w:p w14:paraId="06B4A516"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276" w:type="dxa"/>
            <w:tcBorders>
              <w:top w:val="nil"/>
              <w:left w:val="nil"/>
              <w:bottom w:val="nil"/>
              <w:right w:val="nil"/>
            </w:tcBorders>
            <w:shd w:val="clear" w:color="000000" w:fill="FFFFFF"/>
            <w:noWrap/>
            <w:vAlign w:val="bottom"/>
          </w:tcPr>
          <w:p w14:paraId="06B4A517"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992" w:type="dxa"/>
            <w:tcBorders>
              <w:top w:val="nil"/>
              <w:left w:val="nil"/>
              <w:bottom w:val="nil"/>
              <w:right w:val="nil"/>
            </w:tcBorders>
            <w:shd w:val="clear" w:color="000000" w:fill="FFFFFF"/>
            <w:noWrap/>
            <w:vAlign w:val="bottom"/>
          </w:tcPr>
          <w:p w14:paraId="06B4A518"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291" w:type="dxa"/>
            <w:tcBorders>
              <w:top w:val="nil"/>
              <w:left w:val="nil"/>
              <w:bottom w:val="nil"/>
              <w:right w:val="nil"/>
            </w:tcBorders>
            <w:shd w:val="clear" w:color="000000" w:fill="FFFFFF"/>
            <w:noWrap/>
            <w:vAlign w:val="bottom"/>
          </w:tcPr>
          <w:p w14:paraId="06B4A519"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985" w:type="dxa"/>
            <w:tcBorders>
              <w:top w:val="nil"/>
              <w:left w:val="nil"/>
              <w:bottom w:val="nil"/>
              <w:right w:val="nil"/>
            </w:tcBorders>
            <w:shd w:val="clear" w:color="000000" w:fill="FFFFFF"/>
            <w:noWrap/>
            <w:vAlign w:val="bottom"/>
          </w:tcPr>
          <w:p w14:paraId="06B4A51A"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276" w:type="dxa"/>
            <w:tcBorders>
              <w:top w:val="nil"/>
              <w:left w:val="nil"/>
              <w:bottom w:val="nil"/>
              <w:right w:val="nil"/>
            </w:tcBorders>
            <w:shd w:val="clear" w:color="000000" w:fill="FFFFFF"/>
            <w:noWrap/>
            <w:vAlign w:val="bottom"/>
          </w:tcPr>
          <w:p w14:paraId="06B4A51B"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c>
          <w:tcPr>
            <w:tcW w:w="1134" w:type="dxa"/>
            <w:tcBorders>
              <w:top w:val="nil"/>
              <w:left w:val="nil"/>
              <w:bottom w:val="nil"/>
              <w:right w:val="nil"/>
            </w:tcBorders>
            <w:shd w:val="clear" w:color="000000" w:fill="FFFFFF"/>
            <w:noWrap/>
            <w:vAlign w:val="bottom"/>
          </w:tcPr>
          <w:p w14:paraId="06B4A51C" w14:textId="77777777" w:rsidR="00A658D0" w:rsidRDefault="00000000">
            <w:pPr>
              <w:rPr>
                <w:rFonts w:ascii="Calibri" w:hAnsi="Calibri"/>
                <w:color w:val="000000"/>
                <w:sz w:val="22"/>
                <w:szCs w:val="22"/>
                <w:lang w:eastAsia="es-PE"/>
              </w:rPr>
            </w:pPr>
            <w:r>
              <w:rPr>
                <w:rFonts w:ascii="Calibri" w:hAnsi="Calibri"/>
                <w:color w:val="000000"/>
                <w:sz w:val="22"/>
                <w:szCs w:val="22"/>
                <w:lang w:eastAsia="es-PE"/>
              </w:rPr>
              <w:t> </w:t>
            </w:r>
          </w:p>
        </w:tc>
      </w:tr>
    </w:tbl>
    <w:p w14:paraId="06B4A51E" w14:textId="77777777" w:rsidR="00A658D0" w:rsidRDefault="00000000">
      <w:pPr>
        <w:jc w:val="center"/>
        <w:rPr>
          <w:rFonts w:ascii="Arial Narrow" w:hAnsi="Arial Narrow"/>
          <w:b/>
          <w:bCs/>
          <w:sz w:val="22"/>
          <w:szCs w:val="24"/>
          <w:lang w:eastAsia="es-PE"/>
        </w:rPr>
      </w:pPr>
      <w:r>
        <w:rPr>
          <w:rFonts w:ascii="Arial Narrow" w:hAnsi="Arial Narrow"/>
          <w:b/>
          <w:bCs/>
          <w:sz w:val="22"/>
          <w:szCs w:val="24"/>
          <w:lang w:eastAsia="es-PE"/>
        </w:rPr>
        <w:t xml:space="preserve">NOTA REFERIDA A LA CONCENTRACIÓN DE RIESGOS DE </w:t>
      </w:r>
    </w:p>
    <w:p w14:paraId="06B4A51F" w14:textId="77777777" w:rsidR="00A658D0" w:rsidRDefault="00000000">
      <w:pPr>
        <w:jc w:val="center"/>
        <w:rPr>
          <w:rFonts w:ascii="Arial Narrow" w:hAnsi="Arial Narrow"/>
          <w:b/>
          <w:bCs/>
          <w:sz w:val="22"/>
          <w:szCs w:val="24"/>
          <w:lang w:eastAsia="es-PE"/>
        </w:rPr>
      </w:pPr>
      <w:r>
        <w:rPr>
          <w:rFonts w:ascii="Arial Narrow" w:hAnsi="Arial Narrow"/>
          <w:b/>
          <w:bCs/>
          <w:sz w:val="22"/>
          <w:szCs w:val="24"/>
          <w:lang w:eastAsia="es-PE"/>
        </w:rPr>
        <w:t>SEGUROS DE VIDA POR ÁREA GEOGRÁFICA</w:t>
      </w:r>
    </w:p>
    <w:tbl>
      <w:tblPr>
        <w:tblW w:w="9073" w:type="dxa"/>
        <w:tblInd w:w="70" w:type="dxa"/>
        <w:tblCellMar>
          <w:left w:w="70" w:type="dxa"/>
          <w:right w:w="70" w:type="dxa"/>
        </w:tblCellMar>
        <w:tblLook w:val="04A0" w:firstRow="1" w:lastRow="0" w:firstColumn="1" w:lastColumn="0" w:noHBand="0" w:noVBand="1"/>
      </w:tblPr>
      <w:tblGrid>
        <w:gridCol w:w="1985"/>
        <w:gridCol w:w="1134"/>
        <w:gridCol w:w="1276"/>
        <w:gridCol w:w="992"/>
        <w:gridCol w:w="291"/>
        <w:gridCol w:w="985"/>
        <w:gridCol w:w="1276"/>
        <w:gridCol w:w="1134"/>
      </w:tblGrid>
      <w:tr w:rsidR="00A658D0" w14:paraId="06B4A528" w14:textId="77777777">
        <w:trPr>
          <w:trHeight w:val="300"/>
        </w:trPr>
        <w:tc>
          <w:tcPr>
            <w:tcW w:w="1985" w:type="dxa"/>
            <w:tcBorders>
              <w:top w:val="nil"/>
              <w:left w:val="nil"/>
              <w:bottom w:val="nil"/>
              <w:right w:val="nil"/>
            </w:tcBorders>
            <w:shd w:val="clear" w:color="000000" w:fill="FFFFFF"/>
            <w:noWrap/>
            <w:vAlign w:val="bottom"/>
          </w:tcPr>
          <w:p w14:paraId="06B4A520" w14:textId="77777777" w:rsidR="00A658D0" w:rsidRDefault="00000000">
            <w:pPr>
              <w:rPr>
                <w:rFonts w:ascii="Arial Narrow" w:hAnsi="Arial Narrow"/>
                <w:b/>
                <w:bCs/>
                <w:color w:val="000000"/>
                <w:lang w:eastAsia="es-PE"/>
              </w:rPr>
            </w:pPr>
            <w:r>
              <w:rPr>
                <w:rFonts w:ascii="Arial Narrow" w:hAnsi="Arial Narrow"/>
                <w:b/>
                <w:bCs/>
                <w:color w:val="000000"/>
                <w:lang w:eastAsia="es-PE"/>
              </w:rPr>
              <w:t> </w:t>
            </w:r>
          </w:p>
        </w:tc>
        <w:tc>
          <w:tcPr>
            <w:tcW w:w="1134" w:type="dxa"/>
            <w:tcBorders>
              <w:top w:val="nil"/>
              <w:left w:val="nil"/>
              <w:bottom w:val="nil"/>
              <w:right w:val="nil"/>
            </w:tcBorders>
            <w:shd w:val="clear" w:color="000000" w:fill="FFFFFF"/>
            <w:noWrap/>
            <w:vAlign w:val="center"/>
          </w:tcPr>
          <w:p w14:paraId="06B4A521"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nil"/>
            </w:tcBorders>
            <w:shd w:val="clear" w:color="000000" w:fill="FFFFFF"/>
            <w:noWrap/>
            <w:vAlign w:val="center"/>
          </w:tcPr>
          <w:p w14:paraId="06B4A522"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nil"/>
            </w:tcBorders>
            <w:shd w:val="clear" w:color="000000" w:fill="FFFFFF"/>
            <w:noWrap/>
            <w:vAlign w:val="bottom"/>
          </w:tcPr>
          <w:p w14:paraId="06B4A523"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24"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nil"/>
              <w:bottom w:val="nil"/>
              <w:right w:val="nil"/>
            </w:tcBorders>
            <w:shd w:val="clear" w:color="000000" w:fill="FFFFFF"/>
            <w:noWrap/>
            <w:vAlign w:val="bottom"/>
          </w:tcPr>
          <w:p w14:paraId="06B4A525"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nil"/>
            </w:tcBorders>
            <w:shd w:val="clear" w:color="000000" w:fill="FFFFFF"/>
            <w:noWrap/>
            <w:vAlign w:val="bottom"/>
          </w:tcPr>
          <w:p w14:paraId="06B4A526"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nil"/>
            </w:tcBorders>
            <w:shd w:val="clear" w:color="000000" w:fill="FFFFFF"/>
            <w:noWrap/>
            <w:vAlign w:val="bottom"/>
          </w:tcPr>
          <w:p w14:paraId="06B4A527"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2D" w14:textId="77777777">
        <w:trPr>
          <w:trHeight w:val="300"/>
        </w:trPr>
        <w:tc>
          <w:tcPr>
            <w:tcW w:w="1985" w:type="dxa"/>
            <w:tcBorders>
              <w:top w:val="nil"/>
              <w:left w:val="nil"/>
              <w:bottom w:val="nil"/>
              <w:right w:val="nil"/>
            </w:tcBorders>
            <w:shd w:val="clear" w:color="000000" w:fill="FFFFFF"/>
            <w:noWrap/>
            <w:vAlign w:val="bottom"/>
          </w:tcPr>
          <w:p w14:paraId="06B4A529" w14:textId="77777777" w:rsidR="00A658D0" w:rsidRDefault="00000000">
            <w:pPr>
              <w:rPr>
                <w:rFonts w:ascii="Arial Narrow" w:hAnsi="Arial Narrow"/>
                <w:b/>
                <w:bCs/>
                <w:color w:val="000000"/>
                <w:lang w:eastAsia="es-PE"/>
              </w:rPr>
            </w:pPr>
            <w:r>
              <w:rPr>
                <w:rFonts w:ascii="Arial Narrow" w:hAnsi="Arial Narrow"/>
                <w:b/>
                <w:bCs/>
                <w:color w:val="000000"/>
                <w:lang w:eastAsia="es-PE"/>
              </w:rPr>
              <w:t> </w:t>
            </w:r>
          </w:p>
        </w:tc>
        <w:tc>
          <w:tcPr>
            <w:tcW w:w="3402" w:type="dxa"/>
            <w:gridSpan w:val="3"/>
            <w:tcBorders>
              <w:top w:val="single" w:sz="4" w:space="0" w:color="auto"/>
              <w:left w:val="single" w:sz="4" w:space="0" w:color="auto"/>
              <w:bottom w:val="single" w:sz="4" w:space="0" w:color="000000"/>
              <w:right w:val="single" w:sz="4" w:space="0" w:color="000000"/>
            </w:tcBorders>
            <w:shd w:val="clear" w:color="000000" w:fill="FFFFFF"/>
            <w:noWrap/>
            <w:vAlign w:val="center"/>
          </w:tcPr>
          <w:p w14:paraId="06B4A52A"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Periodo 1</w:t>
            </w:r>
          </w:p>
        </w:tc>
        <w:tc>
          <w:tcPr>
            <w:tcW w:w="291" w:type="dxa"/>
            <w:tcBorders>
              <w:top w:val="nil"/>
              <w:left w:val="nil"/>
              <w:bottom w:val="nil"/>
              <w:right w:val="nil"/>
            </w:tcBorders>
            <w:shd w:val="clear" w:color="000000" w:fill="FFFFFF"/>
            <w:noWrap/>
            <w:vAlign w:val="center"/>
          </w:tcPr>
          <w:p w14:paraId="06B4A52B"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339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tcPr>
          <w:p w14:paraId="06B4A52C"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Periodo 0</w:t>
            </w:r>
          </w:p>
        </w:tc>
      </w:tr>
      <w:tr w:rsidR="00A658D0" w14:paraId="06B4A536" w14:textId="77777777">
        <w:trPr>
          <w:trHeight w:val="510"/>
        </w:trPr>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06B4A52E" w14:textId="77777777" w:rsidR="00A658D0" w:rsidRDefault="00000000">
            <w:pPr>
              <w:rPr>
                <w:rFonts w:ascii="Arial Narrow" w:hAnsi="Arial Narrow"/>
                <w:b/>
                <w:bCs/>
                <w:color w:val="000000"/>
                <w:lang w:eastAsia="es-PE"/>
              </w:rPr>
            </w:pPr>
            <w:r>
              <w:rPr>
                <w:rFonts w:ascii="Arial Narrow" w:hAnsi="Arial Narrow"/>
                <w:b/>
                <w:bCs/>
                <w:color w:val="000000"/>
                <w:lang w:eastAsia="es-PE"/>
              </w:rPr>
              <w:t xml:space="preserve">Ubicación Geográfica </w:t>
            </w:r>
          </w:p>
        </w:tc>
        <w:tc>
          <w:tcPr>
            <w:tcW w:w="1134" w:type="dxa"/>
            <w:tcBorders>
              <w:top w:val="nil"/>
              <w:left w:val="nil"/>
              <w:bottom w:val="nil"/>
              <w:right w:val="single" w:sz="4" w:space="0" w:color="auto"/>
            </w:tcBorders>
            <w:shd w:val="clear" w:color="000000" w:fill="FFFFFF"/>
            <w:vAlign w:val="center"/>
          </w:tcPr>
          <w:p w14:paraId="06B4A52F"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Brutos</w:t>
            </w:r>
          </w:p>
        </w:tc>
        <w:tc>
          <w:tcPr>
            <w:tcW w:w="1276" w:type="dxa"/>
            <w:tcBorders>
              <w:top w:val="nil"/>
              <w:left w:val="nil"/>
              <w:bottom w:val="nil"/>
              <w:right w:val="single" w:sz="4" w:space="0" w:color="auto"/>
            </w:tcBorders>
            <w:shd w:val="clear" w:color="000000" w:fill="FFFFFF"/>
            <w:vAlign w:val="center"/>
          </w:tcPr>
          <w:p w14:paraId="06B4A530"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Reaseguro de Pasivos</w:t>
            </w:r>
          </w:p>
        </w:tc>
        <w:tc>
          <w:tcPr>
            <w:tcW w:w="992" w:type="dxa"/>
            <w:tcBorders>
              <w:top w:val="nil"/>
              <w:left w:val="nil"/>
              <w:bottom w:val="nil"/>
              <w:right w:val="single" w:sz="4" w:space="0" w:color="auto"/>
            </w:tcBorders>
            <w:shd w:val="clear" w:color="000000" w:fill="FFFFFF"/>
            <w:vAlign w:val="center"/>
          </w:tcPr>
          <w:p w14:paraId="06B4A531"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Netos</w:t>
            </w:r>
          </w:p>
        </w:tc>
        <w:tc>
          <w:tcPr>
            <w:tcW w:w="291" w:type="dxa"/>
            <w:tcBorders>
              <w:top w:val="nil"/>
              <w:left w:val="nil"/>
              <w:bottom w:val="nil"/>
              <w:right w:val="nil"/>
            </w:tcBorders>
            <w:shd w:val="clear" w:color="000000" w:fill="FFFFFF"/>
            <w:vAlign w:val="center"/>
          </w:tcPr>
          <w:p w14:paraId="06B4A532"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85" w:type="dxa"/>
            <w:tcBorders>
              <w:top w:val="nil"/>
              <w:left w:val="single" w:sz="4" w:space="0" w:color="auto"/>
              <w:bottom w:val="nil"/>
              <w:right w:val="single" w:sz="4" w:space="0" w:color="auto"/>
            </w:tcBorders>
            <w:shd w:val="clear" w:color="000000" w:fill="FFFFFF"/>
            <w:vAlign w:val="center"/>
          </w:tcPr>
          <w:p w14:paraId="06B4A533"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Brutos</w:t>
            </w:r>
          </w:p>
        </w:tc>
        <w:tc>
          <w:tcPr>
            <w:tcW w:w="1276" w:type="dxa"/>
            <w:tcBorders>
              <w:top w:val="nil"/>
              <w:left w:val="nil"/>
              <w:bottom w:val="nil"/>
              <w:right w:val="single" w:sz="4" w:space="0" w:color="auto"/>
            </w:tcBorders>
            <w:shd w:val="clear" w:color="000000" w:fill="FFFFFF"/>
            <w:vAlign w:val="center"/>
          </w:tcPr>
          <w:p w14:paraId="06B4A534"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Reaseguro de Pasivos</w:t>
            </w:r>
          </w:p>
        </w:tc>
        <w:tc>
          <w:tcPr>
            <w:tcW w:w="1134" w:type="dxa"/>
            <w:tcBorders>
              <w:top w:val="nil"/>
              <w:left w:val="nil"/>
              <w:bottom w:val="nil"/>
              <w:right w:val="single" w:sz="4" w:space="0" w:color="auto"/>
            </w:tcBorders>
            <w:shd w:val="clear" w:color="000000" w:fill="FFFFFF"/>
            <w:vAlign w:val="center"/>
          </w:tcPr>
          <w:p w14:paraId="06B4A535"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Pasivos Netos</w:t>
            </w:r>
          </w:p>
        </w:tc>
      </w:tr>
      <w:tr w:rsidR="00A658D0" w14:paraId="06B4A53F" w14:textId="77777777">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tcPr>
          <w:p w14:paraId="06B4A537" w14:textId="77777777" w:rsidR="00A658D0" w:rsidRDefault="00A658D0">
            <w:pPr>
              <w:rPr>
                <w:rFonts w:ascii="Arial Narrow" w:hAnsi="Arial Narrow"/>
                <w:b/>
                <w:bCs/>
                <w:color w:val="000000"/>
                <w:lang w:eastAsia="es-PE"/>
              </w:rPr>
            </w:pPr>
          </w:p>
        </w:tc>
        <w:tc>
          <w:tcPr>
            <w:tcW w:w="1134" w:type="dxa"/>
            <w:tcBorders>
              <w:top w:val="nil"/>
              <w:left w:val="nil"/>
              <w:bottom w:val="single" w:sz="4" w:space="0" w:color="auto"/>
              <w:right w:val="single" w:sz="4" w:space="0" w:color="auto"/>
            </w:tcBorders>
            <w:shd w:val="clear" w:color="000000" w:fill="FFFFFF"/>
            <w:noWrap/>
            <w:vAlign w:val="center"/>
          </w:tcPr>
          <w:p w14:paraId="06B4A538"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1276" w:type="dxa"/>
            <w:tcBorders>
              <w:top w:val="nil"/>
              <w:left w:val="nil"/>
              <w:bottom w:val="single" w:sz="4" w:space="0" w:color="auto"/>
              <w:right w:val="single" w:sz="4" w:space="0" w:color="auto"/>
            </w:tcBorders>
            <w:shd w:val="clear" w:color="000000" w:fill="FFFFFF"/>
            <w:noWrap/>
            <w:vAlign w:val="center"/>
          </w:tcPr>
          <w:p w14:paraId="06B4A539"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992" w:type="dxa"/>
            <w:tcBorders>
              <w:top w:val="nil"/>
              <w:left w:val="nil"/>
              <w:bottom w:val="single" w:sz="4" w:space="0" w:color="auto"/>
              <w:right w:val="single" w:sz="4" w:space="0" w:color="auto"/>
            </w:tcBorders>
            <w:shd w:val="clear" w:color="000000" w:fill="FFFFFF"/>
            <w:noWrap/>
            <w:vAlign w:val="center"/>
          </w:tcPr>
          <w:p w14:paraId="06B4A53A"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291" w:type="dxa"/>
            <w:tcBorders>
              <w:top w:val="nil"/>
              <w:left w:val="nil"/>
              <w:bottom w:val="nil"/>
              <w:right w:val="nil"/>
            </w:tcBorders>
            <w:shd w:val="clear" w:color="000000" w:fill="FFFFFF"/>
            <w:noWrap/>
            <w:vAlign w:val="center"/>
          </w:tcPr>
          <w:p w14:paraId="06B4A53B"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85" w:type="dxa"/>
            <w:tcBorders>
              <w:top w:val="nil"/>
              <w:left w:val="single" w:sz="4" w:space="0" w:color="auto"/>
              <w:bottom w:val="single" w:sz="4" w:space="0" w:color="auto"/>
              <w:right w:val="single" w:sz="4" w:space="0" w:color="auto"/>
            </w:tcBorders>
            <w:shd w:val="clear" w:color="000000" w:fill="FFFFFF"/>
            <w:noWrap/>
            <w:vAlign w:val="center"/>
          </w:tcPr>
          <w:p w14:paraId="06B4A53C"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1276" w:type="dxa"/>
            <w:tcBorders>
              <w:top w:val="nil"/>
              <w:left w:val="nil"/>
              <w:bottom w:val="single" w:sz="4" w:space="0" w:color="auto"/>
              <w:right w:val="single" w:sz="4" w:space="0" w:color="auto"/>
            </w:tcBorders>
            <w:shd w:val="clear" w:color="000000" w:fill="FFFFFF"/>
            <w:noWrap/>
            <w:vAlign w:val="center"/>
          </w:tcPr>
          <w:p w14:paraId="06B4A53D"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c>
          <w:tcPr>
            <w:tcW w:w="1134" w:type="dxa"/>
            <w:tcBorders>
              <w:top w:val="nil"/>
              <w:left w:val="nil"/>
              <w:bottom w:val="single" w:sz="4" w:space="0" w:color="auto"/>
              <w:right w:val="single" w:sz="4" w:space="0" w:color="auto"/>
            </w:tcBorders>
            <w:shd w:val="clear" w:color="000000" w:fill="FFFFFF"/>
            <w:noWrap/>
            <w:vAlign w:val="center"/>
          </w:tcPr>
          <w:p w14:paraId="06B4A53E"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S/. 000</w:t>
            </w:r>
          </w:p>
        </w:tc>
      </w:tr>
      <w:tr w:rsidR="00A658D0" w14:paraId="06B4A548" w14:textId="77777777">
        <w:trPr>
          <w:trHeight w:val="300"/>
        </w:trPr>
        <w:tc>
          <w:tcPr>
            <w:tcW w:w="1985" w:type="dxa"/>
            <w:tcBorders>
              <w:top w:val="nil"/>
              <w:left w:val="single" w:sz="4" w:space="0" w:color="auto"/>
              <w:bottom w:val="nil"/>
              <w:right w:val="nil"/>
            </w:tcBorders>
            <w:shd w:val="clear" w:color="000000" w:fill="FFFFFF"/>
            <w:vAlign w:val="center"/>
          </w:tcPr>
          <w:p w14:paraId="06B4A540" w14:textId="77777777" w:rsidR="00A658D0" w:rsidRDefault="00000000">
            <w:pPr>
              <w:rPr>
                <w:rFonts w:ascii="Arial Narrow" w:hAnsi="Arial Narrow"/>
                <w:b/>
                <w:bCs/>
                <w:color w:val="000000"/>
                <w:lang w:eastAsia="es-PE"/>
              </w:rPr>
            </w:pPr>
            <w:r>
              <w:rPr>
                <w:rFonts w:ascii="Arial Narrow" w:hAnsi="Arial Narrow"/>
                <w:b/>
                <w:bCs/>
                <w:color w:val="000000"/>
                <w:lang w:eastAsia="es-PE"/>
              </w:rPr>
              <w:t>Nacional</w:t>
            </w:r>
          </w:p>
        </w:tc>
        <w:tc>
          <w:tcPr>
            <w:tcW w:w="1134" w:type="dxa"/>
            <w:tcBorders>
              <w:top w:val="nil"/>
              <w:left w:val="single" w:sz="4" w:space="0" w:color="auto"/>
              <w:bottom w:val="nil"/>
              <w:right w:val="single" w:sz="4" w:space="0" w:color="auto"/>
            </w:tcBorders>
            <w:shd w:val="clear" w:color="000000" w:fill="FFFFFF"/>
            <w:noWrap/>
            <w:vAlign w:val="center"/>
          </w:tcPr>
          <w:p w14:paraId="06B4A541"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42"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92" w:type="dxa"/>
            <w:tcBorders>
              <w:top w:val="nil"/>
              <w:left w:val="nil"/>
              <w:bottom w:val="nil"/>
              <w:right w:val="single" w:sz="4" w:space="0" w:color="auto"/>
            </w:tcBorders>
            <w:shd w:val="clear" w:color="000000" w:fill="FFFFFF"/>
            <w:noWrap/>
            <w:vAlign w:val="center"/>
          </w:tcPr>
          <w:p w14:paraId="06B4A543"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291" w:type="dxa"/>
            <w:tcBorders>
              <w:top w:val="nil"/>
              <w:left w:val="nil"/>
              <w:bottom w:val="nil"/>
              <w:right w:val="nil"/>
            </w:tcBorders>
            <w:shd w:val="clear" w:color="000000" w:fill="FFFFFF"/>
            <w:noWrap/>
            <w:vAlign w:val="center"/>
          </w:tcPr>
          <w:p w14:paraId="06B4A544"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center"/>
          </w:tcPr>
          <w:p w14:paraId="06B4A545"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46"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c>
          <w:tcPr>
            <w:tcW w:w="1134" w:type="dxa"/>
            <w:tcBorders>
              <w:top w:val="nil"/>
              <w:left w:val="nil"/>
              <w:bottom w:val="nil"/>
              <w:right w:val="single" w:sz="4" w:space="0" w:color="auto"/>
            </w:tcBorders>
            <w:shd w:val="clear" w:color="000000" w:fill="FFFFFF"/>
            <w:noWrap/>
            <w:vAlign w:val="center"/>
          </w:tcPr>
          <w:p w14:paraId="06B4A547" w14:textId="77777777" w:rsidR="00A658D0" w:rsidRDefault="00000000">
            <w:pPr>
              <w:jc w:val="center"/>
              <w:rPr>
                <w:rFonts w:ascii="Arial Narrow" w:hAnsi="Arial Narrow"/>
                <w:b/>
                <w:bCs/>
                <w:color w:val="000000"/>
                <w:lang w:eastAsia="es-PE"/>
              </w:rPr>
            </w:pPr>
            <w:r>
              <w:rPr>
                <w:rFonts w:ascii="Arial Narrow" w:hAnsi="Arial Narrow"/>
                <w:b/>
                <w:bCs/>
                <w:color w:val="000000"/>
                <w:lang w:eastAsia="es-PE"/>
              </w:rPr>
              <w:t> </w:t>
            </w:r>
          </w:p>
        </w:tc>
      </w:tr>
      <w:tr w:rsidR="00A658D0" w14:paraId="06B4A551" w14:textId="77777777">
        <w:trPr>
          <w:trHeight w:val="300"/>
        </w:trPr>
        <w:tc>
          <w:tcPr>
            <w:tcW w:w="1985" w:type="dxa"/>
            <w:tcBorders>
              <w:top w:val="nil"/>
              <w:left w:val="single" w:sz="4" w:space="0" w:color="auto"/>
              <w:bottom w:val="nil"/>
              <w:right w:val="nil"/>
            </w:tcBorders>
            <w:shd w:val="clear" w:color="000000" w:fill="FFFFFF"/>
            <w:noWrap/>
            <w:vAlign w:val="bottom"/>
          </w:tcPr>
          <w:p w14:paraId="06B4A549"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Norte</w:t>
            </w:r>
          </w:p>
        </w:tc>
        <w:tc>
          <w:tcPr>
            <w:tcW w:w="1134" w:type="dxa"/>
            <w:tcBorders>
              <w:top w:val="nil"/>
              <w:left w:val="single" w:sz="4" w:space="0" w:color="auto"/>
              <w:bottom w:val="nil"/>
              <w:right w:val="single" w:sz="4" w:space="0" w:color="auto"/>
            </w:tcBorders>
            <w:shd w:val="clear" w:color="000000" w:fill="FFFFFF"/>
            <w:noWrap/>
            <w:vAlign w:val="center"/>
          </w:tcPr>
          <w:p w14:paraId="06B4A54A"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4B"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54C"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4D"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54E"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54F"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550"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5A" w14:textId="77777777">
        <w:trPr>
          <w:trHeight w:val="300"/>
        </w:trPr>
        <w:tc>
          <w:tcPr>
            <w:tcW w:w="1985" w:type="dxa"/>
            <w:tcBorders>
              <w:top w:val="nil"/>
              <w:left w:val="single" w:sz="4" w:space="0" w:color="auto"/>
              <w:bottom w:val="nil"/>
              <w:right w:val="nil"/>
            </w:tcBorders>
            <w:shd w:val="clear" w:color="000000" w:fill="FFFFFF"/>
            <w:noWrap/>
            <w:vAlign w:val="bottom"/>
          </w:tcPr>
          <w:p w14:paraId="06B4A552"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 xml:space="preserve">Centro </w:t>
            </w:r>
          </w:p>
        </w:tc>
        <w:tc>
          <w:tcPr>
            <w:tcW w:w="1134" w:type="dxa"/>
            <w:tcBorders>
              <w:top w:val="nil"/>
              <w:left w:val="single" w:sz="4" w:space="0" w:color="auto"/>
              <w:bottom w:val="nil"/>
              <w:right w:val="single" w:sz="4" w:space="0" w:color="auto"/>
            </w:tcBorders>
            <w:shd w:val="clear" w:color="000000" w:fill="FFFFFF"/>
            <w:noWrap/>
            <w:vAlign w:val="center"/>
          </w:tcPr>
          <w:p w14:paraId="06B4A553"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54"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555"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56"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557"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558"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559"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63" w14:textId="77777777">
        <w:trPr>
          <w:trHeight w:val="300"/>
        </w:trPr>
        <w:tc>
          <w:tcPr>
            <w:tcW w:w="1985" w:type="dxa"/>
            <w:tcBorders>
              <w:top w:val="nil"/>
              <w:left w:val="single" w:sz="4" w:space="0" w:color="auto"/>
              <w:bottom w:val="nil"/>
              <w:right w:val="nil"/>
            </w:tcBorders>
            <w:shd w:val="clear" w:color="000000" w:fill="FFFFFF"/>
            <w:noWrap/>
            <w:vAlign w:val="bottom"/>
          </w:tcPr>
          <w:p w14:paraId="06B4A55B"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Oriente</w:t>
            </w:r>
          </w:p>
        </w:tc>
        <w:tc>
          <w:tcPr>
            <w:tcW w:w="1134" w:type="dxa"/>
            <w:tcBorders>
              <w:top w:val="nil"/>
              <w:left w:val="single" w:sz="4" w:space="0" w:color="auto"/>
              <w:bottom w:val="nil"/>
              <w:right w:val="single" w:sz="4" w:space="0" w:color="auto"/>
            </w:tcBorders>
            <w:shd w:val="clear" w:color="000000" w:fill="FFFFFF"/>
            <w:noWrap/>
            <w:vAlign w:val="center"/>
          </w:tcPr>
          <w:p w14:paraId="06B4A55C"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5D"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55E"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5F"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560"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561"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562"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6C" w14:textId="77777777">
        <w:trPr>
          <w:trHeight w:val="300"/>
        </w:trPr>
        <w:tc>
          <w:tcPr>
            <w:tcW w:w="1985" w:type="dxa"/>
            <w:tcBorders>
              <w:top w:val="nil"/>
              <w:left w:val="single" w:sz="4" w:space="0" w:color="auto"/>
              <w:bottom w:val="nil"/>
              <w:right w:val="nil"/>
            </w:tcBorders>
            <w:shd w:val="clear" w:color="000000" w:fill="FFFFFF"/>
            <w:noWrap/>
            <w:vAlign w:val="bottom"/>
          </w:tcPr>
          <w:p w14:paraId="06B4A564" w14:textId="77777777" w:rsidR="00A658D0" w:rsidRDefault="00000000">
            <w:pPr>
              <w:ind w:firstLineChars="100" w:firstLine="200"/>
              <w:rPr>
                <w:rFonts w:ascii="Arial Narrow" w:hAnsi="Arial Narrow"/>
                <w:color w:val="000000"/>
                <w:lang w:eastAsia="es-PE"/>
              </w:rPr>
            </w:pPr>
            <w:r>
              <w:rPr>
                <w:rFonts w:ascii="Arial Narrow" w:hAnsi="Arial Narrow"/>
                <w:color w:val="000000"/>
                <w:lang w:eastAsia="es-PE"/>
              </w:rPr>
              <w:t>Sur</w:t>
            </w:r>
          </w:p>
        </w:tc>
        <w:tc>
          <w:tcPr>
            <w:tcW w:w="1134" w:type="dxa"/>
            <w:tcBorders>
              <w:top w:val="nil"/>
              <w:left w:val="single" w:sz="4" w:space="0" w:color="auto"/>
              <w:bottom w:val="nil"/>
              <w:right w:val="single" w:sz="4" w:space="0" w:color="auto"/>
            </w:tcBorders>
            <w:shd w:val="clear" w:color="000000" w:fill="FFFFFF"/>
            <w:noWrap/>
            <w:vAlign w:val="center"/>
          </w:tcPr>
          <w:p w14:paraId="06B4A565"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66"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567"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68"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569"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56A"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56B"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75" w14:textId="77777777">
        <w:trPr>
          <w:trHeight w:val="300"/>
        </w:trPr>
        <w:tc>
          <w:tcPr>
            <w:tcW w:w="1985" w:type="dxa"/>
            <w:tcBorders>
              <w:top w:val="nil"/>
              <w:left w:val="single" w:sz="4" w:space="0" w:color="auto"/>
              <w:bottom w:val="nil"/>
              <w:right w:val="nil"/>
            </w:tcBorders>
            <w:shd w:val="clear" w:color="000000" w:fill="FFFFFF"/>
            <w:noWrap/>
            <w:vAlign w:val="bottom"/>
          </w:tcPr>
          <w:p w14:paraId="06B4A56D" w14:textId="77777777" w:rsidR="00A658D0" w:rsidRDefault="00000000">
            <w:pPr>
              <w:rPr>
                <w:rFonts w:ascii="Arial Narrow" w:hAnsi="Arial Narrow"/>
                <w:b/>
                <w:bCs/>
                <w:color w:val="000000"/>
                <w:lang w:eastAsia="es-PE"/>
              </w:rPr>
            </w:pPr>
            <w:r>
              <w:rPr>
                <w:rFonts w:ascii="Arial Narrow" w:hAnsi="Arial Narrow"/>
                <w:b/>
                <w:bCs/>
                <w:color w:val="000000"/>
                <w:lang w:eastAsia="es-PE"/>
              </w:rPr>
              <w:t>Extranjero</w:t>
            </w:r>
          </w:p>
        </w:tc>
        <w:tc>
          <w:tcPr>
            <w:tcW w:w="1134" w:type="dxa"/>
            <w:tcBorders>
              <w:top w:val="nil"/>
              <w:left w:val="single" w:sz="4" w:space="0" w:color="auto"/>
              <w:bottom w:val="nil"/>
              <w:right w:val="single" w:sz="4" w:space="0" w:color="auto"/>
            </w:tcBorders>
            <w:shd w:val="clear" w:color="000000" w:fill="FFFFFF"/>
            <w:noWrap/>
            <w:vAlign w:val="center"/>
          </w:tcPr>
          <w:p w14:paraId="06B4A56E"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6F"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570"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71"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572"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573"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574"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7E" w14:textId="77777777">
        <w:trPr>
          <w:trHeight w:val="300"/>
        </w:trPr>
        <w:tc>
          <w:tcPr>
            <w:tcW w:w="1985" w:type="dxa"/>
            <w:tcBorders>
              <w:top w:val="nil"/>
              <w:left w:val="single" w:sz="4" w:space="0" w:color="auto"/>
              <w:bottom w:val="nil"/>
              <w:right w:val="nil"/>
            </w:tcBorders>
            <w:shd w:val="clear" w:color="000000" w:fill="FFFFFF"/>
            <w:noWrap/>
            <w:vAlign w:val="bottom"/>
          </w:tcPr>
          <w:p w14:paraId="06B4A576" w14:textId="77777777" w:rsidR="00A658D0" w:rsidRDefault="00000000">
            <w:pPr>
              <w:rPr>
                <w:rFonts w:ascii="Arial Narrow" w:hAnsi="Arial Narrow"/>
                <w:b/>
                <w:bCs/>
                <w:color w:val="000000"/>
                <w:lang w:eastAsia="es-PE"/>
              </w:rPr>
            </w:pPr>
            <w:r>
              <w:rPr>
                <w:rFonts w:ascii="Arial Narrow" w:hAnsi="Arial Narrow"/>
                <w:b/>
                <w:bCs/>
                <w:color w:val="000000"/>
                <w:lang w:eastAsia="es-PE"/>
              </w:rPr>
              <w:t> </w:t>
            </w:r>
          </w:p>
        </w:tc>
        <w:tc>
          <w:tcPr>
            <w:tcW w:w="1134" w:type="dxa"/>
            <w:tcBorders>
              <w:top w:val="nil"/>
              <w:left w:val="single" w:sz="4" w:space="0" w:color="auto"/>
              <w:bottom w:val="nil"/>
              <w:right w:val="single" w:sz="4" w:space="0" w:color="auto"/>
            </w:tcBorders>
            <w:shd w:val="clear" w:color="000000" w:fill="FFFFFF"/>
            <w:noWrap/>
            <w:vAlign w:val="center"/>
          </w:tcPr>
          <w:p w14:paraId="06B4A577"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center"/>
          </w:tcPr>
          <w:p w14:paraId="06B4A578"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nil"/>
              <w:left w:val="nil"/>
              <w:bottom w:val="nil"/>
              <w:right w:val="single" w:sz="4" w:space="0" w:color="auto"/>
            </w:tcBorders>
            <w:shd w:val="clear" w:color="000000" w:fill="FFFFFF"/>
            <w:noWrap/>
            <w:vAlign w:val="bottom"/>
          </w:tcPr>
          <w:p w14:paraId="06B4A579"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noWrap/>
            <w:vAlign w:val="bottom"/>
          </w:tcPr>
          <w:p w14:paraId="06B4A57A"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985" w:type="dxa"/>
            <w:tcBorders>
              <w:top w:val="nil"/>
              <w:left w:val="single" w:sz="4" w:space="0" w:color="auto"/>
              <w:bottom w:val="nil"/>
              <w:right w:val="single" w:sz="4" w:space="0" w:color="auto"/>
            </w:tcBorders>
            <w:shd w:val="clear" w:color="000000" w:fill="FFFFFF"/>
            <w:noWrap/>
            <w:vAlign w:val="bottom"/>
          </w:tcPr>
          <w:p w14:paraId="06B4A57B"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276" w:type="dxa"/>
            <w:tcBorders>
              <w:top w:val="nil"/>
              <w:left w:val="nil"/>
              <w:bottom w:val="nil"/>
              <w:right w:val="single" w:sz="4" w:space="0" w:color="auto"/>
            </w:tcBorders>
            <w:shd w:val="clear" w:color="000000" w:fill="FFFFFF"/>
            <w:noWrap/>
            <w:vAlign w:val="bottom"/>
          </w:tcPr>
          <w:p w14:paraId="06B4A57C" w14:textId="77777777" w:rsidR="00A658D0" w:rsidRDefault="00000000">
            <w:pPr>
              <w:rPr>
                <w:rFonts w:ascii="Arial Narrow" w:hAnsi="Arial Narrow"/>
                <w:color w:val="000000"/>
                <w:lang w:eastAsia="es-PE"/>
              </w:rPr>
            </w:pPr>
            <w:r>
              <w:rPr>
                <w:rFonts w:ascii="Arial Narrow" w:hAnsi="Arial Narrow"/>
                <w:color w:val="000000"/>
                <w:lang w:eastAsia="es-PE"/>
              </w:rPr>
              <w:t> </w:t>
            </w:r>
          </w:p>
        </w:tc>
        <w:tc>
          <w:tcPr>
            <w:tcW w:w="1134" w:type="dxa"/>
            <w:tcBorders>
              <w:top w:val="nil"/>
              <w:left w:val="nil"/>
              <w:bottom w:val="nil"/>
              <w:right w:val="single" w:sz="4" w:space="0" w:color="auto"/>
            </w:tcBorders>
            <w:shd w:val="clear" w:color="000000" w:fill="FFFFFF"/>
            <w:noWrap/>
            <w:vAlign w:val="bottom"/>
          </w:tcPr>
          <w:p w14:paraId="06B4A57D"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r w:rsidR="00A658D0" w14:paraId="06B4A587" w14:textId="77777777">
        <w:trPr>
          <w:trHeight w:val="300"/>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4A57F" w14:textId="77777777" w:rsidR="00A658D0" w:rsidRDefault="00000000">
            <w:pPr>
              <w:rPr>
                <w:rFonts w:ascii="Arial Narrow" w:hAnsi="Arial Narrow"/>
                <w:b/>
                <w:bCs/>
                <w:color w:val="000000"/>
                <w:lang w:eastAsia="es-PE"/>
              </w:rPr>
            </w:pPr>
            <w:r>
              <w:rPr>
                <w:rFonts w:ascii="Arial Narrow" w:hAnsi="Arial Narrow"/>
                <w:b/>
                <w:bCs/>
                <w:color w:val="000000"/>
                <w:lang w:eastAsia="es-PE"/>
              </w:rPr>
              <w:t>TOTAL</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B4A580"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6B4A581"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B4A582"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291" w:type="dxa"/>
            <w:tcBorders>
              <w:top w:val="nil"/>
              <w:left w:val="nil"/>
              <w:bottom w:val="nil"/>
              <w:right w:val="nil"/>
            </w:tcBorders>
            <w:shd w:val="clear" w:color="000000" w:fill="FFFFFF"/>
            <w:vAlign w:val="center"/>
          </w:tcPr>
          <w:p w14:paraId="06B4A583"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06B4A584"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6B4A585"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B4A586" w14:textId="77777777" w:rsidR="00A658D0" w:rsidRDefault="00000000">
            <w:pPr>
              <w:jc w:val="center"/>
              <w:rPr>
                <w:rFonts w:ascii="Arial Narrow" w:hAnsi="Arial Narrow"/>
                <w:color w:val="000000"/>
                <w:lang w:eastAsia="es-PE"/>
              </w:rPr>
            </w:pPr>
            <w:r>
              <w:rPr>
                <w:rFonts w:ascii="Arial Narrow" w:hAnsi="Arial Narrow"/>
                <w:color w:val="000000"/>
                <w:lang w:eastAsia="es-PE"/>
              </w:rPr>
              <w:t> </w:t>
            </w:r>
          </w:p>
        </w:tc>
      </w:tr>
    </w:tbl>
    <w:p w14:paraId="06B4A588" w14:textId="77777777" w:rsidR="00A658D0" w:rsidRDefault="00A658D0"/>
    <w:p w14:paraId="06B4A589" w14:textId="77777777" w:rsidR="00A658D0" w:rsidRDefault="00A658D0"/>
    <w:p w14:paraId="06B4A58A" w14:textId="77777777" w:rsidR="00A658D0" w:rsidRDefault="00A658D0"/>
    <w:p w14:paraId="06B4A58B" w14:textId="77777777" w:rsidR="00A658D0" w:rsidRDefault="00A658D0"/>
    <w:p w14:paraId="06B4A58C" w14:textId="77777777" w:rsidR="00A658D0" w:rsidRDefault="00A658D0"/>
    <w:p w14:paraId="06B4A58D" w14:textId="77777777" w:rsidR="00A658D0" w:rsidRDefault="00A658D0"/>
    <w:p w14:paraId="06B4A58E" w14:textId="77777777" w:rsidR="00A658D0" w:rsidRDefault="00A658D0"/>
    <w:p w14:paraId="06B4A58F" w14:textId="77777777" w:rsidR="00A658D0" w:rsidRDefault="00A658D0"/>
    <w:p w14:paraId="06B4A590" w14:textId="77777777" w:rsidR="00A658D0" w:rsidRDefault="00A658D0"/>
    <w:p w14:paraId="06B4A591" w14:textId="77777777" w:rsidR="00A658D0" w:rsidRDefault="00000000">
      <w:pPr>
        <w:jc w:val="right"/>
        <w:rPr>
          <w:rFonts w:ascii="Arial Narrow" w:hAnsi="Arial Narrow"/>
          <w:b/>
          <w:sz w:val="22"/>
          <w:szCs w:val="22"/>
        </w:rPr>
      </w:pPr>
      <w:r>
        <w:rPr>
          <w:rFonts w:ascii="Arial Narrow" w:hAnsi="Arial Narrow"/>
          <w:b/>
        </w:rPr>
        <w:br w:type="page"/>
      </w:r>
      <w:r>
        <w:rPr>
          <w:rFonts w:ascii="Arial Narrow" w:hAnsi="Arial Narrow"/>
          <w:b/>
          <w:sz w:val="22"/>
          <w:szCs w:val="22"/>
        </w:rPr>
        <w:lastRenderedPageBreak/>
        <w:t>ANEXO 6</w:t>
      </w:r>
    </w:p>
    <w:p w14:paraId="06B4A592" w14:textId="77777777" w:rsidR="00A658D0" w:rsidRDefault="00A658D0">
      <w:pPr>
        <w:ind w:right="-6"/>
        <w:jc w:val="right"/>
        <w:rPr>
          <w:rFonts w:ascii="Arial Narrow" w:hAnsi="Arial Narrow"/>
          <w:sz w:val="22"/>
          <w:szCs w:val="22"/>
        </w:rPr>
      </w:pPr>
    </w:p>
    <w:p w14:paraId="06B4A593" w14:textId="77777777" w:rsidR="00A658D0" w:rsidRDefault="00000000">
      <w:pPr>
        <w:jc w:val="center"/>
        <w:rPr>
          <w:rFonts w:ascii="Arial Narrow" w:hAnsi="Arial Narrow"/>
          <w:bCs/>
          <w:szCs w:val="22"/>
        </w:rPr>
      </w:pPr>
      <w:r>
        <w:rPr>
          <w:rFonts w:ascii="Arial Narrow" w:hAnsi="Arial Narrow"/>
          <w:b/>
          <w:bCs/>
          <w:sz w:val="22"/>
          <w:szCs w:val="22"/>
          <w:lang w:eastAsia="es-PE"/>
        </w:rPr>
        <w:t>NOTA REFERIDA A LOS BIENES OTORGADOS EN GARANTÍA</w:t>
      </w:r>
    </w:p>
    <w:tbl>
      <w:tblPr>
        <w:tblpPr w:leftFromText="141" w:rightFromText="141" w:vertAnchor="page" w:horzAnchor="margin" w:tblpXSpec="center" w:tblpY="4527"/>
        <w:tblW w:w="7551" w:type="dxa"/>
        <w:tblCellMar>
          <w:left w:w="70" w:type="dxa"/>
          <w:right w:w="70" w:type="dxa"/>
        </w:tblCellMar>
        <w:tblLook w:val="04A0" w:firstRow="1" w:lastRow="0" w:firstColumn="1" w:lastColumn="0" w:noHBand="0" w:noVBand="1"/>
      </w:tblPr>
      <w:tblGrid>
        <w:gridCol w:w="4237"/>
        <w:gridCol w:w="1443"/>
        <w:gridCol w:w="1871"/>
      </w:tblGrid>
      <w:tr w:rsidR="00A658D0" w14:paraId="06B4A595" w14:textId="77777777">
        <w:trPr>
          <w:trHeight w:val="1027"/>
        </w:trPr>
        <w:tc>
          <w:tcPr>
            <w:tcW w:w="7551" w:type="dxa"/>
            <w:gridSpan w:val="3"/>
            <w:tcBorders>
              <w:top w:val="single" w:sz="4" w:space="0" w:color="auto"/>
              <w:left w:val="single" w:sz="4" w:space="0" w:color="auto"/>
              <w:bottom w:val="single" w:sz="4" w:space="0" w:color="auto"/>
              <w:right w:val="single" w:sz="4" w:space="0" w:color="auto"/>
            </w:tcBorders>
            <w:noWrap/>
            <w:vAlign w:val="center"/>
          </w:tcPr>
          <w:p w14:paraId="06B4A594" w14:textId="77777777" w:rsidR="00A658D0" w:rsidRDefault="00000000">
            <w:pPr>
              <w:jc w:val="center"/>
              <w:rPr>
                <w:rFonts w:ascii="Arial Narrow" w:hAnsi="Arial Narrow"/>
                <w:b/>
                <w:bCs/>
                <w:color w:val="000000"/>
                <w:sz w:val="22"/>
                <w:szCs w:val="22"/>
              </w:rPr>
            </w:pPr>
            <w:proofErr w:type="gramStart"/>
            <w:r>
              <w:rPr>
                <w:rFonts w:ascii="Arial Narrow" w:hAnsi="Arial Narrow"/>
                <w:b/>
                <w:bCs/>
                <w:color w:val="000000"/>
                <w:sz w:val="22"/>
                <w:szCs w:val="22"/>
              </w:rPr>
              <w:t>BIENES  OTORGADOS</w:t>
            </w:r>
            <w:proofErr w:type="gramEnd"/>
            <w:r>
              <w:rPr>
                <w:rFonts w:ascii="Arial Narrow" w:hAnsi="Arial Narrow"/>
                <w:b/>
                <w:bCs/>
                <w:color w:val="000000"/>
                <w:sz w:val="22"/>
                <w:szCs w:val="22"/>
              </w:rPr>
              <w:t xml:space="preserve"> EN GARANTÍA</w:t>
            </w:r>
            <w:r>
              <w:rPr>
                <w:rFonts w:ascii="Arial Narrow" w:hAnsi="Arial Narrow"/>
                <w:b/>
                <w:bCs/>
                <w:color w:val="000000"/>
                <w:sz w:val="22"/>
                <w:szCs w:val="22"/>
                <w:vertAlign w:val="superscript"/>
              </w:rPr>
              <w:t>1/</w:t>
            </w:r>
          </w:p>
        </w:tc>
      </w:tr>
      <w:tr w:rsidR="00A658D0" w14:paraId="06B4A59C" w14:textId="77777777">
        <w:trPr>
          <w:trHeight w:val="1027"/>
        </w:trPr>
        <w:tc>
          <w:tcPr>
            <w:tcW w:w="4237" w:type="dxa"/>
            <w:tcBorders>
              <w:top w:val="single" w:sz="4" w:space="0" w:color="auto"/>
              <w:left w:val="single" w:sz="4" w:space="0" w:color="auto"/>
              <w:bottom w:val="single" w:sz="4" w:space="0" w:color="auto"/>
              <w:right w:val="single" w:sz="4" w:space="0" w:color="auto"/>
            </w:tcBorders>
            <w:noWrap/>
            <w:vAlign w:val="center"/>
          </w:tcPr>
          <w:p w14:paraId="06B4A596" w14:textId="77777777" w:rsidR="00A658D0" w:rsidRDefault="00000000">
            <w:pPr>
              <w:jc w:val="center"/>
              <w:rPr>
                <w:rFonts w:ascii="Arial Narrow" w:hAnsi="Arial Narrow"/>
                <w:b/>
                <w:bCs/>
                <w:color w:val="000000"/>
                <w:sz w:val="22"/>
                <w:szCs w:val="22"/>
              </w:rPr>
            </w:pPr>
            <w:r>
              <w:rPr>
                <w:rFonts w:ascii="Arial Narrow" w:hAnsi="Arial Narrow"/>
                <w:b/>
                <w:bCs/>
                <w:color w:val="000000"/>
                <w:sz w:val="22"/>
                <w:szCs w:val="22"/>
              </w:rPr>
              <w:t xml:space="preserve">BIENES </w:t>
            </w:r>
            <w:r>
              <w:rPr>
                <w:rFonts w:ascii="Arial Narrow" w:hAnsi="Arial Narrow"/>
                <w:b/>
                <w:bCs/>
                <w:color w:val="000000"/>
                <w:sz w:val="22"/>
                <w:szCs w:val="22"/>
                <w:vertAlign w:val="superscript"/>
              </w:rPr>
              <w:t>2/</w:t>
            </w:r>
          </w:p>
          <w:p w14:paraId="06B4A597" w14:textId="77777777" w:rsidR="00A658D0" w:rsidRDefault="00A658D0">
            <w:pPr>
              <w:jc w:val="center"/>
              <w:rPr>
                <w:rFonts w:ascii="Arial Narrow" w:hAnsi="Arial Narrow"/>
                <w:b/>
                <w:bCs/>
                <w:color w:val="000000"/>
                <w:sz w:val="22"/>
                <w:szCs w:val="22"/>
              </w:rPr>
            </w:pPr>
          </w:p>
        </w:tc>
        <w:tc>
          <w:tcPr>
            <w:tcW w:w="1443" w:type="dxa"/>
            <w:tcBorders>
              <w:top w:val="single" w:sz="4" w:space="0" w:color="auto"/>
              <w:left w:val="nil"/>
              <w:bottom w:val="single" w:sz="4" w:space="0" w:color="auto"/>
              <w:right w:val="single" w:sz="4" w:space="0" w:color="auto"/>
            </w:tcBorders>
            <w:vAlign w:val="center"/>
          </w:tcPr>
          <w:p w14:paraId="06B4A598" w14:textId="77777777" w:rsidR="00A658D0" w:rsidRDefault="00000000">
            <w:pPr>
              <w:jc w:val="center"/>
              <w:rPr>
                <w:rFonts w:ascii="Arial Narrow" w:hAnsi="Arial Narrow"/>
                <w:b/>
                <w:bCs/>
                <w:color w:val="000000"/>
                <w:sz w:val="22"/>
                <w:szCs w:val="22"/>
              </w:rPr>
            </w:pPr>
            <w:r>
              <w:rPr>
                <w:rFonts w:ascii="Arial Narrow" w:hAnsi="Arial Narrow"/>
                <w:b/>
                <w:bCs/>
                <w:color w:val="000000"/>
                <w:sz w:val="22"/>
                <w:szCs w:val="22"/>
              </w:rPr>
              <w:t xml:space="preserve">Valor en libros </w:t>
            </w:r>
            <w:r>
              <w:rPr>
                <w:rFonts w:ascii="Arial Narrow" w:hAnsi="Arial Narrow"/>
                <w:b/>
                <w:bCs/>
                <w:color w:val="000000"/>
                <w:sz w:val="22"/>
                <w:szCs w:val="22"/>
                <w:vertAlign w:val="superscript"/>
              </w:rPr>
              <w:t>3/</w:t>
            </w:r>
          </w:p>
          <w:p w14:paraId="06B4A599" w14:textId="77777777" w:rsidR="00A658D0" w:rsidRDefault="00000000">
            <w:pPr>
              <w:jc w:val="center"/>
              <w:rPr>
                <w:rFonts w:ascii="Arial Narrow" w:hAnsi="Arial Narrow"/>
                <w:b/>
                <w:bCs/>
                <w:color w:val="000000"/>
                <w:sz w:val="22"/>
                <w:szCs w:val="22"/>
              </w:rPr>
            </w:pPr>
            <w:r>
              <w:rPr>
                <w:rFonts w:ascii="Arial Narrow" w:hAnsi="Arial Narrow"/>
                <w:b/>
                <w:bCs/>
                <w:color w:val="000000"/>
                <w:sz w:val="22"/>
                <w:szCs w:val="22"/>
              </w:rPr>
              <w:t>S/. (000)</w:t>
            </w:r>
          </w:p>
        </w:tc>
        <w:tc>
          <w:tcPr>
            <w:tcW w:w="1871" w:type="dxa"/>
            <w:tcBorders>
              <w:top w:val="single" w:sz="4" w:space="0" w:color="auto"/>
              <w:left w:val="nil"/>
              <w:bottom w:val="single" w:sz="4" w:space="0" w:color="auto"/>
              <w:right w:val="single" w:sz="4" w:space="0" w:color="auto"/>
            </w:tcBorders>
            <w:vAlign w:val="center"/>
          </w:tcPr>
          <w:p w14:paraId="06B4A59A" w14:textId="77777777" w:rsidR="00A658D0" w:rsidRDefault="00000000">
            <w:pPr>
              <w:jc w:val="center"/>
              <w:rPr>
                <w:rFonts w:ascii="Arial Narrow" w:hAnsi="Arial Narrow"/>
                <w:b/>
                <w:bCs/>
                <w:color w:val="000000"/>
                <w:sz w:val="22"/>
                <w:szCs w:val="22"/>
                <w:vertAlign w:val="superscript"/>
              </w:rPr>
            </w:pPr>
            <w:r>
              <w:rPr>
                <w:rFonts w:ascii="Arial Narrow" w:hAnsi="Arial Narrow"/>
                <w:b/>
                <w:bCs/>
                <w:color w:val="000000"/>
                <w:sz w:val="22"/>
                <w:szCs w:val="22"/>
              </w:rPr>
              <w:t xml:space="preserve">Deuda que respalda </w:t>
            </w:r>
            <w:r>
              <w:rPr>
                <w:rFonts w:ascii="Arial Narrow" w:hAnsi="Arial Narrow"/>
                <w:b/>
                <w:bCs/>
                <w:color w:val="000000"/>
                <w:sz w:val="22"/>
                <w:szCs w:val="22"/>
                <w:vertAlign w:val="superscript"/>
              </w:rPr>
              <w:t>4/</w:t>
            </w:r>
          </w:p>
          <w:p w14:paraId="06B4A59B" w14:textId="77777777" w:rsidR="00A658D0" w:rsidRDefault="00000000">
            <w:pPr>
              <w:jc w:val="center"/>
              <w:rPr>
                <w:rFonts w:ascii="Arial Narrow" w:hAnsi="Arial Narrow"/>
                <w:b/>
                <w:bCs/>
                <w:color w:val="000000"/>
                <w:sz w:val="22"/>
                <w:szCs w:val="22"/>
              </w:rPr>
            </w:pPr>
            <w:r>
              <w:rPr>
                <w:rFonts w:ascii="Arial Narrow" w:hAnsi="Arial Narrow"/>
                <w:b/>
                <w:bCs/>
                <w:color w:val="000000"/>
                <w:sz w:val="22"/>
                <w:szCs w:val="22"/>
              </w:rPr>
              <w:t>S/. (000)</w:t>
            </w:r>
          </w:p>
        </w:tc>
      </w:tr>
      <w:tr w:rsidR="00A658D0" w14:paraId="06B4A5A0"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9D" w14:textId="77777777" w:rsidR="00A658D0" w:rsidRDefault="00000000">
            <w:pPr>
              <w:rPr>
                <w:rFonts w:ascii="Arial Narrow" w:hAnsi="Arial Narrow"/>
                <w:color w:val="000000"/>
                <w:sz w:val="22"/>
                <w:szCs w:val="22"/>
              </w:rPr>
            </w:pPr>
            <w:r>
              <w:rPr>
                <w:rFonts w:ascii="Arial Narrow" w:hAnsi="Arial Narrow"/>
                <w:color w:val="000000"/>
                <w:sz w:val="22"/>
                <w:szCs w:val="22"/>
              </w:rPr>
              <w:t>Contrato 1</w:t>
            </w:r>
          </w:p>
        </w:tc>
        <w:tc>
          <w:tcPr>
            <w:tcW w:w="1443" w:type="dxa"/>
            <w:tcBorders>
              <w:top w:val="nil"/>
              <w:left w:val="nil"/>
              <w:bottom w:val="single" w:sz="4" w:space="0" w:color="auto"/>
              <w:right w:val="single" w:sz="4" w:space="0" w:color="auto"/>
            </w:tcBorders>
            <w:noWrap/>
            <w:vAlign w:val="bottom"/>
          </w:tcPr>
          <w:p w14:paraId="06B4A59E"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9F" w14:textId="77777777" w:rsidR="00A658D0" w:rsidRDefault="00A658D0">
            <w:pPr>
              <w:rPr>
                <w:rFonts w:ascii="Arial Narrow" w:hAnsi="Arial Narrow"/>
                <w:color w:val="000000"/>
                <w:sz w:val="22"/>
                <w:szCs w:val="22"/>
              </w:rPr>
            </w:pPr>
          </w:p>
        </w:tc>
      </w:tr>
      <w:tr w:rsidR="00A658D0" w14:paraId="06B4A5A4"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A1" w14:textId="77777777" w:rsidR="00A658D0" w:rsidRDefault="00A658D0">
            <w:pPr>
              <w:rPr>
                <w:rFonts w:ascii="Arial Narrow" w:hAnsi="Arial Narrow"/>
                <w:color w:val="000000"/>
                <w:sz w:val="22"/>
                <w:szCs w:val="22"/>
              </w:rPr>
            </w:pPr>
          </w:p>
        </w:tc>
        <w:tc>
          <w:tcPr>
            <w:tcW w:w="1443" w:type="dxa"/>
            <w:tcBorders>
              <w:top w:val="nil"/>
              <w:left w:val="nil"/>
              <w:bottom w:val="single" w:sz="4" w:space="0" w:color="auto"/>
              <w:right w:val="single" w:sz="4" w:space="0" w:color="auto"/>
            </w:tcBorders>
            <w:noWrap/>
            <w:vAlign w:val="bottom"/>
          </w:tcPr>
          <w:p w14:paraId="06B4A5A2"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A3" w14:textId="77777777" w:rsidR="00A658D0" w:rsidRDefault="00A658D0">
            <w:pPr>
              <w:rPr>
                <w:rFonts w:ascii="Arial Narrow" w:hAnsi="Arial Narrow"/>
                <w:color w:val="000000"/>
                <w:sz w:val="22"/>
                <w:szCs w:val="22"/>
              </w:rPr>
            </w:pPr>
          </w:p>
        </w:tc>
      </w:tr>
      <w:tr w:rsidR="00A658D0" w14:paraId="06B4A5A8"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A5" w14:textId="77777777" w:rsidR="00A658D0" w:rsidRDefault="00A658D0">
            <w:pPr>
              <w:rPr>
                <w:rFonts w:ascii="Arial Narrow" w:hAnsi="Arial Narrow"/>
                <w:color w:val="000000"/>
                <w:sz w:val="22"/>
                <w:szCs w:val="22"/>
              </w:rPr>
            </w:pPr>
          </w:p>
        </w:tc>
        <w:tc>
          <w:tcPr>
            <w:tcW w:w="1443" w:type="dxa"/>
            <w:tcBorders>
              <w:top w:val="nil"/>
              <w:left w:val="nil"/>
              <w:bottom w:val="single" w:sz="4" w:space="0" w:color="auto"/>
              <w:right w:val="single" w:sz="4" w:space="0" w:color="auto"/>
            </w:tcBorders>
            <w:noWrap/>
            <w:vAlign w:val="bottom"/>
          </w:tcPr>
          <w:p w14:paraId="06B4A5A6"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A7" w14:textId="77777777" w:rsidR="00A658D0" w:rsidRDefault="00A658D0">
            <w:pPr>
              <w:rPr>
                <w:rFonts w:ascii="Arial Narrow" w:hAnsi="Arial Narrow"/>
                <w:color w:val="000000"/>
                <w:sz w:val="22"/>
                <w:szCs w:val="22"/>
              </w:rPr>
            </w:pPr>
          </w:p>
        </w:tc>
      </w:tr>
      <w:tr w:rsidR="00A658D0" w14:paraId="06B4A5AC"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A9" w14:textId="77777777" w:rsidR="00A658D0" w:rsidRDefault="00A658D0">
            <w:pPr>
              <w:ind w:firstLineChars="100" w:firstLine="220"/>
              <w:rPr>
                <w:rFonts w:ascii="Arial Narrow" w:hAnsi="Arial Narrow"/>
                <w:color w:val="000000"/>
                <w:sz w:val="22"/>
                <w:szCs w:val="22"/>
              </w:rPr>
            </w:pPr>
          </w:p>
        </w:tc>
        <w:tc>
          <w:tcPr>
            <w:tcW w:w="1443" w:type="dxa"/>
            <w:tcBorders>
              <w:top w:val="nil"/>
              <w:left w:val="nil"/>
              <w:bottom w:val="single" w:sz="4" w:space="0" w:color="auto"/>
              <w:right w:val="single" w:sz="4" w:space="0" w:color="auto"/>
            </w:tcBorders>
            <w:noWrap/>
            <w:vAlign w:val="bottom"/>
          </w:tcPr>
          <w:p w14:paraId="06B4A5AA"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AB"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B0"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AD" w14:textId="77777777" w:rsidR="00A658D0" w:rsidRDefault="00000000">
            <w:pPr>
              <w:jc w:val="both"/>
              <w:rPr>
                <w:rFonts w:ascii="Arial Narrow" w:hAnsi="Arial Narrow"/>
                <w:color w:val="000000"/>
                <w:sz w:val="22"/>
                <w:szCs w:val="22"/>
              </w:rPr>
            </w:pPr>
            <w:r>
              <w:rPr>
                <w:rFonts w:ascii="Arial Narrow" w:hAnsi="Arial Narrow"/>
                <w:color w:val="000000"/>
                <w:sz w:val="22"/>
                <w:szCs w:val="22"/>
              </w:rPr>
              <w:t>Contrato 2</w:t>
            </w:r>
          </w:p>
        </w:tc>
        <w:tc>
          <w:tcPr>
            <w:tcW w:w="1443" w:type="dxa"/>
            <w:tcBorders>
              <w:top w:val="nil"/>
              <w:left w:val="nil"/>
              <w:bottom w:val="single" w:sz="4" w:space="0" w:color="auto"/>
              <w:right w:val="single" w:sz="4" w:space="0" w:color="auto"/>
            </w:tcBorders>
            <w:noWrap/>
            <w:vAlign w:val="bottom"/>
          </w:tcPr>
          <w:p w14:paraId="06B4A5AE"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AF"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B4"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B1" w14:textId="77777777" w:rsidR="00A658D0" w:rsidRDefault="00A658D0">
            <w:pPr>
              <w:rPr>
                <w:rFonts w:ascii="Arial Narrow" w:hAnsi="Arial Narrow"/>
                <w:color w:val="000000"/>
                <w:sz w:val="22"/>
                <w:szCs w:val="22"/>
              </w:rPr>
            </w:pPr>
          </w:p>
        </w:tc>
        <w:tc>
          <w:tcPr>
            <w:tcW w:w="1443" w:type="dxa"/>
            <w:tcBorders>
              <w:top w:val="nil"/>
              <w:left w:val="nil"/>
              <w:bottom w:val="single" w:sz="4" w:space="0" w:color="auto"/>
              <w:right w:val="single" w:sz="4" w:space="0" w:color="auto"/>
            </w:tcBorders>
            <w:noWrap/>
            <w:vAlign w:val="bottom"/>
          </w:tcPr>
          <w:p w14:paraId="06B4A5B2"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B3"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B8"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B5" w14:textId="77777777" w:rsidR="00A658D0" w:rsidRDefault="00A658D0">
            <w:pPr>
              <w:rPr>
                <w:rFonts w:ascii="Arial Narrow" w:hAnsi="Arial Narrow"/>
                <w:color w:val="000000"/>
                <w:sz w:val="22"/>
                <w:szCs w:val="22"/>
              </w:rPr>
            </w:pPr>
          </w:p>
        </w:tc>
        <w:tc>
          <w:tcPr>
            <w:tcW w:w="1443" w:type="dxa"/>
            <w:tcBorders>
              <w:top w:val="nil"/>
              <w:left w:val="nil"/>
              <w:bottom w:val="single" w:sz="4" w:space="0" w:color="auto"/>
              <w:right w:val="single" w:sz="4" w:space="0" w:color="auto"/>
            </w:tcBorders>
            <w:noWrap/>
            <w:vAlign w:val="bottom"/>
          </w:tcPr>
          <w:p w14:paraId="06B4A5B6"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B7"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BC"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B9" w14:textId="77777777" w:rsidR="00A658D0" w:rsidRDefault="00000000">
            <w:pPr>
              <w:ind w:firstLineChars="100" w:firstLine="220"/>
              <w:rPr>
                <w:rFonts w:ascii="Arial Narrow" w:hAnsi="Arial Narrow"/>
                <w:color w:val="000000"/>
                <w:sz w:val="22"/>
                <w:szCs w:val="22"/>
              </w:rPr>
            </w:pPr>
            <w:r>
              <w:rPr>
                <w:rFonts w:ascii="Arial Narrow" w:hAnsi="Arial Narrow"/>
                <w:color w:val="000000"/>
                <w:sz w:val="22"/>
                <w:szCs w:val="22"/>
              </w:rPr>
              <w:t>:</w:t>
            </w:r>
          </w:p>
        </w:tc>
        <w:tc>
          <w:tcPr>
            <w:tcW w:w="1443" w:type="dxa"/>
            <w:tcBorders>
              <w:top w:val="nil"/>
              <w:left w:val="nil"/>
              <w:bottom w:val="single" w:sz="4" w:space="0" w:color="auto"/>
              <w:right w:val="single" w:sz="4" w:space="0" w:color="auto"/>
            </w:tcBorders>
            <w:noWrap/>
            <w:vAlign w:val="bottom"/>
          </w:tcPr>
          <w:p w14:paraId="06B4A5BA"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BB"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C0"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BD" w14:textId="77777777" w:rsidR="00A658D0" w:rsidRDefault="00A658D0">
            <w:pPr>
              <w:ind w:firstLineChars="100" w:firstLine="220"/>
              <w:rPr>
                <w:rFonts w:ascii="Arial Narrow" w:hAnsi="Arial Narrow"/>
                <w:color w:val="000000"/>
                <w:sz w:val="22"/>
                <w:szCs w:val="22"/>
              </w:rPr>
            </w:pPr>
          </w:p>
        </w:tc>
        <w:tc>
          <w:tcPr>
            <w:tcW w:w="1443" w:type="dxa"/>
            <w:tcBorders>
              <w:top w:val="nil"/>
              <w:left w:val="nil"/>
              <w:bottom w:val="single" w:sz="4" w:space="0" w:color="auto"/>
              <w:right w:val="single" w:sz="4" w:space="0" w:color="auto"/>
            </w:tcBorders>
            <w:noWrap/>
            <w:vAlign w:val="bottom"/>
          </w:tcPr>
          <w:p w14:paraId="06B4A5BE"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noWrap/>
            <w:vAlign w:val="bottom"/>
          </w:tcPr>
          <w:p w14:paraId="06B4A5BF"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C4" w14:textId="77777777">
        <w:trPr>
          <w:trHeight w:val="342"/>
        </w:trPr>
        <w:tc>
          <w:tcPr>
            <w:tcW w:w="4237" w:type="dxa"/>
            <w:tcBorders>
              <w:top w:val="nil"/>
              <w:left w:val="single" w:sz="4" w:space="0" w:color="auto"/>
              <w:bottom w:val="single" w:sz="4" w:space="0" w:color="auto"/>
              <w:right w:val="single" w:sz="4" w:space="0" w:color="auto"/>
            </w:tcBorders>
            <w:noWrap/>
            <w:vAlign w:val="bottom"/>
          </w:tcPr>
          <w:p w14:paraId="06B4A5C1" w14:textId="77777777" w:rsidR="00A658D0" w:rsidRDefault="00000000">
            <w:pPr>
              <w:jc w:val="right"/>
              <w:rPr>
                <w:rFonts w:ascii="Arial Narrow" w:hAnsi="Arial Narrow"/>
                <w:b/>
                <w:bCs/>
                <w:color w:val="000000"/>
                <w:sz w:val="22"/>
                <w:szCs w:val="22"/>
              </w:rPr>
            </w:pPr>
            <w:r>
              <w:rPr>
                <w:rFonts w:ascii="Arial Narrow" w:hAnsi="Arial Narrow"/>
                <w:b/>
                <w:bCs/>
                <w:color w:val="000000"/>
                <w:sz w:val="22"/>
                <w:szCs w:val="22"/>
              </w:rPr>
              <w:t>Total</w:t>
            </w:r>
          </w:p>
        </w:tc>
        <w:tc>
          <w:tcPr>
            <w:tcW w:w="1443" w:type="dxa"/>
            <w:tcBorders>
              <w:top w:val="nil"/>
              <w:left w:val="nil"/>
              <w:bottom w:val="single" w:sz="4" w:space="0" w:color="auto"/>
              <w:right w:val="single" w:sz="4" w:space="0" w:color="auto"/>
            </w:tcBorders>
            <w:noWrap/>
            <w:vAlign w:val="bottom"/>
          </w:tcPr>
          <w:p w14:paraId="06B4A5C2"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c>
          <w:tcPr>
            <w:tcW w:w="1871" w:type="dxa"/>
            <w:tcBorders>
              <w:top w:val="nil"/>
              <w:left w:val="nil"/>
              <w:bottom w:val="single" w:sz="4" w:space="0" w:color="auto"/>
              <w:right w:val="single" w:sz="4" w:space="0" w:color="auto"/>
            </w:tcBorders>
            <w:shd w:val="clear" w:color="auto" w:fill="FFFFFF"/>
            <w:noWrap/>
            <w:vAlign w:val="bottom"/>
          </w:tcPr>
          <w:p w14:paraId="06B4A5C3" w14:textId="77777777" w:rsidR="00A658D0" w:rsidRDefault="00000000">
            <w:pPr>
              <w:rPr>
                <w:rFonts w:ascii="Arial Narrow" w:hAnsi="Arial Narrow"/>
                <w:color w:val="000000"/>
                <w:sz w:val="22"/>
                <w:szCs w:val="22"/>
              </w:rPr>
            </w:pPr>
            <w:r>
              <w:rPr>
                <w:rFonts w:ascii="Arial Narrow" w:hAnsi="Arial Narrow"/>
                <w:color w:val="000000"/>
                <w:sz w:val="22"/>
                <w:szCs w:val="22"/>
              </w:rPr>
              <w:t> </w:t>
            </w:r>
          </w:p>
        </w:tc>
      </w:tr>
      <w:tr w:rsidR="00A658D0" w14:paraId="06B4A5C6" w14:textId="77777777">
        <w:trPr>
          <w:trHeight w:val="342"/>
        </w:trPr>
        <w:tc>
          <w:tcPr>
            <w:tcW w:w="7551" w:type="dxa"/>
            <w:gridSpan w:val="3"/>
            <w:tcBorders>
              <w:top w:val="nil"/>
              <w:left w:val="nil"/>
              <w:bottom w:val="nil"/>
              <w:right w:val="nil"/>
            </w:tcBorders>
            <w:noWrap/>
            <w:vAlign w:val="bottom"/>
          </w:tcPr>
          <w:p w14:paraId="06B4A5C5" w14:textId="77777777" w:rsidR="00A658D0" w:rsidRDefault="00000000">
            <w:pPr>
              <w:tabs>
                <w:tab w:val="left" w:pos="213"/>
                <w:tab w:val="left" w:pos="657"/>
              </w:tabs>
              <w:jc w:val="both"/>
              <w:rPr>
                <w:rFonts w:ascii="Arial Narrow" w:hAnsi="Arial Narrow"/>
                <w:color w:val="000000"/>
                <w:sz w:val="22"/>
                <w:szCs w:val="22"/>
              </w:rPr>
            </w:pPr>
            <w:r>
              <w:rPr>
                <w:rFonts w:ascii="Arial Narrow" w:hAnsi="Arial Narrow"/>
                <w:bCs/>
                <w:color w:val="000000"/>
                <w:sz w:val="22"/>
                <w:szCs w:val="22"/>
                <w:vertAlign w:val="superscript"/>
              </w:rPr>
              <w:t>1/</w:t>
            </w:r>
            <w:r>
              <w:rPr>
                <w:rFonts w:ascii="Arial Narrow" w:hAnsi="Arial Narrow"/>
                <w:color w:val="000000"/>
                <w:sz w:val="22"/>
                <w:szCs w:val="22"/>
              </w:rPr>
              <w:t xml:space="preserve"> Incluye los fideicomisos en garantía constituidos sobre bienes, en calidad de fideicomitentes.</w:t>
            </w:r>
          </w:p>
        </w:tc>
      </w:tr>
      <w:tr w:rsidR="00A658D0" w14:paraId="06B4A5C8" w14:textId="77777777">
        <w:trPr>
          <w:trHeight w:val="342"/>
        </w:trPr>
        <w:tc>
          <w:tcPr>
            <w:tcW w:w="7551" w:type="dxa"/>
            <w:gridSpan w:val="3"/>
            <w:tcBorders>
              <w:top w:val="nil"/>
              <w:left w:val="nil"/>
              <w:bottom w:val="nil"/>
              <w:right w:val="nil"/>
            </w:tcBorders>
            <w:noWrap/>
            <w:vAlign w:val="bottom"/>
          </w:tcPr>
          <w:p w14:paraId="06B4A5C7" w14:textId="77777777" w:rsidR="00A658D0" w:rsidRDefault="00000000">
            <w:pPr>
              <w:rPr>
                <w:rFonts w:ascii="Arial Narrow" w:hAnsi="Arial Narrow"/>
                <w:color w:val="000000"/>
                <w:sz w:val="22"/>
                <w:szCs w:val="22"/>
              </w:rPr>
            </w:pPr>
            <w:r>
              <w:rPr>
                <w:rFonts w:ascii="Arial Narrow" w:hAnsi="Arial Narrow"/>
                <w:color w:val="000000"/>
                <w:sz w:val="22"/>
                <w:szCs w:val="22"/>
                <w:vertAlign w:val="superscript"/>
              </w:rPr>
              <w:t>2/</w:t>
            </w:r>
            <w:r>
              <w:rPr>
                <w:rFonts w:ascii="Arial Narrow" w:hAnsi="Arial Narrow"/>
                <w:color w:val="000000"/>
                <w:sz w:val="22"/>
                <w:szCs w:val="22"/>
              </w:rPr>
              <w:t xml:space="preserve"> Discriminar en cada contrato, el tipo de bien (inversiones, propiedad, planta y equipo, entre otros).</w:t>
            </w:r>
          </w:p>
        </w:tc>
      </w:tr>
      <w:tr w:rsidR="00A658D0" w14:paraId="06B4A5CA" w14:textId="77777777">
        <w:trPr>
          <w:trHeight w:val="342"/>
        </w:trPr>
        <w:tc>
          <w:tcPr>
            <w:tcW w:w="7551" w:type="dxa"/>
            <w:gridSpan w:val="3"/>
            <w:tcBorders>
              <w:top w:val="nil"/>
              <w:left w:val="nil"/>
              <w:bottom w:val="nil"/>
              <w:right w:val="nil"/>
            </w:tcBorders>
            <w:noWrap/>
            <w:vAlign w:val="bottom"/>
          </w:tcPr>
          <w:p w14:paraId="06B4A5C9" w14:textId="77777777" w:rsidR="00A658D0" w:rsidRDefault="00000000">
            <w:pPr>
              <w:rPr>
                <w:rFonts w:ascii="Arial Narrow" w:hAnsi="Arial Narrow"/>
                <w:color w:val="000000"/>
                <w:sz w:val="22"/>
                <w:szCs w:val="22"/>
              </w:rPr>
            </w:pPr>
            <w:r>
              <w:rPr>
                <w:rFonts w:ascii="Arial Narrow" w:hAnsi="Arial Narrow"/>
                <w:color w:val="000000"/>
                <w:sz w:val="22"/>
                <w:szCs w:val="22"/>
                <w:vertAlign w:val="superscript"/>
              </w:rPr>
              <w:t>3/</w:t>
            </w:r>
            <w:r>
              <w:rPr>
                <w:rFonts w:ascii="Arial Narrow" w:hAnsi="Arial Narrow"/>
                <w:color w:val="000000"/>
                <w:sz w:val="22"/>
                <w:szCs w:val="22"/>
              </w:rPr>
              <w:t xml:space="preserve"> Considerar el valor contable neto.</w:t>
            </w:r>
          </w:p>
        </w:tc>
      </w:tr>
      <w:tr w:rsidR="00A658D0" w14:paraId="06B4A5CC" w14:textId="77777777">
        <w:trPr>
          <w:trHeight w:val="342"/>
        </w:trPr>
        <w:tc>
          <w:tcPr>
            <w:tcW w:w="7551" w:type="dxa"/>
            <w:gridSpan w:val="3"/>
            <w:tcBorders>
              <w:top w:val="nil"/>
              <w:left w:val="nil"/>
              <w:bottom w:val="nil"/>
              <w:right w:val="nil"/>
            </w:tcBorders>
            <w:noWrap/>
            <w:vAlign w:val="bottom"/>
          </w:tcPr>
          <w:p w14:paraId="06B4A5CB" w14:textId="77777777" w:rsidR="00A658D0" w:rsidRDefault="00000000">
            <w:pPr>
              <w:rPr>
                <w:rFonts w:ascii="Arial Narrow" w:hAnsi="Arial Narrow"/>
                <w:color w:val="000000"/>
                <w:sz w:val="22"/>
                <w:szCs w:val="22"/>
              </w:rPr>
            </w:pPr>
            <w:r>
              <w:rPr>
                <w:rFonts w:ascii="Arial Narrow" w:hAnsi="Arial Narrow"/>
                <w:color w:val="000000"/>
                <w:sz w:val="22"/>
                <w:szCs w:val="22"/>
                <w:vertAlign w:val="superscript"/>
              </w:rPr>
              <w:t>4/</w:t>
            </w:r>
            <w:r>
              <w:rPr>
                <w:rFonts w:ascii="Arial Narrow" w:hAnsi="Arial Narrow"/>
                <w:color w:val="000000"/>
                <w:sz w:val="22"/>
                <w:szCs w:val="22"/>
              </w:rPr>
              <w:t xml:space="preserve"> Considerar solo el saldo de capital de la deuda que respalda.”</w:t>
            </w:r>
          </w:p>
        </w:tc>
      </w:tr>
    </w:tbl>
    <w:p w14:paraId="06B4A5CD" w14:textId="77777777" w:rsidR="00A658D0" w:rsidRDefault="00A658D0">
      <w:pPr>
        <w:jc w:val="center"/>
      </w:pPr>
    </w:p>
    <w:sectPr w:rsidR="00A658D0">
      <w:pgSz w:w="11907" w:h="16840"/>
      <w:pgMar w:top="2835" w:right="1134"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5CA6" w14:textId="77777777" w:rsidR="004E0F5C" w:rsidRDefault="004E0F5C">
      <w:r>
        <w:separator/>
      </w:r>
    </w:p>
  </w:endnote>
  <w:endnote w:type="continuationSeparator" w:id="0">
    <w:p w14:paraId="3FE4ADA5" w14:textId="77777777" w:rsidR="004E0F5C" w:rsidRDefault="004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ttawa">
    <w:altName w:val="Courier New"/>
    <w:charset w:val="00"/>
    <w:family w:val="swiss"/>
    <w:pitch w:val="default"/>
    <w:sig w:usb0="00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A5D2" w14:textId="77777777" w:rsidR="00A658D0" w:rsidRDefault="00000000">
    <w:pPr>
      <w:pStyle w:val="Piedepgina"/>
      <w:jc w:val="right"/>
    </w:pPr>
    <w:r>
      <w:rPr>
        <w:rFonts w:ascii="Arial Narrow" w:hAnsi="Arial Narrow"/>
        <w:sz w:val="18"/>
        <w:szCs w:val="16"/>
      </w:rPr>
      <w:fldChar w:fldCharType="begin"/>
    </w:r>
    <w:r>
      <w:rPr>
        <w:rFonts w:ascii="Arial Narrow" w:hAnsi="Arial Narrow"/>
        <w:sz w:val="18"/>
        <w:szCs w:val="16"/>
      </w:rPr>
      <w:instrText xml:space="preserve"> PAGE   \* MERGEFORMAT </w:instrText>
    </w:r>
    <w:r>
      <w:rPr>
        <w:rFonts w:ascii="Arial Narrow" w:hAnsi="Arial Narrow"/>
        <w:sz w:val="18"/>
        <w:szCs w:val="16"/>
      </w:rPr>
      <w:fldChar w:fldCharType="separate"/>
    </w:r>
    <w:r>
      <w:rPr>
        <w:rFonts w:ascii="Arial Narrow" w:hAnsi="Arial Narrow"/>
        <w:sz w:val="18"/>
        <w:szCs w:val="16"/>
      </w:rPr>
      <w:t>22</w:t>
    </w:r>
    <w:r>
      <w:rPr>
        <w:rFonts w:ascii="Arial Narrow" w:hAnsi="Arial Narrow"/>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0681" w14:textId="77777777" w:rsidR="004E0F5C" w:rsidRDefault="004E0F5C">
      <w:r>
        <w:separator/>
      </w:r>
    </w:p>
  </w:footnote>
  <w:footnote w:type="continuationSeparator" w:id="0">
    <w:p w14:paraId="0F8AD8DC" w14:textId="77777777" w:rsidR="004E0F5C" w:rsidRDefault="004E0F5C">
      <w:r>
        <w:continuationSeparator/>
      </w:r>
    </w:p>
  </w:footnote>
  <w:footnote w:id="1">
    <w:p w14:paraId="06B4A5D5"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Numeral modificado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 </w:t>
      </w:r>
    </w:p>
  </w:footnote>
  <w:footnote w:id="2">
    <w:p w14:paraId="06B4A5D6"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Numeral modificado por la Resolución SBS N.º 976-2021 del 31.03.2021.</w:t>
      </w:r>
    </w:p>
  </w:footnote>
  <w:footnote w:id="3">
    <w:p w14:paraId="06B4A5D7"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Numeral incorporado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w:t>
      </w:r>
    </w:p>
  </w:footnote>
  <w:footnote w:id="4">
    <w:p w14:paraId="06B4A5D8" w14:textId="77777777" w:rsidR="00A658D0" w:rsidRDefault="00000000">
      <w:pPr>
        <w:pStyle w:val="Textonotapie"/>
        <w:jc w:val="both"/>
        <w:rPr>
          <w:rFonts w:ascii="Arial Narrow" w:hAnsi="Arial Narrow"/>
          <w:sz w:val="18"/>
          <w:szCs w:val="18"/>
        </w:rPr>
      </w:pPr>
      <w:r>
        <w:rPr>
          <w:rStyle w:val="Refdenotaalpie"/>
          <w:rFonts w:ascii="Arial Narrow" w:hAnsi="Arial Narrow"/>
          <w:sz w:val="16"/>
          <w:szCs w:val="16"/>
        </w:rPr>
        <w:footnoteRef/>
      </w:r>
      <w:r>
        <w:rPr>
          <w:rFonts w:ascii="Arial Narrow" w:hAnsi="Arial Narrow"/>
          <w:sz w:val="16"/>
          <w:szCs w:val="16"/>
        </w:rPr>
        <w:t xml:space="preserve"> Numeral modificado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w:t>
      </w:r>
    </w:p>
  </w:footnote>
  <w:footnote w:id="5">
    <w:p w14:paraId="06B4A5D9"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Numeral modificado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w:t>
      </w:r>
    </w:p>
  </w:footnote>
  <w:footnote w:id="6">
    <w:p w14:paraId="06B4A5DA" w14:textId="77777777" w:rsidR="00A658D0" w:rsidRDefault="00000000">
      <w:pPr>
        <w:pStyle w:val="Textonotapie"/>
        <w:jc w:val="both"/>
      </w:pPr>
      <w:r>
        <w:rPr>
          <w:rStyle w:val="Refdenotaalpie"/>
          <w:rFonts w:ascii="Arial Narrow" w:hAnsi="Arial Narrow"/>
          <w:sz w:val="16"/>
          <w:szCs w:val="16"/>
        </w:rPr>
        <w:footnoteRef/>
      </w:r>
      <w:r>
        <w:rPr>
          <w:rFonts w:ascii="Arial Narrow" w:hAnsi="Arial Narrow"/>
          <w:sz w:val="16"/>
          <w:szCs w:val="16"/>
        </w:rPr>
        <w:t xml:space="preserve"> Numeral modificado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w:t>
      </w:r>
    </w:p>
  </w:footnote>
  <w:footnote w:id="7">
    <w:p w14:paraId="06B4A5DB"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Título modificado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w:t>
      </w:r>
    </w:p>
  </w:footnote>
  <w:footnote w:id="8">
    <w:p w14:paraId="06B4A5DC" w14:textId="77777777" w:rsidR="00A658D0" w:rsidRDefault="00000000">
      <w:pPr>
        <w:pStyle w:val="Textonotapie"/>
        <w:jc w:val="both"/>
        <w:rPr>
          <w:rFonts w:ascii="Arial Narrow" w:hAnsi="Arial Narrow"/>
          <w:sz w:val="18"/>
          <w:szCs w:val="18"/>
        </w:rPr>
      </w:pPr>
      <w:r>
        <w:rPr>
          <w:rStyle w:val="Refdenotaalpie"/>
          <w:rFonts w:ascii="Arial Narrow" w:hAnsi="Arial Narrow"/>
          <w:sz w:val="16"/>
          <w:szCs w:val="16"/>
        </w:rPr>
        <w:footnoteRef/>
      </w:r>
      <w:r>
        <w:rPr>
          <w:rFonts w:ascii="Arial Narrow" w:hAnsi="Arial Narrow"/>
          <w:sz w:val="16"/>
          <w:szCs w:val="16"/>
        </w:rPr>
        <w:t xml:space="preserve"> Numeral 4 modificado por la Resolución SBS </w:t>
      </w:r>
      <w:proofErr w:type="spellStart"/>
      <w:r>
        <w:rPr>
          <w:rFonts w:ascii="Arial Narrow" w:hAnsi="Arial Narrow"/>
          <w:sz w:val="16"/>
          <w:szCs w:val="16"/>
        </w:rPr>
        <w:t>N°</w:t>
      </w:r>
      <w:proofErr w:type="spellEnd"/>
      <w:r>
        <w:rPr>
          <w:rFonts w:ascii="Arial Narrow" w:hAnsi="Arial Narrow"/>
          <w:sz w:val="16"/>
          <w:szCs w:val="16"/>
        </w:rPr>
        <w:t xml:space="preserve"> 6468-2018 del 28.10.2015.</w:t>
      </w:r>
    </w:p>
  </w:footnote>
  <w:footnote w:id="9">
    <w:p w14:paraId="06B4A5DD"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46589-2012, en tanto no se modifique el Plan de Cuentas y por la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03.06.2015.</w:t>
      </w:r>
    </w:p>
  </w:footnote>
  <w:footnote w:id="10">
    <w:p w14:paraId="06B4A5DE" w14:textId="77777777" w:rsidR="00A658D0" w:rsidRDefault="00000000">
      <w:pPr>
        <w:pStyle w:val="Textonotapie"/>
        <w:jc w:val="both"/>
      </w:pPr>
      <w:r>
        <w:rPr>
          <w:rStyle w:val="Refdenotaalpie"/>
          <w:rFonts w:ascii="Arial Narrow" w:hAnsi="Arial Narrow"/>
          <w:sz w:val="16"/>
          <w:szCs w:val="16"/>
        </w:rPr>
        <w:footnoteRef/>
      </w:r>
      <w:r>
        <w:rPr>
          <w:rFonts w:ascii="Arial Narrow" w:hAnsi="Arial Narrow"/>
          <w:sz w:val="16"/>
          <w:szCs w:val="16"/>
        </w:rPr>
        <w:t xml:space="preserve"> Plazo modificado por la Resolución SBS </w:t>
      </w:r>
      <w:proofErr w:type="spellStart"/>
      <w:r>
        <w:rPr>
          <w:rFonts w:ascii="Arial Narrow" w:hAnsi="Arial Narrow"/>
          <w:sz w:val="16"/>
          <w:szCs w:val="16"/>
        </w:rPr>
        <w:t>N°</w:t>
      </w:r>
      <w:proofErr w:type="spellEnd"/>
      <w:r>
        <w:rPr>
          <w:rFonts w:ascii="Arial Narrow" w:hAnsi="Arial Narrow"/>
          <w:sz w:val="16"/>
          <w:szCs w:val="16"/>
        </w:rPr>
        <w:t xml:space="preserve"> 6468-2018 del 28.10.2015.</w:t>
      </w:r>
    </w:p>
  </w:footnote>
  <w:footnote w:id="11">
    <w:p w14:paraId="06B4A5DF" w14:textId="77777777" w:rsidR="00A658D0" w:rsidRDefault="00000000">
      <w:pPr>
        <w:pStyle w:val="Textonotapie"/>
        <w:rPr>
          <w:rStyle w:val="Refdenotaalpie"/>
          <w:rFonts w:ascii="Arial Narrow" w:hAnsi="Arial Narrow"/>
          <w:sz w:val="16"/>
          <w:szCs w:val="16"/>
        </w:rPr>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Modificado por la Resolución SBS N.º 976-2021 del 31.03.2021.</w:t>
      </w:r>
    </w:p>
  </w:footnote>
  <w:footnote w:id="12">
    <w:p w14:paraId="06B4A5E0" w14:textId="77777777" w:rsidR="00A658D0" w:rsidRDefault="00000000">
      <w:pPr>
        <w:pStyle w:val="Textonotapie"/>
        <w:rPr>
          <w:rStyle w:val="Refdenotaalpie"/>
          <w:rFonts w:ascii="Arial Narrow" w:hAnsi="Arial Narrow"/>
          <w:sz w:val="16"/>
          <w:szCs w:val="16"/>
        </w:rPr>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Modificado por la Resolución SBS N.º 976-2021 del 31.03.2021.</w:t>
      </w:r>
    </w:p>
  </w:footnote>
  <w:footnote w:id="13">
    <w:p w14:paraId="06B4A5E1" w14:textId="77777777" w:rsidR="00A658D0" w:rsidRDefault="00000000">
      <w:pPr>
        <w:pStyle w:val="Textonotapie"/>
      </w:pPr>
      <w:r>
        <w:rPr>
          <w:rStyle w:val="Refdenotaalpie"/>
          <w:rFonts w:ascii="Arial Narrow" w:hAnsi="Arial Narrow"/>
          <w:sz w:val="16"/>
          <w:szCs w:val="16"/>
        </w:rPr>
        <w:footnoteRef/>
      </w:r>
      <w:r>
        <w:rPr>
          <w:rFonts w:ascii="Arial Narrow" w:hAnsi="Arial Narrow"/>
          <w:sz w:val="16"/>
          <w:szCs w:val="16"/>
        </w:rPr>
        <w:t xml:space="preserve"> Modificado por la Resolución SBS N.º 976-2021 del 31.03.2021.</w:t>
      </w:r>
    </w:p>
  </w:footnote>
  <w:footnote w:id="14">
    <w:p w14:paraId="06B4A5E2"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sz w:val="16"/>
          <w:szCs w:val="16"/>
        </w:rPr>
        <w:t xml:space="preserve"> </w:t>
      </w:r>
      <w:r>
        <w:rPr>
          <w:rFonts w:ascii="Arial Narrow" w:hAnsi="Arial Narrow"/>
          <w:sz w:val="16"/>
          <w:szCs w:val="16"/>
        </w:rPr>
        <w:t xml:space="preserve">Párrafo modificado por la Resolución SBS </w:t>
      </w:r>
      <w:proofErr w:type="spellStart"/>
      <w:r>
        <w:rPr>
          <w:rFonts w:ascii="Arial Narrow" w:hAnsi="Arial Narrow"/>
          <w:sz w:val="16"/>
          <w:szCs w:val="16"/>
        </w:rPr>
        <w:t>N°</w:t>
      </w:r>
      <w:proofErr w:type="spellEnd"/>
      <w:r>
        <w:rPr>
          <w:rFonts w:ascii="Arial Narrow" w:hAnsi="Arial Narrow"/>
          <w:sz w:val="16"/>
          <w:szCs w:val="16"/>
        </w:rPr>
        <w:t xml:space="preserve"> 6468-2015 del 28.10.2015</w:t>
      </w:r>
    </w:p>
  </w:footnote>
  <w:footnote w:id="15">
    <w:p w14:paraId="06B4A5E3"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Numeral modificado por la Resolución SBS N°854-2024 publicada el 08.03.2024, vigente a partir del 01.01.2025.</w:t>
      </w:r>
    </w:p>
  </w:footnote>
  <w:footnote w:id="16">
    <w:p w14:paraId="06B4A5E4"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Párrafo modificado por la Resolución SBS N°854-2024 publicada el 08.03.2024, vigente a partir del 01.01.2025.</w:t>
      </w:r>
    </w:p>
  </w:footnote>
  <w:footnote w:id="17">
    <w:p w14:paraId="06B4A5E5"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modificado por la Resolución SBS N°854-2024 publicada el 08.03.2024, vigente a partir del 01.01.2025.</w:t>
      </w:r>
    </w:p>
  </w:footnote>
  <w:footnote w:id="18">
    <w:p w14:paraId="06B4A5E6"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modificado por la Resolución SBS N°854-2024 publicada el 08.03.2024, vigente a partir del 01.01.2025.</w:t>
      </w:r>
    </w:p>
  </w:footnote>
  <w:footnote w:id="19">
    <w:p w14:paraId="06B4A5E7" w14:textId="77777777" w:rsidR="00A658D0" w:rsidRDefault="00000000">
      <w:pPr>
        <w:pStyle w:val="Textonotapie"/>
        <w:rPr>
          <w:rStyle w:val="Refdenotaalpie"/>
          <w:rFonts w:ascii="Arial Narrow" w:hAnsi="Arial Narrow"/>
          <w:sz w:val="16"/>
          <w:szCs w:val="16"/>
        </w:rPr>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Literal modificado mediante Resolución SBS </w:t>
      </w:r>
      <w:proofErr w:type="spellStart"/>
      <w:r>
        <w:rPr>
          <w:rFonts w:ascii="Arial Narrow" w:hAnsi="Arial Narrow"/>
          <w:sz w:val="16"/>
          <w:szCs w:val="16"/>
        </w:rPr>
        <w:t>N°</w:t>
      </w:r>
      <w:proofErr w:type="spellEnd"/>
      <w:r>
        <w:rPr>
          <w:rFonts w:ascii="Arial Narrow" w:hAnsi="Arial Narrow"/>
          <w:sz w:val="16"/>
          <w:szCs w:val="16"/>
        </w:rPr>
        <w:t xml:space="preserve"> 0779-2021 del 16.03.2021. Posteriormente modificado por la Resolución SBS N°854-2024 publicada el 08.03.2024, vigente a partir del 01.01.2025.</w:t>
      </w:r>
    </w:p>
  </w:footnote>
  <w:footnote w:id="20">
    <w:p w14:paraId="06B4A5E8"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modificado mediante Resolución SBS </w:t>
      </w:r>
      <w:proofErr w:type="spellStart"/>
      <w:r>
        <w:rPr>
          <w:rFonts w:ascii="Arial Narrow" w:hAnsi="Arial Narrow"/>
          <w:sz w:val="16"/>
          <w:szCs w:val="16"/>
        </w:rPr>
        <w:t>N°</w:t>
      </w:r>
      <w:proofErr w:type="spellEnd"/>
      <w:r>
        <w:rPr>
          <w:rFonts w:ascii="Arial Narrow" w:hAnsi="Arial Narrow"/>
          <w:sz w:val="16"/>
          <w:szCs w:val="16"/>
        </w:rPr>
        <w:t xml:space="preserve"> 0779-2021 del 16.03.2021. Posteriormente modificado por la Resolución SBS N°854-2024 publicada el 08.03.2024, vigente a partir del 01.01.2025.</w:t>
      </w:r>
    </w:p>
  </w:footnote>
  <w:footnote w:id="21">
    <w:p w14:paraId="06B4A5E9"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eliminado por la Resolución SBS N°854-2024 publicada el 08.03.2024, vigente a partir del 01.01.2025.</w:t>
      </w:r>
    </w:p>
  </w:footnote>
  <w:footnote w:id="22">
    <w:p w14:paraId="06B4A5EA"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eliminado por la Resolución SBS N°854-2024 publicada el 08.03.2024, vigente a partir del 01.01.2025.</w:t>
      </w:r>
    </w:p>
  </w:footnote>
  <w:footnote w:id="23">
    <w:p w14:paraId="06B4A5EB"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eliminado por la Resolución SBS N°854-2024 publicada el 08.03.2024, vigente a partir del 01.01.2025.</w:t>
      </w:r>
    </w:p>
  </w:footnote>
  <w:footnote w:id="24">
    <w:p w14:paraId="06B4A5EC"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Literal modificado por la Resolución SBS N°854-2024 publicada el 08.03.2024, vigente a partir del 01.01.2025.</w:t>
      </w:r>
    </w:p>
  </w:footnote>
  <w:footnote w:id="25">
    <w:p w14:paraId="06B4A5ED"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Párrafo modificado por la Resolución SBS N°854-2024 publicada el 08.03.2024, vigente a partir del 01.01.2025.</w:t>
      </w:r>
    </w:p>
  </w:footnote>
  <w:footnote w:id="26">
    <w:p w14:paraId="06B4A5EE"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Párrafo incorporado por la Resolución SBS N°854-2024 publicada el 08.03.2024, vigente a partir del 01.01.2025.</w:t>
      </w:r>
    </w:p>
  </w:footnote>
  <w:footnote w:id="27">
    <w:p w14:paraId="06B4A5EF"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Numeral modificado mediante Resolución SBS </w:t>
      </w:r>
      <w:proofErr w:type="spellStart"/>
      <w:r>
        <w:rPr>
          <w:rFonts w:ascii="Arial Narrow" w:hAnsi="Arial Narrow"/>
          <w:sz w:val="16"/>
          <w:szCs w:val="16"/>
        </w:rPr>
        <w:t>N°</w:t>
      </w:r>
      <w:proofErr w:type="spellEnd"/>
      <w:r>
        <w:rPr>
          <w:rFonts w:ascii="Arial Narrow" w:hAnsi="Arial Narrow"/>
          <w:sz w:val="16"/>
          <w:szCs w:val="16"/>
        </w:rPr>
        <w:t xml:space="preserve"> 809-2019, de fecha 27 de febrero de 2019.</w:t>
      </w:r>
    </w:p>
  </w:footnote>
  <w:footnote w:id="28">
    <w:p w14:paraId="06B4A5F0"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Título modificado por la Resolución SBS </w:t>
      </w:r>
      <w:proofErr w:type="spellStart"/>
      <w:r>
        <w:rPr>
          <w:rFonts w:ascii="Arial Narrow" w:hAnsi="Arial Narrow"/>
          <w:sz w:val="16"/>
          <w:szCs w:val="16"/>
        </w:rPr>
        <w:t>Nº</w:t>
      </w:r>
      <w:proofErr w:type="spellEnd"/>
      <w:r>
        <w:rPr>
          <w:rFonts w:ascii="Arial Narrow" w:hAnsi="Arial Narrow"/>
          <w:sz w:val="16"/>
          <w:szCs w:val="16"/>
        </w:rPr>
        <w:t xml:space="preserve"> 7037-2012 del 19.09.2012</w:t>
      </w:r>
    </w:p>
  </w:footnote>
  <w:footnote w:id="29">
    <w:p w14:paraId="06B4A5F1" w14:textId="77777777" w:rsidR="00A658D0" w:rsidRDefault="0000000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Descripción modificada por Resolución SBS N°2451-2021 del 21.08.2021.</w:t>
      </w:r>
    </w:p>
  </w:footnote>
  <w:footnote w:id="30">
    <w:p w14:paraId="06B4A5F2"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Párrafo incorporado por Resolución SBS N°1882-2014 del 26-03-2014</w:t>
      </w:r>
    </w:p>
  </w:footnote>
  <w:footnote w:id="31">
    <w:p w14:paraId="06B4A5F3"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Tabla modificada por Resolución SBS </w:t>
      </w:r>
      <w:proofErr w:type="spellStart"/>
      <w:r>
        <w:rPr>
          <w:rFonts w:ascii="Arial Narrow" w:hAnsi="Arial Narrow"/>
          <w:sz w:val="16"/>
          <w:szCs w:val="16"/>
        </w:rPr>
        <w:t>N°</w:t>
      </w:r>
      <w:proofErr w:type="spellEnd"/>
      <w:r>
        <w:rPr>
          <w:rFonts w:ascii="Arial Narrow" w:hAnsi="Arial Narrow"/>
          <w:sz w:val="16"/>
          <w:szCs w:val="16"/>
        </w:rPr>
        <w:t xml:space="preserve"> 8243-2008 del 04-09-2008, vigente desde el 01-01-2009 y sus normas modificatorias y complementarias.</w:t>
      </w:r>
    </w:p>
  </w:footnote>
  <w:footnote w:id="32">
    <w:p w14:paraId="06B4A5F4" w14:textId="77777777" w:rsidR="00A658D0" w:rsidRDefault="00000000">
      <w:pPr>
        <w:pStyle w:val="Textonotapie"/>
        <w:jc w:val="both"/>
        <w:rPr>
          <w:sz w:val="16"/>
          <w:szCs w:val="16"/>
        </w:rPr>
      </w:pPr>
      <w:r>
        <w:rPr>
          <w:rStyle w:val="Refdenotaalpie"/>
          <w:rFonts w:ascii="Arial Narrow" w:hAnsi="Arial Narrow"/>
          <w:sz w:val="16"/>
          <w:szCs w:val="16"/>
        </w:rPr>
        <w:footnoteRef/>
      </w:r>
      <w:r>
        <w:rPr>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w:t>
      </w:r>
      <w:r>
        <w:rPr>
          <w:rFonts w:ascii="Arial Narrow" w:hAnsi="Arial Narrow"/>
          <w:snapToGrid w:val="0"/>
          <w:sz w:val="16"/>
          <w:szCs w:val="16"/>
        </w:rPr>
        <w:t>3734 - 2020-SBS del 27.01.2020.</w:t>
      </w:r>
    </w:p>
  </w:footnote>
  <w:footnote w:id="33">
    <w:p w14:paraId="06B4A5F5"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sz w:val="16"/>
          <w:szCs w:val="16"/>
          <w:lang w:val="es-ES"/>
        </w:rPr>
        <w:t>Código incorporado por Resolución SBS N°7037-2012 del 19.09.2012.</w:t>
      </w:r>
      <w:r>
        <w:rPr>
          <w:rFonts w:ascii="Arial Narrow" w:hAnsi="Arial Narrow"/>
          <w:sz w:val="16"/>
          <w:szCs w:val="16"/>
        </w:rPr>
        <w:t xml:space="preserve"> Posteriormente modificado por Oficio Múltiple </w:t>
      </w:r>
      <w:proofErr w:type="spellStart"/>
      <w:r>
        <w:rPr>
          <w:rFonts w:ascii="Arial Narrow" w:hAnsi="Arial Narrow"/>
          <w:sz w:val="16"/>
          <w:szCs w:val="16"/>
        </w:rPr>
        <w:t>N°</w:t>
      </w:r>
      <w:proofErr w:type="spellEnd"/>
      <w:r>
        <w:rPr>
          <w:rFonts w:ascii="Arial Narrow" w:hAnsi="Arial Narrow"/>
          <w:sz w:val="16"/>
          <w:szCs w:val="16"/>
        </w:rPr>
        <w:t xml:space="preserve"> 15406-2025-SBS del 20.03.2025. Posteriormente eliminado mediante Oficio Múltiple </w:t>
      </w:r>
      <w:proofErr w:type="spellStart"/>
      <w:r>
        <w:rPr>
          <w:rFonts w:ascii="Arial Narrow" w:hAnsi="Arial Narrow"/>
          <w:sz w:val="16"/>
          <w:szCs w:val="16"/>
        </w:rPr>
        <w:t>N°</w:t>
      </w:r>
      <w:proofErr w:type="spellEnd"/>
      <w:r>
        <w:rPr>
          <w:rFonts w:ascii="Arial Narrow" w:hAnsi="Arial Narrow"/>
          <w:sz w:val="16"/>
          <w:szCs w:val="16"/>
        </w:rPr>
        <w:t xml:space="preserve"> 30277-2025-SBS del 10.06.2025.</w:t>
      </w:r>
    </w:p>
  </w:footnote>
  <w:footnote w:id="34">
    <w:p w14:paraId="06B4A5F6"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Código incorporado por Resolución SBS </w:t>
      </w:r>
      <w:proofErr w:type="spellStart"/>
      <w:r>
        <w:rPr>
          <w:rFonts w:ascii="Arial Narrow" w:hAnsi="Arial Narrow"/>
          <w:sz w:val="16"/>
          <w:szCs w:val="16"/>
        </w:rPr>
        <w:t>N°</w:t>
      </w:r>
      <w:proofErr w:type="spellEnd"/>
      <w:r>
        <w:rPr>
          <w:rFonts w:ascii="Arial Narrow" w:hAnsi="Arial Narrow"/>
          <w:sz w:val="16"/>
          <w:szCs w:val="16"/>
        </w:rPr>
        <w:t xml:space="preserve"> 2740-2011 del 25-02-2011. Posteriormente, mediante Oficio Múltiple </w:t>
      </w:r>
      <w:proofErr w:type="spellStart"/>
      <w:r>
        <w:rPr>
          <w:rFonts w:ascii="Arial Narrow" w:hAnsi="Arial Narrow"/>
          <w:sz w:val="16"/>
          <w:szCs w:val="16"/>
        </w:rPr>
        <w:t>N°</w:t>
      </w:r>
      <w:proofErr w:type="spellEnd"/>
      <w:r>
        <w:rPr>
          <w:rFonts w:ascii="Arial Narrow" w:hAnsi="Arial Narrow"/>
          <w:sz w:val="16"/>
          <w:szCs w:val="16"/>
        </w:rPr>
        <w:t xml:space="preserve"> 14806-2016 del 20.</w:t>
      </w:r>
      <w:proofErr w:type="gramStart"/>
      <w:r>
        <w:rPr>
          <w:rFonts w:ascii="Arial Narrow" w:hAnsi="Arial Narrow"/>
          <w:sz w:val="16"/>
          <w:szCs w:val="16"/>
        </w:rPr>
        <w:t>04.2016.Posteriormente</w:t>
      </w:r>
      <w:proofErr w:type="gramEnd"/>
      <w:r>
        <w:rPr>
          <w:rFonts w:ascii="Arial Narrow" w:hAnsi="Arial Narrow"/>
          <w:sz w:val="16"/>
          <w:szCs w:val="16"/>
        </w:rPr>
        <w:t xml:space="preserve"> eliminado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35">
    <w:p w14:paraId="06B4A5F7" w14:textId="77777777" w:rsidR="00A658D0" w:rsidRDefault="0000000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Denominación modificada por Oficio Múltiple </w:t>
      </w:r>
      <w:proofErr w:type="spellStart"/>
      <w:r>
        <w:rPr>
          <w:rFonts w:ascii="Arial Narrow" w:hAnsi="Arial Narrow"/>
          <w:sz w:val="16"/>
          <w:szCs w:val="16"/>
        </w:rPr>
        <w:t>N°</w:t>
      </w:r>
      <w:proofErr w:type="spellEnd"/>
      <w:r>
        <w:rPr>
          <w:rFonts w:ascii="Arial Narrow" w:hAnsi="Arial Narrow"/>
          <w:sz w:val="16"/>
          <w:szCs w:val="16"/>
        </w:rPr>
        <w:t xml:space="preserve"> 46448-2022-SBS del 25.10.2022.</w:t>
      </w:r>
    </w:p>
  </w:footnote>
  <w:footnote w:id="36">
    <w:p w14:paraId="06B4A5F8"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Códigos modificados por Oficio Múltiple </w:t>
      </w:r>
      <w:proofErr w:type="spellStart"/>
      <w:r>
        <w:rPr>
          <w:rFonts w:ascii="Arial Narrow" w:hAnsi="Arial Narrow"/>
          <w:sz w:val="16"/>
          <w:szCs w:val="16"/>
        </w:rPr>
        <w:t>N°</w:t>
      </w:r>
      <w:proofErr w:type="spellEnd"/>
      <w:r>
        <w:rPr>
          <w:rFonts w:ascii="Arial Narrow" w:hAnsi="Arial Narrow"/>
          <w:sz w:val="16"/>
          <w:szCs w:val="16"/>
        </w:rPr>
        <w:t xml:space="preserve"> 30264-2014 del 22-08-2014 y por la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03-06-215. Posteriormente eliminado mediante Oficio Múltiple </w:t>
      </w:r>
      <w:proofErr w:type="spellStart"/>
      <w:r>
        <w:rPr>
          <w:rFonts w:ascii="Arial Narrow" w:hAnsi="Arial Narrow"/>
          <w:sz w:val="16"/>
          <w:szCs w:val="16"/>
        </w:rPr>
        <w:t>N°</w:t>
      </w:r>
      <w:proofErr w:type="spellEnd"/>
      <w:r>
        <w:rPr>
          <w:rFonts w:ascii="Arial Narrow" w:hAnsi="Arial Narrow"/>
          <w:sz w:val="16"/>
          <w:szCs w:val="16"/>
        </w:rPr>
        <w:t xml:space="preserve"> 11470-2025-SBS del 27.02.2025.</w:t>
      </w:r>
    </w:p>
  </w:footnote>
  <w:footnote w:id="37">
    <w:p w14:paraId="06B4A5F9" w14:textId="77777777" w:rsidR="00A658D0" w:rsidRDefault="00000000">
      <w:pPr>
        <w:pStyle w:val="Textonotapie"/>
        <w:rPr>
          <w:rFonts w:ascii="Arial Narrow" w:hAnsi="Arial Narrow"/>
        </w:rPr>
      </w:pPr>
      <w:r>
        <w:rPr>
          <w:rStyle w:val="Refdenotaalpie"/>
          <w:rFonts w:ascii="Arial Narrow" w:hAnsi="Arial Narrow"/>
          <w:sz w:val="16"/>
          <w:szCs w:val="16"/>
        </w:rPr>
        <w:footnoteRef/>
      </w:r>
      <w:r>
        <w:rPr>
          <w:rFonts w:ascii="Arial Narrow" w:hAnsi="Arial Narrow"/>
          <w:sz w:val="16"/>
          <w:szCs w:val="16"/>
        </w:rPr>
        <w:t xml:space="preserve"> Eliminado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38">
    <w:p w14:paraId="06B4A5FA" w14:textId="77777777" w:rsidR="00A658D0" w:rsidRDefault="00000000">
      <w:pPr>
        <w:pStyle w:val="Textonotapie"/>
      </w:pPr>
      <w:r>
        <w:rPr>
          <w:rStyle w:val="Refdenotaalpie"/>
          <w:rFonts w:ascii="Arial Narrow" w:hAnsi="Arial Narrow"/>
          <w:sz w:val="16"/>
          <w:szCs w:val="16"/>
        </w:rPr>
        <w:footnoteRef/>
      </w:r>
      <w:r>
        <w:t xml:space="preserve"> </w:t>
      </w:r>
      <w:r>
        <w:rPr>
          <w:rFonts w:ascii="Arial Narrow" w:hAnsi="Arial Narrow"/>
          <w:sz w:val="16"/>
          <w:szCs w:val="16"/>
        </w:rPr>
        <w:t>Modificado por la Resolución SBS N.º 976-2021 del 31.03.2021.</w:t>
      </w:r>
    </w:p>
  </w:footnote>
  <w:footnote w:id="39">
    <w:p w14:paraId="06B4A5FB"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Denominación modificada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40">
    <w:p w14:paraId="06B4A5FC" w14:textId="77777777" w:rsidR="00A658D0" w:rsidRDefault="00000000">
      <w:pPr>
        <w:pStyle w:val="Textonotapie"/>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Códigos incorporados por Oficio Múltiple N.º 38314-2012 del 10-10-2012 y por la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03-06-215.</w:t>
      </w:r>
    </w:p>
  </w:footnote>
  <w:footnote w:id="41">
    <w:p w14:paraId="06B4A5FD" w14:textId="77777777" w:rsidR="00A658D0" w:rsidRPr="000C46C1" w:rsidRDefault="00000000">
      <w:pPr>
        <w:pStyle w:val="Textonotapie"/>
        <w:snapToGrid w:val="0"/>
        <w:rPr>
          <w:rFonts w:ascii="Arial Narrow" w:hAnsi="Arial Narrow" w:cs="Arial Narrow"/>
          <w:sz w:val="16"/>
          <w:szCs w:val="16"/>
        </w:rPr>
      </w:pPr>
      <w:r w:rsidRPr="000C46C1">
        <w:rPr>
          <w:rStyle w:val="Refdenotaalpie"/>
          <w:rFonts w:ascii="Arial Narrow" w:hAnsi="Arial Narrow" w:cs="Arial Narrow"/>
          <w:sz w:val="16"/>
          <w:szCs w:val="16"/>
        </w:rPr>
        <w:footnoteRef/>
      </w:r>
      <w:r w:rsidRPr="000C46C1">
        <w:rPr>
          <w:rFonts w:ascii="Arial Narrow" w:hAnsi="Arial Narrow" w:cs="Arial Narrow"/>
          <w:sz w:val="16"/>
          <w:szCs w:val="16"/>
        </w:rPr>
        <w:t xml:space="preserve"> Eliminado por Oficio Múltiple </w:t>
      </w:r>
      <w:proofErr w:type="spellStart"/>
      <w:r w:rsidRPr="000C46C1">
        <w:rPr>
          <w:rFonts w:ascii="Arial Narrow" w:hAnsi="Arial Narrow" w:cs="Arial Narrow"/>
          <w:sz w:val="16"/>
          <w:szCs w:val="16"/>
        </w:rPr>
        <w:t>N°</w:t>
      </w:r>
      <w:proofErr w:type="spellEnd"/>
      <w:r w:rsidRPr="000C46C1">
        <w:rPr>
          <w:rFonts w:ascii="Arial Narrow" w:hAnsi="Arial Narrow" w:cs="Arial Narrow"/>
          <w:sz w:val="16"/>
          <w:szCs w:val="16"/>
        </w:rPr>
        <w:t xml:space="preserve"> 43923-2025-SBS del 20.08.2025</w:t>
      </w:r>
    </w:p>
  </w:footnote>
  <w:footnote w:id="42">
    <w:p w14:paraId="06B4A5FE" w14:textId="77777777" w:rsidR="00A658D0" w:rsidRDefault="00000000">
      <w:pPr>
        <w:pStyle w:val="Textonotapie"/>
        <w:rPr>
          <w:rFonts w:ascii="Arial Narrow" w:hAnsi="Arial Narrow"/>
        </w:rPr>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10223-2024-SBS del 19.02.2024.</w:t>
      </w:r>
    </w:p>
  </w:footnote>
  <w:footnote w:id="43">
    <w:p w14:paraId="06B4A5FF" w14:textId="77777777" w:rsidR="00A658D0" w:rsidRDefault="0000000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Denominación modificada por Oficio Múltiple </w:t>
      </w:r>
      <w:proofErr w:type="spellStart"/>
      <w:r>
        <w:rPr>
          <w:rFonts w:ascii="Arial Narrow" w:hAnsi="Arial Narrow"/>
          <w:sz w:val="16"/>
          <w:szCs w:val="16"/>
        </w:rPr>
        <w:t>N°</w:t>
      </w:r>
      <w:proofErr w:type="spellEnd"/>
      <w:r>
        <w:rPr>
          <w:rFonts w:ascii="Arial Narrow" w:hAnsi="Arial Narrow"/>
          <w:sz w:val="16"/>
          <w:szCs w:val="16"/>
        </w:rPr>
        <w:t xml:space="preserve"> 59994-2021-SBS del 10.12.2021.</w:t>
      </w:r>
    </w:p>
  </w:footnote>
  <w:footnote w:id="44">
    <w:p w14:paraId="06B4A600" w14:textId="77777777" w:rsidR="00A658D0" w:rsidRDefault="00000000">
      <w:pPr>
        <w:pStyle w:val="Textonotapie"/>
        <w:rPr>
          <w:rFonts w:ascii="Arial Narrow" w:hAnsi="Arial Narrow"/>
        </w:rPr>
      </w:pPr>
      <w:r>
        <w:rPr>
          <w:rStyle w:val="Refdenotaalpie"/>
          <w:rFonts w:ascii="Arial Narrow" w:hAnsi="Arial Narrow"/>
          <w:sz w:val="16"/>
          <w:szCs w:val="16"/>
        </w:rPr>
        <w:footnoteRef/>
      </w:r>
      <w:r>
        <w:rPr>
          <w:rFonts w:ascii="Arial Narrow" w:hAnsi="Arial Narrow"/>
          <w:sz w:val="16"/>
          <w:szCs w:val="16"/>
        </w:rPr>
        <w:t xml:space="preserve"> Eliminado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45">
    <w:p w14:paraId="06B4A601" w14:textId="77777777" w:rsidR="00A658D0" w:rsidRDefault="00000000">
      <w:pPr>
        <w:pStyle w:val="Textonotapie"/>
      </w:pPr>
      <w:r>
        <w:rPr>
          <w:rStyle w:val="Refdenotaalpie"/>
          <w:rFonts w:ascii="Arial Narrow" w:hAnsi="Arial Narrow"/>
          <w:sz w:val="16"/>
          <w:szCs w:val="16"/>
        </w:rPr>
        <w:footnoteRef/>
      </w:r>
      <w:r>
        <w:t xml:space="preserve"> </w:t>
      </w:r>
      <w:r>
        <w:rPr>
          <w:rFonts w:ascii="Arial Narrow" w:hAnsi="Arial Narrow"/>
          <w:sz w:val="16"/>
          <w:szCs w:val="16"/>
        </w:rPr>
        <w:t>Eliminado por la Resolución SBS N.º 976-2021 del 31.03.2021.</w:t>
      </w:r>
    </w:p>
  </w:footnote>
  <w:footnote w:id="46">
    <w:p w14:paraId="06B4A602" w14:textId="77777777" w:rsidR="00A658D0" w:rsidRDefault="00000000">
      <w:pPr>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30264-2014 del 22-08-2014 y por la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03-06-215.</w:t>
      </w:r>
    </w:p>
  </w:footnote>
  <w:footnote w:id="47">
    <w:p w14:paraId="06B4A603" w14:textId="77777777" w:rsidR="00A658D0" w:rsidRDefault="00000000">
      <w:pPr>
        <w:pStyle w:val="Textonotapie"/>
        <w:jc w:val="both"/>
        <w:rPr>
          <w:rFonts w:ascii="Arial Narrow" w:hAnsi="Arial Narrow"/>
          <w:snapToGrid w:val="0"/>
          <w:sz w:val="16"/>
          <w:szCs w:val="16"/>
        </w:rPr>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5363-2017-SBS del 09.02.2017. </w:t>
      </w:r>
      <w:proofErr w:type="gramStart"/>
      <w:r>
        <w:rPr>
          <w:rFonts w:ascii="Arial Narrow" w:hAnsi="Arial Narrow"/>
          <w:snapToGrid w:val="0"/>
          <w:sz w:val="16"/>
          <w:szCs w:val="16"/>
        </w:rPr>
        <w:t>De acuerdo a</w:t>
      </w:r>
      <w:proofErr w:type="gramEnd"/>
      <w:r>
        <w:rPr>
          <w:rFonts w:ascii="Arial Narrow" w:hAnsi="Arial Narrow"/>
          <w:snapToGrid w:val="0"/>
          <w:sz w:val="16"/>
          <w:szCs w:val="16"/>
        </w:rPr>
        <w:t xml:space="preserve"> la Primera Disposición Complementaria Final del Decreto Legislativo </w:t>
      </w:r>
      <w:proofErr w:type="spellStart"/>
      <w:r>
        <w:rPr>
          <w:rFonts w:ascii="Arial Narrow" w:hAnsi="Arial Narrow"/>
          <w:snapToGrid w:val="0"/>
          <w:sz w:val="16"/>
          <w:szCs w:val="16"/>
        </w:rPr>
        <w:t>Nº</w:t>
      </w:r>
      <w:proofErr w:type="spellEnd"/>
      <w:r>
        <w:rPr>
          <w:rFonts w:ascii="Arial Narrow" w:hAnsi="Arial Narrow"/>
          <w:snapToGrid w:val="0"/>
          <w:sz w:val="16"/>
          <w:szCs w:val="16"/>
        </w:rPr>
        <w:t xml:space="preserve"> 1531 que modifica la Ley General, establece que, a partir de su </w:t>
      </w:r>
      <w:proofErr w:type="gramStart"/>
      <w:r>
        <w:rPr>
          <w:rFonts w:ascii="Arial Narrow" w:hAnsi="Arial Narrow"/>
          <w:snapToGrid w:val="0"/>
          <w:sz w:val="16"/>
          <w:szCs w:val="16"/>
        </w:rPr>
        <w:t>entrada en vigencia</w:t>
      </w:r>
      <w:proofErr w:type="gramEnd"/>
      <w:r>
        <w:rPr>
          <w:rFonts w:ascii="Arial Narrow" w:hAnsi="Arial Narrow"/>
          <w:snapToGrid w:val="0"/>
          <w:sz w:val="16"/>
          <w:szCs w:val="16"/>
        </w:rPr>
        <w:t xml:space="preserve">, toda referencia contenida en el marco legal vigente a Entidad de Desarrollo de la Pequeña y </w:t>
      </w:r>
      <w:proofErr w:type="gramStart"/>
      <w:r>
        <w:rPr>
          <w:rFonts w:ascii="Arial Narrow" w:hAnsi="Arial Narrow"/>
          <w:snapToGrid w:val="0"/>
          <w:sz w:val="16"/>
          <w:szCs w:val="16"/>
        </w:rPr>
        <w:t>Micro Empresa</w:t>
      </w:r>
      <w:proofErr w:type="gramEnd"/>
      <w:r>
        <w:rPr>
          <w:rFonts w:ascii="Arial Narrow" w:hAnsi="Arial Narrow"/>
          <w:snapToGrid w:val="0"/>
          <w:sz w:val="16"/>
          <w:szCs w:val="16"/>
        </w:rPr>
        <w:t xml:space="preserve"> – </w:t>
      </w:r>
      <w:proofErr w:type="spellStart"/>
      <w:r>
        <w:rPr>
          <w:rFonts w:ascii="Arial Narrow" w:hAnsi="Arial Narrow"/>
          <w:snapToGrid w:val="0"/>
          <w:sz w:val="16"/>
          <w:szCs w:val="16"/>
        </w:rPr>
        <w:t>Edpyme</w:t>
      </w:r>
      <w:proofErr w:type="spellEnd"/>
      <w:r>
        <w:rPr>
          <w:rFonts w:ascii="Arial Narrow" w:hAnsi="Arial Narrow"/>
          <w:snapToGrid w:val="0"/>
          <w:sz w:val="16"/>
          <w:szCs w:val="16"/>
        </w:rPr>
        <w:t xml:space="preserve"> o que su redacción la comprenda implícitamente, debe entenderse referida a Empresa de Créditos del numeral 5 del literal A del artículo 16 de la Ley General.</w:t>
      </w:r>
    </w:p>
  </w:footnote>
  <w:footnote w:id="48">
    <w:p w14:paraId="06B4A604" w14:textId="77777777" w:rsidR="00A658D0" w:rsidRDefault="00000000">
      <w:pPr>
        <w:pStyle w:val="Textonotapie"/>
        <w:jc w:val="both"/>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12752-2020-SBS del 07.05.2020</w:t>
      </w:r>
    </w:p>
  </w:footnote>
  <w:footnote w:id="49">
    <w:p w14:paraId="06B4A605" w14:textId="77777777" w:rsidR="00A658D0" w:rsidRDefault="00000000">
      <w:pPr>
        <w:pStyle w:val="Textonotapie"/>
        <w:jc w:val="both"/>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58114-2021-SBS del 29.11.2021</w:t>
      </w:r>
    </w:p>
  </w:footnote>
  <w:footnote w:id="50">
    <w:p w14:paraId="06B4A606" w14:textId="77777777" w:rsidR="00A658D0" w:rsidRDefault="00000000">
      <w:pPr>
        <w:pStyle w:val="Textonotapie"/>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25271-2022-SBS del 20.06.2022</w:t>
      </w:r>
    </w:p>
  </w:footnote>
  <w:footnote w:id="51">
    <w:p w14:paraId="06B4A607" w14:textId="77777777" w:rsidR="00A658D0" w:rsidRDefault="00000000">
      <w:pPr>
        <w:pStyle w:val="Textonotapie"/>
        <w:rPr>
          <w:rFonts w:ascii="Arial Narrow" w:hAnsi="Arial Narrow"/>
        </w:rPr>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11470-2025-SBS del 27.02.2025.</w:t>
      </w:r>
    </w:p>
  </w:footnote>
  <w:footnote w:id="52">
    <w:p w14:paraId="06B4A608" w14:textId="77777777" w:rsidR="00A658D0" w:rsidRDefault="00000000">
      <w:pPr>
        <w:pStyle w:val="Textonotapie"/>
        <w:rPr>
          <w:rFonts w:ascii="Arial Narrow" w:hAnsi="Arial Narrow"/>
        </w:rPr>
      </w:pPr>
      <w:r>
        <w:rPr>
          <w:rStyle w:val="Refdenotaalpie"/>
          <w:rFonts w:ascii="Arial Narrow" w:hAnsi="Arial Narrow"/>
          <w:sz w:val="16"/>
          <w:szCs w:val="16"/>
        </w:rPr>
        <w:footnoteRef/>
      </w:r>
      <w:r>
        <w:rPr>
          <w:rFonts w:ascii="Arial Narrow" w:hAnsi="Arial Narrow"/>
          <w:sz w:val="16"/>
          <w:szCs w:val="16"/>
        </w:rPr>
        <w:t xml:space="preserve"> Código incorporado por Oficio Múltiple </w:t>
      </w:r>
      <w:proofErr w:type="spellStart"/>
      <w:r>
        <w:rPr>
          <w:rFonts w:ascii="Arial Narrow" w:hAnsi="Arial Narrow"/>
          <w:sz w:val="16"/>
          <w:szCs w:val="16"/>
        </w:rPr>
        <w:t>N°</w:t>
      </w:r>
      <w:proofErr w:type="spellEnd"/>
      <w:r>
        <w:rPr>
          <w:rFonts w:ascii="Arial Narrow" w:hAnsi="Arial Narrow"/>
          <w:sz w:val="16"/>
          <w:szCs w:val="16"/>
        </w:rPr>
        <w:t xml:space="preserve"> 30277-2025-SBS del 10.06.2025.</w:t>
      </w:r>
    </w:p>
  </w:footnote>
  <w:footnote w:id="53">
    <w:p w14:paraId="06B4A609"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Tabla modificada por Resolución SBS </w:t>
      </w:r>
      <w:proofErr w:type="spellStart"/>
      <w:r>
        <w:rPr>
          <w:rFonts w:ascii="Arial Narrow" w:hAnsi="Arial Narrow"/>
          <w:sz w:val="16"/>
          <w:szCs w:val="16"/>
        </w:rPr>
        <w:t>N°</w:t>
      </w:r>
      <w:proofErr w:type="spellEnd"/>
      <w:r>
        <w:rPr>
          <w:rFonts w:ascii="Arial Narrow" w:hAnsi="Arial Narrow"/>
          <w:sz w:val="16"/>
          <w:szCs w:val="16"/>
        </w:rPr>
        <w:t xml:space="preserve"> 8243-2008 del 04-09-2008, vigente desde el 01-01-2009 y sus normas modificatorias y complementarias.</w:t>
      </w:r>
    </w:p>
  </w:footnote>
  <w:footnote w:id="54">
    <w:p w14:paraId="06B4A60A"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Denominación modificada por Oficio Múltiple N.º 30264-2014 del 22-08-2014 y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03-06-2015.</w:t>
      </w:r>
    </w:p>
  </w:footnote>
  <w:footnote w:id="55">
    <w:p w14:paraId="06B4A60B"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28660-2017-SBS, de fecha 14.08.2017.</w:t>
      </w:r>
    </w:p>
  </w:footnote>
  <w:footnote w:id="56">
    <w:p w14:paraId="06B4A60C"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Denominación modificada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57">
    <w:p w14:paraId="06B4A60D" w14:textId="77777777" w:rsidR="00A658D0" w:rsidRDefault="0000000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Eliminado por Oficio Múltiple </w:t>
      </w:r>
      <w:proofErr w:type="spellStart"/>
      <w:r>
        <w:rPr>
          <w:rFonts w:ascii="Arial Narrow" w:hAnsi="Arial Narrow"/>
          <w:sz w:val="16"/>
          <w:szCs w:val="16"/>
        </w:rPr>
        <w:t>N°</w:t>
      </w:r>
      <w:proofErr w:type="spellEnd"/>
      <w:r>
        <w:rPr>
          <w:rFonts w:ascii="Arial Narrow" w:hAnsi="Arial Narrow"/>
          <w:sz w:val="16"/>
          <w:szCs w:val="16"/>
        </w:rPr>
        <w:t xml:space="preserve"> 46448-2022-SBS del 25.10.2022.</w:t>
      </w:r>
    </w:p>
  </w:footnote>
  <w:footnote w:id="58">
    <w:p w14:paraId="06B4A60E"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Modificada por Oficio Múltiple </w:t>
      </w:r>
      <w:proofErr w:type="spellStart"/>
      <w:r>
        <w:rPr>
          <w:rFonts w:ascii="Arial Narrow" w:hAnsi="Arial Narrow"/>
          <w:sz w:val="16"/>
          <w:szCs w:val="16"/>
        </w:rPr>
        <w:t>N°</w:t>
      </w:r>
      <w:proofErr w:type="spellEnd"/>
      <w:r>
        <w:rPr>
          <w:rFonts w:ascii="Arial Narrow" w:hAnsi="Arial Narrow"/>
          <w:sz w:val="16"/>
          <w:szCs w:val="16"/>
        </w:rPr>
        <w:t xml:space="preserve"> 28660-2017-SBS, de fecha 14.08.2017.</w:t>
      </w:r>
    </w:p>
  </w:footnote>
  <w:footnote w:id="59">
    <w:p w14:paraId="06B4A60F" w14:textId="77777777" w:rsidR="00A658D0" w:rsidRDefault="00000000">
      <w:pPr>
        <w:pStyle w:val="Textonotapie"/>
        <w:rPr>
          <w:lang w:val="es-ES"/>
        </w:rPr>
      </w:pPr>
      <w:r>
        <w:rPr>
          <w:rStyle w:val="Refdenotaalpie"/>
          <w:rFonts w:ascii="Arial Narrow" w:hAnsi="Arial Narrow"/>
          <w:sz w:val="16"/>
          <w:szCs w:val="16"/>
        </w:rPr>
        <w:footnoteRef/>
      </w:r>
      <w:r>
        <w:rPr>
          <w:rFonts w:ascii="Arial Narrow" w:hAnsi="Arial Narrow"/>
          <w:sz w:val="16"/>
          <w:szCs w:val="16"/>
        </w:rPr>
        <w:t xml:space="preserve"> Modificada la denominación mediante Oficio Múltiple </w:t>
      </w:r>
      <w:proofErr w:type="spellStart"/>
      <w:r>
        <w:rPr>
          <w:rFonts w:ascii="Arial Narrow" w:hAnsi="Arial Narrow"/>
          <w:sz w:val="16"/>
          <w:szCs w:val="16"/>
        </w:rPr>
        <w:t>N°</w:t>
      </w:r>
      <w:proofErr w:type="spellEnd"/>
      <w:r>
        <w:rPr>
          <w:rFonts w:ascii="Arial Narrow" w:hAnsi="Arial Narrow"/>
          <w:sz w:val="16"/>
          <w:szCs w:val="16"/>
        </w:rPr>
        <w:t xml:space="preserve"> 14806-2016 del 20.04.2016.</w:t>
      </w:r>
      <w:r>
        <w:t xml:space="preserve"> </w:t>
      </w:r>
    </w:p>
  </w:footnote>
  <w:footnote w:id="60">
    <w:p w14:paraId="06B4A610" w14:textId="77777777" w:rsidR="00A658D0" w:rsidRDefault="00000000">
      <w:pPr>
        <w:pStyle w:val="Textonotapie"/>
      </w:pPr>
      <w:r>
        <w:rPr>
          <w:rStyle w:val="Refdenotaalpie"/>
          <w:rFonts w:ascii="Arial Narrow" w:hAnsi="Arial Narrow"/>
          <w:sz w:val="16"/>
          <w:szCs w:val="16"/>
        </w:rPr>
        <w:footnoteRef/>
      </w:r>
      <w:r>
        <w:rPr>
          <w:rStyle w:val="Refdenotaalpie"/>
          <w:rFonts w:ascii="Arial Narrow" w:hAnsi="Arial Narrow"/>
          <w:sz w:val="16"/>
          <w:szCs w:val="16"/>
        </w:rPr>
        <w:t xml:space="preserve"> </w:t>
      </w:r>
      <w:r>
        <w:rPr>
          <w:rFonts w:ascii="Arial Narrow" w:hAnsi="Arial Narrow"/>
          <w:sz w:val="16"/>
          <w:szCs w:val="16"/>
        </w:rPr>
        <w:t xml:space="preserve">Denominación modificada por Oficio Múltiple </w:t>
      </w:r>
      <w:proofErr w:type="spellStart"/>
      <w:r>
        <w:rPr>
          <w:rFonts w:ascii="Arial Narrow" w:hAnsi="Arial Narrow"/>
          <w:sz w:val="16"/>
          <w:szCs w:val="16"/>
        </w:rPr>
        <w:t>N°</w:t>
      </w:r>
      <w:proofErr w:type="spellEnd"/>
      <w:r>
        <w:rPr>
          <w:rFonts w:ascii="Arial Narrow" w:hAnsi="Arial Narrow"/>
          <w:sz w:val="16"/>
          <w:szCs w:val="16"/>
        </w:rPr>
        <w:t xml:space="preserve"> 46448-2022-SBS del 25.10.2022.</w:t>
      </w:r>
    </w:p>
  </w:footnote>
  <w:footnote w:id="61">
    <w:p w14:paraId="06B4A611" w14:textId="77777777" w:rsidR="00A658D0" w:rsidRDefault="00000000">
      <w:pPr>
        <w:pStyle w:val="Textonotapie"/>
      </w:pPr>
      <w:r>
        <w:rPr>
          <w:rStyle w:val="Refdenotaalpie"/>
          <w:rFonts w:ascii="Arial Narrow" w:hAnsi="Arial Narrow"/>
          <w:sz w:val="16"/>
          <w:szCs w:val="16"/>
        </w:rPr>
        <w:footnoteRef/>
      </w:r>
      <w:r>
        <w:rPr>
          <w:rStyle w:val="Refdenotaalpie"/>
        </w:rPr>
        <w:t xml:space="preserve"> </w:t>
      </w:r>
      <w:r>
        <w:rPr>
          <w:rFonts w:ascii="Arial Narrow" w:hAnsi="Arial Narrow"/>
          <w:sz w:val="16"/>
          <w:szCs w:val="16"/>
        </w:rPr>
        <w:t>Eliminado por la Resolución SBS N.º 976-2021 del 31.03.2021.</w:t>
      </w:r>
    </w:p>
  </w:footnote>
  <w:footnote w:id="62">
    <w:p w14:paraId="06B4A612"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Creado por Resolución SBS </w:t>
      </w:r>
      <w:proofErr w:type="spellStart"/>
      <w:r>
        <w:rPr>
          <w:rFonts w:ascii="Arial Narrow" w:hAnsi="Arial Narrow"/>
          <w:sz w:val="16"/>
          <w:szCs w:val="16"/>
        </w:rPr>
        <w:t>N°</w:t>
      </w:r>
      <w:proofErr w:type="spellEnd"/>
      <w:r>
        <w:rPr>
          <w:rFonts w:ascii="Arial Narrow" w:hAnsi="Arial Narrow"/>
          <w:sz w:val="16"/>
          <w:szCs w:val="16"/>
        </w:rPr>
        <w:t xml:space="preserve"> 6271-2013 del 18-10-2013. Eliminado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63">
    <w:p w14:paraId="06B4A613" w14:textId="77777777" w:rsidR="00A658D0" w:rsidRDefault="00000000">
      <w:pPr>
        <w:pStyle w:val="Textonotapie"/>
      </w:pPr>
      <w:r>
        <w:rPr>
          <w:rStyle w:val="Refdenotaalpie"/>
          <w:rFonts w:ascii="Arial Narrow" w:hAnsi="Arial Narrow"/>
          <w:sz w:val="16"/>
          <w:szCs w:val="16"/>
        </w:rPr>
        <w:footnoteRef/>
      </w:r>
      <w:r>
        <w:rPr>
          <w:rFonts w:ascii="Arial Narrow" w:hAnsi="Arial Narrow"/>
          <w:sz w:val="16"/>
          <w:szCs w:val="16"/>
        </w:rPr>
        <w:t xml:space="preserve"> Creado por Oficio Múltiple </w:t>
      </w:r>
      <w:proofErr w:type="spellStart"/>
      <w:r>
        <w:rPr>
          <w:rFonts w:ascii="Arial Narrow" w:hAnsi="Arial Narrow"/>
          <w:sz w:val="16"/>
          <w:szCs w:val="16"/>
        </w:rPr>
        <w:t>N°</w:t>
      </w:r>
      <w:proofErr w:type="spellEnd"/>
      <w:r>
        <w:rPr>
          <w:rFonts w:ascii="Arial Narrow" w:hAnsi="Arial Narrow"/>
          <w:sz w:val="16"/>
          <w:szCs w:val="16"/>
        </w:rPr>
        <w:t xml:space="preserve"> 5524-2014 del 13-02-2014 y por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03-06-2015, Posteriormente modificado por la Resolución SBS </w:t>
      </w:r>
      <w:proofErr w:type="spellStart"/>
      <w:r>
        <w:rPr>
          <w:rFonts w:ascii="Arial Narrow" w:hAnsi="Arial Narrow"/>
          <w:sz w:val="16"/>
          <w:szCs w:val="16"/>
        </w:rPr>
        <w:t>N°</w:t>
      </w:r>
      <w:proofErr w:type="spellEnd"/>
      <w:r>
        <w:rPr>
          <w:rFonts w:ascii="Arial Narrow" w:hAnsi="Arial Narrow"/>
          <w:sz w:val="16"/>
          <w:szCs w:val="16"/>
        </w:rPr>
        <w:t xml:space="preserve"> 6468-2015 del 28.10.2015, Posteriormente Modificado por la Resolución SBS N.º 976-2021 del 31.03.2021.</w:t>
      </w:r>
    </w:p>
  </w:footnote>
  <w:footnote w:id="64">
    <w:p w14:paraId="06B4A614" w14:textId="77777777" w:rsidR="00A658D0" w:rsidRDefault="00000000">
      <w:pPr>
        <w:pStyle w:val="Textonotapie"/>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Creado por Oficio Múltiple </w:t>
      </w:r>
      <w:proofErr w:type="spellStart"/>
      <w:r>
        <w:rPr>
          <w:rFonts w:ascii="Arial Narrow" w:hAnsi="Arial Narrow"/>
          <w:sz w:val="16"/>
          <w:szCs w:val="16"/>
        </w:rPr>
        <w:t>N°</w:t>
      </w:r>
      <w:proofErr w:type="spellEnd"/>
      <w:r>
        <w:rPr>
          <w:rFonts w:ascii="Arial Narrow" w:hAnsi="Arial Narrow"/>
          <w:sz w:val="16"/>
          <w:szCs w:val="16"/>
        </w:rPr>
        <w:t xml:space="preserve"> 30264-2014 del 22.08.2014 y por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03.06.2015. Posteriormente modificada por el Oficio Múltiple </w:t>
      </w:r>
      <w:proofErr w:type="spellStart"/>
      <w:r>
        <w:rPr>
          <w:rFonts w:ascii="Arial Narrow" w:hAnsi="Arial Narrow"/>
          <w:sz w:val="16"/>
          <w:szCs w:val="16"/>
        </w:rPr>
        <w:t>N°</w:t>
      </w:r>
      <w:proofErr w:type="spellEnd"/>
      <w:r>
        <w:rPr>
          <w:rFonts w:ascii="Arial Narrow" w:hAnsi="Arial Narrow"/>
          <w:sz w:val="16"/>
          <w:szCs w:val="16"/>
        </w:rPr>
        <w:t xml:space="preserve"> 35384-2025-SBS del 04.07.2025.</w:t>
      </w:r>
    </w:p>
  </w:footnote>
  <w:footnote w:id="65">
    <w:p w14:paraId="06B4A615" w14:textId="77777777" w:rsidR="00A658D0" w:rsidRDefault="00000000">
      <w:pPr>
        <w:pStyle w:val="Textonotapie"/>
        <w:rPr>
          <w:rFonts w:ascii="Arial Narrow" w:hAnsi="Arial Narrow"/>
          <w:lang w:val="es-ES"/>
        </w:rPr>
      </w:pPr>
      <w:r>
        <w:rPr>
          <w:rStyle w:val="Refdenotaalpie"/>
          <w:rFonts w:ascii="Arial Narrow" w:hAnsi="Arial Narrow"/>
          <w:sz w:val="16"/>
          <w:szCs w:val="16"/>
        </w:rPr>
        <w:footnoteRef/>
      </w:r>
      <w:r>
        <w:rPr>
          <w:rFonts w:ascii="Arial Narrow" w:hAnsi="Arial Narrow"/>
        </w:rPr>
        <w:t xml:space="preserve"> </w:t>
      </w:r>
      <w:r>
        <w:rPr>
          <w:rFonts w:ascii="Arial Narrow" w:hAnsi="Arial Narrow"/>
          <w:sz w:val="16"/>
          <w:szCs w:val="16"/>
        </w:rPr>
        <w:t xml:space="preserve">Creado por Oficio Múltiple </w:t>
      </w:r>
      <w:proofErr w:type="spellStart"/>
      <w:r>
        <w:rPr>
          <w:rFonts w:ascii="Arial Narrow" w:hAnsi="Arial Narrow"/>
          <w:sz w:val="16"/>
          <w:szCs w:val="16"/>
        </w:rPr>
        <w:t>N°</w:t>
      </w:r>
      <w:proofErr w:type="spellEnd"/>
      <w:r>
        <w:rPr>
          <w:rFonts w:ascii="Arial Narrow" w:hAnsi="Arial Narrow"/>
          <w:sz w:val="16"/>
          <w:szCs w:val="16"/>
        </w:rPr>
        <w:t xml:space="preserve"> 30264-2014 del 22.08.2014 y por Resolución SBS </w:t>
      </w:r>
      <w:proofErr w:type="spellStart"/>
      <w:r>
        <w:rPr>
          <w:rFonts w:ascii="Arial Narrow" w:hAnsi="Arial Narrow"/>
          <w:sz w:val="16"/>
          <w:szCs w:val="16"/>
        </w:rPr>
        <w:t>N°</w:t>
      </w:r>
      <w:proofErr w:type="spellEnd"/>
      <w:r>
        <w:rPr>
          <w:rFonts w:ascii="Arial Narrow" w:hAnsi="Arial Narrow"/>
          <w:sz w:val="16"/>
          <w:szCs w:val="16"/>
        </w:rPr>
        <w:t xml:space="preserve"> 3089-2015 del 03.06.2015</w:t>
      </w:r>
    </w:p>
  </w:footnote>
  <w:footnote w:id="66">
    <w:p w14:paraId="06B4A616" w14:textId="77777777" w:rsidR="00A658D0" w:rsidRDefault="00000000">
      <w:pPr>
        <w:pStyle w:val="Textonotapie"/>
        <w:rPr>
          <w:rFonts w:ascii="Arial Narrow" w:hAnsi="Arial Narrow"/>
          <w:sz w:val="18"/>
          <w:szCs w:val="18"/>
        </w:rPr>
      </w:pPr>
      <w:r>
        <w:rPr>
          <w:rStyle w:val="Refdenotaalpie"/>
          <w:rFonts w:ascii="Arial Narrow" w:hAnsi="Arial Narrow"/>
          <w:sz w:val="16"/>
          <w:szCs w:val="16"/>
        </w:rPr>
        <w:footnoteRef/>
      </w:r>
      <w:r>
        <w:rPr>
          <w:rFonts w:ascii="Arial Narrow" w:hAnsi="Arial Narrow"/>
          <w:sz w:val="16"/>
          <w:szCs w:val="16"/>
        </w:rPr>
        <w:t xml:space="preserve"> Creada por Resolución SBS </w:t>
      </w:r>
      <w:proofErr w:type="spellStart"/>
      <w:r>
        <w:rPr>
          <w:rFonts w:ascii="Arial Narrow" w:hAnsi="Arial Narrow"/>
          <w:sz w:val="16"/>
          <w:szCs w:val="16"/>
        </w:rPr>
        <w:t>N°</w:t>
      </w:r>
      <w:proofErr w:type="spellEnd"/>
      <w:r>
        <w:rPr>
          <w:rFonts w:ascii="Arial Narrow" w:hAnsi="Arial Narrow"/>
          <w:sz w:val="16"/>
          <w:szCs w:val="16"/>
        </w:rPr>
        <w:t xml:space="preserve"> 6468-2015 del 28.10.2015</w:t>
      </w:r>
    </w:p>
  </w:footnote>
  <w:footnote w:id="67">
    <w:p w14:paraId="06B4A617" w14:textId="77777777" w:rsidR="00A658D0" w:rsidRDefault="00000000">
      <w:pPr>
        <w:pStyle w:val="Textonotapie"/>
      </w:pPr>
      <w:r>
        <w:rPr>
          <w:rFonts w:ascii="Arial Narrow" w:hAnsi="Arial Narrow"/>
          <w:sz w:val="16"/>
          <w:szCs w:val="16"/>
          <w:vertAlign w:val="superscript"/>
        </w:rPr>
        <w:footnoteRef/>
      </w:r>
      <w:r>
        <w:rPr>
          <w:rFonts w:ascii="Arial Narrow" w:hAnsi="Arial Narrow"/>
          <w:sz w:val="16"/>
          <w:szCs w:val="16"/>
          <w:vertAlign w:val="superscript"/>
        </w:rPr>
        <w:t xml:space="preserve">  </w:t>
      </w:r>
      <w:r>
        <w:rPr>
          <w:rFonts w:ascii="Arial Narrow" w:hAnsi="Arial Narrow"/>
          <w:sz w:val="16"/>
          <w:szCs w:val="16"/>
        </w:rPr>
        <w:t>Eliminado por la Resolución SBS N.º 976-2021 del 31.03.2021.</w:t>
      </w:r>
    </w:p>
  </w:footnote>
  <w:footnote w:id="68">
    <w:p w14:paraId="06B4A618" w14:textId="77777777" w:rsidR="00A658D0" w:rsidRDefault="00000000">
      <w:pPr>
        <w:pStyle w:val="Textonotapie"/>
      </w:pPr>
      <w:r>
        <w:rPr>
          <w:rStyle w:val="Refdenotaalpie"/>
          <w:rFonts w:ascii="Arial Narrow" w:hAnsi="Arial Narrow"/>
          <w:sz w:val="16"/>
          <w:szCs w:val="16"/>
        </w:rPr>
        <w:footnoteRef/>
      </w:r>
      <w:r>
        <w:t xml:space="preserve"> </w:t>
      </w:r>
      <w:r>
        <w:rPr>
          <w:rFonts w:ascii="Arial Narrow" w:hAnsi="Arial Narrow"/>
          <w:sz w:val="16"/>
          <w:szCs w:val="16"/>
        </w:rPr>
        <w:t xml:space="preserve">Incorporado mediante Oficio Múltiple </w:t>
      </w:r>
      <w:proofErr w:type="spellStart"/>
      <w:r>
        <w:rPr>
          <w:rFonts w:ascii="Arial Narrow" w:hAnsi="Arial Narrow"/>
          <w:sz w:val="16"/>
          <w:szCs w:val="16"/>
        </w:rPr>
        <w:t>N°</w:t>
      </w:r>
      <w:proofErr w:type="spellEnd"/>
      <w:r>
        <w:rPr>
          <w:rFonts w:ascii="Arial Narrow" w:hAnsi="Arial Narrow"/>
          <w:sz w:val="16"/>
          <w:szCs w:val="16"/>
        </w:rPr>
        <w:t xml:space="preserve"> 14806-2016 del 20.04.2016. Posteriormente modificado por la Resolución SBS N.º 976-2021 del 31.03.2021.</w:t>
      </w:r>
    </w:p>
  </w:footnote>
  <w:footnote w:id="69">
    <w:p w14:paraId="06B4A619" w14:textId="77777777" w:rsidR="00A658D0" w:rsidRDefault="00000000">
      <w:pPr>
        <w:pStyle w:val="Textonotapie"/>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sz w:val="16"/>
          <w:szCs w:val="16"/>
          <w:lang w:val="es-ES"/>
        </w:rPr>
        <w:t>Incorporado mediante Oficio Múltiple N°2029-2017 del 17.01.2017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A5D0" w14:textId="77777777" w:rsidR="00A658D0" w:rsidRDefault="00000000">
    <w:pPr>
      <w:pStyle w:val="Encabezado"/>
      <w:rPr>
        <w:sz w:val="8"/>
      </w:rPr>
    </w:pPr>
    <w:r>
      <w:rPr>
        <w:rFonts w:ascii="Brush Script MT" w:hAnsi="Brush Script MT"/>
        <w:i/>
        <w:noProof/>
        <w:sz w:val="30"/>
        <w:lang w:val="es-ES"/>
      </w:rPr>
      <w:drawing>
        <wp:inline distT="0" distB="0" distL="0" distR="0" wp14:anchorId="06B4A5D3" wp14:editId="06B4A5D4">
          <wp:extent cx="1798320" cy="1082040"/>
          <wp:effectExtent l="0" t="0" r="0" b="0"/>
          <wp:docPr id="1" name="Imagen 1" descr="LOGO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2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a:xfrm>
                    <a:off x="0" y="0"/>
                    <a:ext cx="1798320" cy="1082040"/>
                  </a:xfrm>
                  <a:prstGeom prst="rect">
                    <a:avLst/>
                  </a:prstGeom>
                  <a:solidFill>
                    <a:srgbClr val="000000"/>
                  </a:solidFill>
                  <a:ln>
                    <a:noFill/>
                  </a:ln>
                </pic:spPr>
              </pic:pic>
            </a:graphicData>
          </a:graphic>
        </wp:inline>
      </w:drawing>
    </w:r>
    <w:r>
      <w:rPr>
        <w:sz w:val="8"/>
      </w:rPr>
      <w:tab/>
    </w:r>
  </w:p>
  <w:p w14:paraId="06B4A5D1" w14:textId="77777777" w:rsidR="00A658D0" w:rsidRDefault="00A658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201"/>
    <w:multiLevelType w:val="multilevel"/>
    <w:tmpl w:val="039A6201"/>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1" w15:restartNumberingAfterBreak="0">
    <w:nsid w:val="041537C4"/>
    <w:multiLevelType w:val="multilevel"/>
    <w:tmpl w:val="041537C4"/>
    <w:lvl w:ilvl="0">
      <w:start w:val="1"/>
      <w:numFmt w:val="lowerLetter"/>
      <w:lvlText w:val="%1)"/>
      <w:lvlJc w:val="left"/>
      <w:pPr>
        <w:ind w:left="1432" w:hanging="360"/>
      </w:pPr>
      <w:rPr>
        <w:rFonts w:hint="default"/>
      </w:rPr>
    </w:lvl>
    <w:lvl w:ilvl="1">
      <w:start w:val="1"/>
      <w:numFmt w:val="lowerRoman"/>
      <w:lvlText w:val="%2."/>
      <w:lvlJc w:val="left"/>
      <w:pPr>
        <w:ind w:left="2152" w:hanging="360"/>
      </w:pPr>
      <w:rPr>
        <w:rFonts w:hint="default"/>
      </w:rPr>
    </w:lvl>
    <w:lvl w:ilvl="2">
      <w:start w:val="1"/>
      <w:numFmt w:val="lowerLetter"/>
      <w:lvlText w:val="%3."/>
      <w:lvlJc w:val="left"/>
      <w:pPr>
        <w:ind w:left="2872" w:hanging="180"/>
      </w:pPr>
      <w:rPr>
        <w:rFonts w:hint="default"/>
      </w:r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2" w15:restartNumberingAfterBreak="0">
    <w:nsid w:val="050F3D7F"/>
    <w:multiLevelType w:val="multilevel"/>
    <w:tmpl w:val="050F3D7F"/>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lowerLetter"/>
      <w:lvlText w:val="%4)"/>
      <w:lvlJc w:val="left"/>
      <w:pPr>
        <w:tabs>
          <w:tab w:val="left" w:pos="3372"/>
        </w:tabs>
        <w:ind w:left="3372" w:hanging="360"/>
      </w:pPr>
      <w:rPr>
        <w:rFonts w:ascii="Arial Narrow" w:hAnsi="Arial Narrow" w:cs="Times New Roman" w:hint="default"/>
        <w:b w:val="0"/>
        <w:i w:val="0"/>
        <w:sz w:val="20"/>
        <w:szCs w:val="20"/>
      </w:r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3" w15:restartNumberingAfterBreak="0">
    <w:nsid w:val="06B04E70"/>
    <w:multiLevelType w:val="singleLevel"/>
    <w:tmpl w:val="06B04E70"/>
    <w:lvl w:ilvl="0">
      <w:start w:val="1"/>
      <w:numFmt w:val="decimal"/>
      <w:lvlText w:val="%1."/>
      <w:lvlJc w:val="left"/>
      <w:pPr>
        <w:ind w:left="1211" w:hanging="360"/>
      </w:pPr>
    </w:lvl>
  </w:abstractNum>
  <w:abstractNum w:abstractNumId="4" w15:restartNumberingAfterBreak="0">
    <w:nsid w:val="11755F62"/>
    <w:multiLevelType w:val="multilevel"/>
    <w:tmpl w:val="11755F62"/>
    <w:lvl w:ilvl="0">
      <w:start w:val="1"/>
      <w:numFmt w:val="lowerLetter"/>
      <w:lvlText w:val="%1."/>
      <w:lvlJc w:val="left"/>
      <w:pPr>
        <w:tabs>
          <w:tab w:val="left" w:pos="1212"/>
        </w:tabs>
        <w:ind w:left="1212" w:hanging="360"/>
      </w:pPr>
    </w:lvl>
    <w:lvl w:ilvl="1">
      <w:start w:val="1"/>
      <w:numFmt w:val="decimal"/>
      <w:lvlText w:val="%2."/>
      <w:lvlJc w:val="left"/>
      <w:pPr>
        <w:tabs>
          <w:tab w:val="left" w:pos="1752"/>
        </w:tabs>
        <w:ind w:left="1752" w:hanging="180"/>
      </w:pPr>
      <w:rPr>
        <w:rFonts w:hint="default"/>
        <w:sz w:val="22"/>
        <w:szCs w:val="22"/>
      </w:rPr>
    </w:lvl>
    <w:lvl w:ilvl="2">
      <w:start w:val="1"/>
      <w:numFmt w:val="lowerLetter"/>
      <w:lvlText w:val="%3)"/>
      <w:lvlJc w:val="lef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5" w15:restartNumberingAfterBreak="0">
    <w:nsid w:val="175E360A"/>
    <w:multiLevelType w:val="multilevel"/>
    <w:tmpl w:val="175E360A"/>
    <w:lvl w:ilvl="0">
      <w:start w:val="1"/>
      <w:numFmt w:val="lowerLetter"/>
      <w:lvlText w:val="%1)"/>
      <w:lvlJc w:val="left"/>
      <w:pPr>
        <w:ind w:left="1428" w:hanging="360"/>
      </w:pPr>
      <w:rPr>
        <w:rFonts w:ascii="Arial Narrow" w:hAnsi="Arial Narrow" w:cs="Times New Roman" w:hint="default"/>
        <w:b w:val="0"/>
        <w:i w:val="0"/>
        <w:sz w:val="22"/>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1A4E4CA5"/>
    <w:multiLevelType w:val="multilevel"/>
    <w:tmpl w:val="1A4E4CA5"/>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lowerLetter"/>
      <w:lvlText w:val="%4)"/>
      <w:lvlJc w:val="left"/>
      <w:pPr>
        <w:tabs>
          <w:tab w:val="left" w:pos="3372"/>
        </w:tabs>
        <w:ind w:left="3372" w:hanging="360"/>
      </w:pPr>
      <w:rPr>
        <w:rFonts w:ascii="Arial Narrow" w:hAnsi="Arial Narrow" w:cs="Times New Roman" w:hint="default"/>
        <w:b w:val="0"/>
        <w:i w:val="0"/>
        <w:sz w:val="20"/>
        <w:szCs w:val="20"/>
      </w:r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7" w15:restartNumberingAfterBreak="0">
    <w:nsid w:val="1EAD0E68"/>
    <w:multiLevelType w:val="multilevel"/>
    <w:tmpl w:val="1EAD0E68"/>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Roman"/>
      <w:lvlText w:val="%5."/>
      <w:lvlJc w:val="left"/>
      <w:pPr>
        <w:tabs>
          <w:tab w:val="left" w:pos="4092"/>
        </w:tabs>
        <w:ind w:left="4092" w:hanging="360"/>
      </w:pPr>
      <w:rPr>
        <w:rFonts w:hint="default"/>
      </w:r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8" w15:restartNumberingAfterBreak="0">
    <w:nsid w:val="1EB40F3B"/>
    <w:multiLevelType w:val="multilevel"/>
    <w:tmpl w:val="1EB40F3B"/>
    <w:lvl w:ilvl="0">
      <w:start w:val="1"/>
      <w:numFmt w:val="lowerLetter"/>
      <w:lvlText w:val="%1)"/>
      <w:lvlJc w:val="left"/>
      <w:pPr>
        <w:ind w:left="1432" w:hanging="360"/>
      </w:pPr>
      <w:rPr>
        <w:rFonts w:hint="default"/>
      </w:rPr>
    </w:lvl>
    <w:lvl w:ilvl="1">
      <w:start w:val="1"/>
      <w:numFmt w:val="lowerRoman"/>
      <w:lvlText w:val="%2."/>
      <w:lvlJc w:val="left"/>
      <w:pPr>
        <w:ind w:left="2152" w:hanging="360"/>
      </w:pPr>
      <w:rPr>
        <w:rFonts w:hint="default"/>
      </w:rPr>
    </w:lvl>
    <w:lvl w:ilvl="2">
      <w:start w:val="1"/>
      <w:numFmt w:val="lowerLetter"/>
      <w:lvlText w:val="%3."/>
      <w:lvlJc w:val="left"/>
      <w:pPr>
        <w:ind w:left="2872" w:hanging="180"/>
      </w:pPr>
      <w:rPr>
        <w:rFonts w:hint="default"/>
      </w:r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9" w15:restartNumberingAfterBreak="0">
    <w:nsid w:val="20406AEA"/>
    <w:multiLevelType w:val="multilevel"/>
    <w:tmpl w:val="20406AEA"/>
    <w:lvl w:ilvl="0">
      <w:start w:val="1"/>
      <w:numFmt w:val="lowerLetter"/>
      <w:lvlText w:val="%1."/>
      <w:lvlJc w:val="left"/>
      <w:pPr>
        <w:tabs>
          <w:tab w:val="left" w:pos="1212"/>
        </w:tabs>
        <w:ind w:left="1212" w:hanging="360"/>
      </w:pPr>
    </w:lvl>
    <w:lvl w:ilvl="1">
      <w:start w:val="1"/>
      <w:numFmt w:val="decimal"/>
      <w:lvlText w:val="%2."/>
      <w:lvlJc w:val="left"/>
      <w:pPr>
        <w:tabs>
          <w:tab w:val="left" w:pos="1752"/>
        </w:tabs>
        <w:ind w:left="1752" w:hanging="180"/>
      </w:pPr>
      <w:rPr>
        <w:rFonts w:hint="default"/>
        <w:sz w:val="20"/>
        <w:szCs w:val="20"/>
      </w:rPr>
    </w:lvl>
    <w:lvl w:ilvl="2">
      <w:start w:val="1"/>
      <w:numFmt w:val="decimal"/>
      <w:lvlText w:val="%3."/>
      <w:lvlJc w:val="righ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10" w15:restartNumberingAfterBreak="0">
    <w:nsid w:val="20F16FE9"/>
    <w:multiLevelType w:val="multilevel"/>
    <w:tmpl w:val="20F16FE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lowerLetter"/>
      <w:lvlText w:val="%4)"/>
      <w:lvlJc w:val="left"/>
      <w:pPr>
        <w:ind w:left="2946" w:hanging="360"/>
      </w:pPr>
      <w:rPr>
        <w:rFonts w:ascii="Arial Narrow" w:hAnsi="Arial Narrow" w:cs="Times New Roman" w:hint="default"/>
        <w:b w:val="0"/>
        <w:i w:val="0"/>
        <w:sz w:val="20"/>
        <w:szCs w:val="2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31541390"/>
    <w:multiLevelType w:val="multilevel"/>
    <w:tmpl w:val="31541390"/>
    <w:lvl w:ilvl="0">
      <w:start w:val="1"/>
      <w:numFmt w:val="decimal"/>
      <w:lvlText w:val="%1."/>
      <w:lvlJc w:val="left"/>
      <w:pPr>
        <w:tabs>
          <w:tab w:val="left" w:pos="1932"/>
        </w:tabs>
        <w:ind w:left="1932" w:hanging="360"/>
      </w:pPr>
    </w:lvl>
    <w:lvl w:ilvl="1">
      <w:start w:val="1"/>
      <w:numFmt w:val="lowerLetter"/>
      <w:lvlText w:val="%2."/>
      <w:lvlJc w:val="left"/>
      <w:pPr>
        <w:tabs>
          <w:tab w:val="left" w:pos="2652"/>
        </w:tabs>
        <w:ind w:left="2652" w:hanging="360"/>
      </w:pPr>
    </w:lvl>
    <w:lvl w:ilvl="2">
      <w:start w:val="1"/>
      <w:numFmt w:val="lowerRoman"/>
      <w:lvlText w:val="%3."/>
      <w:lvlJc w:val="right"/>
      <w:pPr>
        <w:tabs>
          <w:tab w:val="left" w:pos="3372"/>
        </w:tabs>
        <w:ind w:left="3372" w:hanging="180"/>
      </w:pPr>
    </w:lvl>
    <w:lvl w:ilvl="3">
      <w:start w:val="1"/>
      <w:numFmt w:val="decimal"/>
      <w:lvlText w:val="%4."/>
      <w:lvlJc w:val="left"/>
      <w:pPr>
        <w:tabs>
          <w:tab w:val="left" w:pos="4092"/>
        </w:tabs>
        <w:ind w:left="4092" w:hanging="360"/>
      </w:pPr>
    </w:lvl>
    <w:lvl w:ilvl="4">
      <w:start w:val="1"/>
      <w:numFmt w:val="lowerLetter"/>
      <w:lvlText w:val="%5."/>
      <w:lvlJc w:val="left"/>
      <w:pPr>
        <w:tabs>
          <w:tab w:val="left" w:pos="4812"/>
        </w:tabs>
        <w:ind w:left="4812" w:hanging="360"/>
      </w:pPr>
    </w:lvl>
    <w:lvl w:ilvl="5">
      <w:start w:val="1"/>
      <w:numFmt w:val="lowerRoman"/>
      <w:lvlText w:val="%6."/>
      <w:lvlJc w:val="right"/>
      <w:pPr>
        <w:tabs>
          <w:tab w:val="left" w:pos="5532"/>
        </w:tabs>
        <w:ind w:left="5532" w:hanging="180"/>
      </w:pPr>
    </w:lvl>
    <w:lvl w:ilvl="6">
      <w:start w:val="1"/>
      <w:numFmt w:val="decimal"/>
      <w:lvlText w:val="%7."/>
      <w:lvlJc w:val="left"/>
      <w:pPr>
        <w:tabs>
          <w:tab w:val="left" w:pos="6252"/>
        </w:tabs>
        <w:ind w:left="6252" w:hanging="360"/>
      </w:pPr>
    </w:lvl>
    <w:lvl w:ilvl="7">
      <w:start w:val="1"/>
      <w:numFmt w:val="lowerLetter"/>
      <w:lvlText w:val="%8."/>
      <w:lvlJc w:val="left"/>
      <w:pPr>
        <w:tabs>
          <w:tab w:val="left" w:pos="6972"/>
        </w:tabs>
        <w:ind w:left="6972" w:hanging="360"/>
      </w:pPr>
    </w:lvl>
    <w:lvl w:ilvl="8">
      <w:start w:val="1"/>
      <w:numFmt w:val="lowerRoman"/>
      <w:lvlText w:val="%9."/>
      <w:lvlJc w:val="right"/>
      <w:pPr>
        <w:tabs>
          <w:tab w:val="left" w:pos="7692"/>
        </w:tabs>
        <w:ind w:left="7692" w:hanging="180"/>
      </w:pPr>
    </w:lvl>
  </w:abstractNum>
  <w:abstractNum w:abstractNumId="12" w15:restartNumberingAfterBreak="0">
    <w:nsid w:val="34421330"/>
    <w:multiLevelType w:val="multilevel"/>
    <w:tmpl w:val="34421330"/>
    <w:lvl w:ilvl="0">
      <w:start w:val="1"/>
      <w:numFmt w:val="decimal"/>
      <w:lvlText w:val="%1."/>
      <w:lvlJc w:val="left"/>
      <w:pPr>
        <w:ind w:left="720" w:hanging="360"/>
      </w:pPr>
      <w:rPr>
        <w:rFonts w:ascii="Arial Narrow" w:hAnsi="Arial Narrow" w:hint="default"/>
        <w:b w:val="0"/>
        <w:i w:val="0"/>
        <w:sz w:val="16"/>
      </w:rPr>
    </w:lvl>
    <w:lvl w:ilvl="1">
      <w:start w:val="1"/>
      <w:numFmt w:val="decimal"/>
      <w:lvlText w:val="%2."/>
      <w:lvlJc w:val="left"/>
      <w:pPr>
        <w:ind w:left="1440" w:hanging="360"/>
      </w:pPr>
      <w:rPr>
        <w:rFonts w:ascii="Arial Narrow" w:hAnsi="Arial Narrow" w:hint="default"/>
        <w:b w:val="0"/>
        <w:i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3325A9"/>
    <w:multiLevelType w:val="multilevel"/>
    <w:tmpl w:val="353325A9"/>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7B605EA"/>
    <w:multiLevelType w:val="multilevel"/>
    <w:tmpl w:val="37B605EA"/>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Roman"/>
      <w:lvlText w:val="%5."/>
      <w:lvlJc w:val="left"/>
      <w:pPr>
        <w:tabs>
          <w:tab w:val="left" w:pos="4092"/>
        </w:tabs>
        <w:ind w:left="4092" w:hanging="360"/>
      </w:pPr>
      <w:rPr>
        <w:rFonts w:hint="default"/>
      </w:r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15" w15:restartNumberingAfterBreak="0">
    <w:nsid w:val="393B39F4"/>
    <w:multiLevelType w:val="multilevel"/>
    <w:tmpl w:val="393B39F4"/>
    <w:lvl w:ilvl="0">
      <w:start w:val="1"/>
      <w:numFmt w:val="upperLetter"/>
      <w:lvlText w:val="%1."/>
      <w:lvlJc w:val="left"/>
      <w:pPr>
        <w:tabs>
          <w:tab w:val="left" w:pos="1212"/>
        </w:tabs>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6" w15:restartNumberingAfterBreak="0">
    <w:nsid w:val="3DA77386"/>
    <w:multiLevelType w:val="multilevel"/>
    <w:tmpl w:val="3DA77386"/>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17" w15:restartNumberingAfterBreak="0">
    <w:nsid w:val="46BD01F7"/>
    <w:multiLevelType w:val="multilevel"/>
    <w:tmpl w:val="46BD01F7"/>
    <w:lvl w:ilvl="0">
      <w:start w:val="1"/>
      <w:numFmt w:val="lowerRoman"/>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18" w15:restartNumberingAfterBreak="0">
    <w:nsid w:val="4CC20126"/>
    <w:multiLevelType w:val="multilevel"/>
    <w:tmpl w:val="4CC20126"/>
    <w:lvl w:ilvl="0">
      <w:start w:val="1"/>
      <w:numFmt w:val="lowerLetter"/>
      <w:lvlText w:val="%1."/>
      <w:lvlJc w:val="left"/>
      <w:pPr>
        <w:ind w:left="2199" w:hanging="360"/>
      </w:pPr>
      <w:rPr>
        <w:rFonts w:hint="default"/>
      </w:rPr>
    </w:lvl>
    <w:lvl w:ilvl="1">
      <w:start w:val="1"/>
      <w:numFmt w:val="lowerRoman"/>
      <w:lvlText w:val="%2."/>
      <w:lvlJc w:val="left"/>
      <w:pPr>
        <w:ind w:left="3006" w:hanging="360"/>
      </w:pPr>
      <w:rPr>
        <w:rFonts w:hint="default"/>
      </w:rPr>
    </w:lvl>
    <w:lvl w:ilvl="2">
      <w:start w:val="1"/>
      <w:numFmt w:val="lowerRoman"/>
      <w:lvlText w:val="%3."/>
      <w:lvlJc w:val="right"/>
      <w:pPr>
        <w:ind w:left="3726" w:hanging="180"/>
      </w:pPr>
    </w:lvl>
    <w:lvl w:ilvl="3">
      <w:start w:val="1"/>
      <w:numFmt w:val="decimal"/>
      <w:lvlText w:val="%4."/>
      <w:lvlJc w:val="left"/>
      <w:pPr>
        <w:ind w:left="4446" w:hanging="360"/>
      </w:pPr>
    </w:lvl>
    <w:lvl w:ilvl="4">
      <w:start w:val="1"/>
      <w:numFmt w:val="lowerLetter"/>
      <w:lvlText w:val="%5."/>
      <w:lvlJc w:val="left"/>
      <w:pPr>
        <w:ind w:left="5166" w:hanging="360"/>
      </w:pPr>
    </w:lvl>
    <w:lvl w:ilvl="5">
      <w:start w:val="1"/>
      <w:numFmt w:val="lowerRoman"/>
      <w:lvlText w:val="%6."/>
      <w:lvlJc w:val="right"/>
      <w:pPr>
        <w:ind w:left="5886" w:hanging="180"/>
      </w:pPr>
    </w:lvl>
    <w:lvl w:ilvl="6">
      <w:start w:val="1"/>
      <w:numFmt w:val="decimal"/>
      <w:lvlText w:val="%7."/>
      <w:lvlJc w:val="left"/>
      <w:pPr>
        <w:ind w:left="6606" w:hanging="360"/>
      </w:pPr>
    </w:lvl>
    <w:lvl w:ilvl="7">
      <w:start w:val="1"/>
      <w:numFmt w:val="lowerLetter"/>
      <w:lvlText w:val="%8."/>
      <w:lvlJc w:val="left"/>
      <w:pPr>
        <w:ind w:left="7326" w:hanging="360"/>
      </w:pPr>
    </w:lvl>
    <w:lvl w:ilvl="8">
      <w:start w:val="1"/>
      <w:numFmt w:val="lowerRoman"/>
      <w:lvlText w:val="%9."/>
      <w:lvlJc w:val="right"/>
      <w:pPr>
        <w:ind w:left="8046" w:hanging="180"/>
      </w:pPr>
    </w:lvl>
  </w:abstractNum>
  <w:abstractNum w:abstractNumId="19" w15:restartNumberingAfterBreak="0">
    <w:nsid w:val="53D01D53"/>
    <w:multiLevelType w:val="multilevel"/>
    <w:tmpl w:val="53D01D53"/>
    <w:lvl w:ilvl="0">
      <w:start w:val="1"/>
      <w:numFmt w:val="lowerLetter"/>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5E065372"/>
    <w:multiLevelType w:val="multilevel"/>
    <w:tmpl w:val="5E065372"/>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decimal"/>
      <w:lvlText w:val="%4."/>
      <w:lvlJc w:val="left"/>
      <w:pPr>
        <w:tabs>
          <w:tab w:val="left" w:pos="3372"/>
        </w:tabs>
        <w:ind w:left="3372" w:hanging="360"/>
      </w:pPr>
    </w:lvl>
    <w:lvl w:ilvl="4">
      <w:start w:val="1"/>
      <w:numFmt w:val="lowerRoman"/>
      <w:lvlText w:val="%5."/>
      <w:lvlJc w:val="left"/>
      <w:pPr>
        <w:tabs>
          <w:tab w:val="left" w:pos="4092"/>
        </w:tabs>
        <w:ind w:left="4092" w:hanging="360"/>
      </w:pPr>
      <w:rPr>
        <w:rFonts w:hint="default"/>
      </w:r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21" w15:restartNumberingAfterBreak="0">
    <w:nsid w:val="5ECC7CD8"/>
    <w:multiLevelType w:val="multilevel"/>
    <w:tmpl w:val="5ECC7CD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69083869"/>
    <w:multiLevelType w:val="multilevel"/>
    <w:tmpl w:val="69083869"/>
    <w:lvl w:ilvl="0">
      <w:numFmt w:val="bullet"/>
      <w:lvlText w:val="-"/>
      <w:lvlJc w:val="left"/>
      <w:pPr>
        <w:ind w:left="1494" w:hanging="360"/>
      </w:pPr>
      <w:rPr>
        <w:rFonts w:ascii="Arial Narrow" w:eastAsia="Times New Roman" w:hAnsi="Arial Narrow"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696A530A"/>
    <w:multiLevelType w:val="multilevel"/>
    <w:tmpl w:val="696A530A"/>
    <w:lvl w:ilvl="0">
      <w:start w:val="1"/>
      <w:numFmt w:val="decimal"/>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4" w15:restartNumberingAfterBreak="0">
    <w:nsid w:val="6EB57101"/>
    <w:multiLevelType w:val="multilevel"/>
    <w:tmpl w:val="6EB57101"/>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lowerLetter"/>
      <w:lvlText w:val="%4)"/>
      <w:lvlJc w:val="left"/>
      <w:pPr>
        <w:tabs>
          <w:tab w:val="left" w:pos="3372"/>
        </w:tabs>
        <w:ind w:left="3372" w:hanging="360"/>
      </w:pPr>
      <w:rPr>
        <w:rFonts w:ascii="Arial Narrow" w:hAnsi="Arial Narrow" w:cs="Times New Roman" w:hint="default"/>
        <w:b w:val="0"/>
        <w:i w:val="0"/>
        <w:sz w:val="20"/>
        <w:szCs w:val="20"/>
      </w:r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abstractNum w:abstractNumId="25" w15:restartNumberingAfterBreak="0">
    <w:nsid w:val="75034E77"/>
    <w:multiLevelType w:val="multilevel"/>
    <w:tmpl w:val="75034E77"/>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26" w15:restartNumberingAfterBreak="0">
    <w:nsid w:val="76ED277C"/>
    <w:multiLevelType w:val="multilevel"/>
    <w:tmpl w:val="76ED277C"/>
    <w:lvl w:ilvl="0">
      <w:start w:val="1"/>
      <w:numFmt w:val="lowerRoman"/>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7" w15:restartNumberingAfterBreak="0">
    <w:nsid w:val="7F4F542A"/>
    <w:multiLevelType w:val="multilevel"/>
    <w:tmpl w:val="7F4F542A"/>
    <w:lvl w:ilvl="0">
      <w:start w:val="1"/>
      <w:numFmt w:val="lowerLetter"/>
      <w:lvlText w:val="%1."/>
      <w:lvlJc w:val="left"/>
      <w:pPr>
        <w:tabs>
          <w:tab w:val="left" w:pos="1212"/>
        </w:tabs>
        <w:ind w:left="1212" w:hanging="360"/>
      </w:pPr>
    </w:lvl>
    <w:lvl w:ilvl="1">
      <w:start w:val="1"/>
      <w:numFmt w:val="lowerRoman"/>
      <w:lvlText w:val="%2."/>
      <w:lvlJc w:val="right"/>
      <w:pPr>
        <w:tabs>
          <w:tab w:val="left" w:pos="1752"/>
        </w:tabs>
        <w:ind w:left="1752" w:hanging="180"/>
      </w:pPr>
      <w:rPr>
        <w:rFonts w:hint="default"/>
      </w:rPr>
    </w:lvl>
    <w:lvl w:ilvl="2">
      <w:start w:val="1"/>
      <w:numFmt w:val="decimal"/>
      <w:lvlText w:val="%3."/>
      <w:lvlJc w:val="right"/>
      <w:pPr>
        <w:tabs>
          <w:tab w:val="left" w:pos="2652"/>
        </w:tabs>
        <w:ind w:left="2652" w:hanging="180"/>
      </w:pPr>
      <w:rPr>
        <w:rFonts w:hint="default"/>
      </w:rPr>
    </w:lvl>
    <w:lvl w:ilvl="3">
      <w:start w:val="1"/>
      <w:numFmt w:val="lowerLetter"/>
      <w:lvlText w:val="%4)"/>
      <w:lvlJc w:val="left"/>
      <w:pPr>
        <w:tabs>
          <w:tab w:val="left" w:pos="3372"/>
        </w:tabs>
        <w:ind w:left="3372" w:hanging="360"/>
      </w:pPr>
      <w:rPr>
        <w:rFonts w:ascii="Arial Narrow" w:hAnsi="Arial Narrow" w:cs="Times New Roman" w:hint="default"/>
        <w:b w:val="0"/>
        <w:i w:val="0"/>
        <w:sz w:val="20"/>
        <w:szCs w:val="20"/>
      </w:rPr>
    </w:lvl>
    <w:lvl w:ilvl="4">
      <w:start w:val="1"/>
      <w:numFmt w:val="lowerLetter"/>
      <w:lvlText w:val="%5."/>
      <w:lvlJc w:val="left"/>
      <w:pPr>
        <w:tabs>
          <w:tab w:val="left" w:pos="4092"/>
        </w:tabs>
        <w:ind w:left="4092" w:hanging="360"/>
      </w:pPr>
    </w:lvl>
    <w:lvl w:ilvl="5">
      <w:start w:val="1"/>
      <w:numFmt w:val="lowerRoman"/>
      <w:lvlText w:val="%6."/>
      <w:lvlJc w:val="right"/>
      <w:pPr>
        <w:tabs>
          <w:tab w:val="left" w:pos="4812"/>
        </w:tabs>
        <w:ind w:left="4812" w:hanging="180"/>
      </w:pPr>
    </w:lvl>
    <w:lvl w:ilvl="6">
      <w:start w:val="1"/>
      <w:numFmt w:val="decimal"/>
      <w:lvlText w:val="%7."/>
      <w:lvlJc w:val="left"/>
      <w:pPr>
        <w:tabs>
          <w:tab w:val="left" w:pos="5532"/>
        </w:tabs>
        <w:ind w:left="5532" w:hanging="360"/>
      </w:pPr>
    </w:lvl>
    <w:lvl w:ilvl="7">
      <w:start w:val="1"/>
      <w:numFmt w:val="lowerLetter"/>
      <w:lvlText w:val="%8."/>
      <w:lvlJc w:val="left"/>
      <w:pPr>
        <w:tabs>
          <w:tab w:val="left" w:pos="6252"/>
        </w:tabs>
        <w:ind w:left="6252" w:hanging="360"/>
      </w:pPr>
    </w:lvl>
    <w:lvl w:ilvl="8">
      <w:start w:val="1"/>
      <w:numFmt w:val="lowerRoman"/>
      <w:lvlText w:val="%9."/>
      <w:lvlJc w:val="right"/>
      <w:pPr>
        <w:tabs>
          <w:tab w:val="left" w:pos="6972"/>
        </w:tabs>
        <w:ind w:left="6972" w:hanging="180"/>
      </w:pPr>
    </w:lvl>
  </w:abstractNum>
  <w:num w:numId="1" w16cid:durableId="147868544">
    <w:abstractNumId w:val="23"/>
  </w:num>
  <w:num w:numId="2" w16cid:durableId="1378119475">
    <w:abstractNumId w:val="19"/>
  </w:num>
  <w:num w:numId="3" w16cid:durableId="861823236">
    <w:abstractNumId w:val="5"/>
  </w:num>
  <w:num w:numId="4" w16cid:durableId="2138982358">
    <w:abstractNumId w:val="15"/>
  </w:num>
  <w:num w:numId="5" w16cid:durableId="549338693">
    <w:abstractNumId w:val="3"/>
  </w:num>
  <w:num w:numId="6" w16cid:durableId="900671328">
    <w:abstractNumId w:val="13"/>
  </w:num>
  <w:num w:numId="7" w16cid:durableId="2120563143">
    <w:abstractNumId w:val="1"/>
  </w:num>
  <w:num w:numId="8" w16cid:durableId="1500803413">
    <w:abstractNumId w:val="26"/>
  </w:num>
  <w:num w:numId="9" w16cid:durableId="710543511">
    <w:abstractNumId w:val="22"/>
  </w:num>
  <w:num w:numId="10" w16cid:durableId="1029648302">
    <w:abstractNumId w:val="0"/>
  </w:num>
  <w:num w:numId="11" w16cid:durableId="109786892">
    <w:abstractNumId w:val="6"/>
  </w:num>
  <w:num w:numId="12" w16cid:durableId="1133252114">
    <w:abstractNumId w:val="14"/>
  </w:num>
  <w:num w:numId="13" w16cid:durableId="1683387395">
    <w:abstractNumId w:val="7"/>
  </w:num>
  <w:num w:numId="14" w16cid:durableId="1952928099">
    <w:abstractNumId w:val="20"/>
  </w:num>
  <w:num w:numId="15" w16cid:durableId="412898158">
    <w:abstractNumId w:val="24"/>
  </w:num>
  <w:num w:numId="16" w16cid:durableId="436800530">
    <w:abstractNumId w:val="2"/>
  </w:num>
  <w:num w:numId="17" w16cid:durableId="1423641610">
    <w:abstractNumId w:val="27"/>
  </w:num>
  <w:num w:numId="18" w16cid:durableId="1474175307">
    <w:abstractNumId w:val="16"/>
  </w:num>
  <w:num w:numId="19" w16cid:durableId="735861059">
    <w:abstractNumId w:val="12"/>
  </w:num>
  <w:num w:numId="20" w16cid:durableId="101581818">
    <w:abstractNumId w:val="10"/>
  </w:num>
  <w:num w:numId="21" w16cid:durableId="2022273859">
    <w:abstractNumId w:val="9"/>
  </w:num>
  <w:num w:numId="22" w16cid:durableId="1899240646">
    <w:abstractNumId w:val="8"/>
  </w:num>
  <w:num w:numId="23" w16cid:durableId="574513018">
    <w:abstractNumId w:val="25"/>
  </w:num>
  <w:num w:numId="24" w16cid:durableId="1276519267">
    <w:abstractNumId w:val="4"/>
  </w:num>
  <w:num w:numId="25" w16cid:durableId="1349330379">
    <w:abstractNumId w:val="11"/>
  </w:num>
  <w:num w:numId="26" w16cid:durableId="1318343457">
    <w:abstractNumId w:val="18"/>
  </w:num>
  <w:num w:numId="27" w16cid:durableId="2133860015">
    <w:abstractNumId w:val="21"/>
  </w:num>
  <w:num w:numId="28" w16cid:durableId="251277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71"/>
    <w:rsid w:val="00004358"/>
    <w:rsid w:val="00006420"/>
    <w:rsid w:val="00021FFA"/>
    <w:rsid w:val="00024F32"/>
    <w:rsid w:val="00031E6C"/>
    <w:rsid w:val="00051500"/>
    <w:rsid w:val="000525D9"/>
    <w:rsid w:val="000621C5"/>
    <w:rsid w:val="000710A9"/>
    <w:rsid w:val="00073D28"/>
    <w:rsid w:val="00097879"/>
    <w:rsid w:val="00097CED"/>
    <w:rsid w:val="000A084D"/>
    <w:rsid w:val="000B2095"/>
    <w:rsid w:val="000B2571"/>
    <w:rsid w:val="000B3C06"/>
    <w:rsid w:val="000C0F92"/>
    <w:rsid w:val="000C4610"/>
    <w:rsid w:val="000C46C1"/>
    <w:rsid w:val="000C4BD7"/>
    <w:rsid w:val="000D7747"/>
    <w:rsid w:val="000E12F2"/>
    <w:rsid w:val="000F6DF8"/>
    <w:rsid w:val="00105F7D"/>
    <w:rsid w:val="00107D65"/>
    <w:rsid w:val="001413E8"/>
    <w:rsid w:val="001430AE"/>
    <w:rsid w:val="00151C5E"/>
    <w:rsid w:val="001550DB"/>
    <w:rsid w:val="001631E3"/>
    <w:rsid w:val="00182B0E"/>
    <w:rsid w:val="0018650B"/>
    <w:rsid w:val="00186774"/>
    <w:rsid w:val="0018781D"/>
    <w:rsid w:val="00187D60"/>
    <w:rsid w:val="00193E73"/>
    <w:rsid w:val="001A34D0"/>
    <w:rsid w:val="001A6982"/>
    <w:rsid w:val="001A7ED5"/>
    <w:rsid w:val="001D2EB5"/>
    <w:rsid w:val="001E1133"/>
    <w:rsid w:val="001E67F3"/>
    <w:rsid w:val="001E7766"/>
    <w:rsid w:val="001F79D0"/>
    <w:rsid w:val="00200239"/>
    <w:rsid w:val="00201A01"/>
    <w:rsid w:val="002026F5"/>
    <w:rsid w:val="00202E70"/>
    <w:rsid w:val="00203BDB"/>
    <w:rsid w:val="0020795D"/>
    <w:rsid w:val="002115B0"/>
    <w:rsid w:val="00224EE6"/>
    <w:rsid w:val="00242F4B"/>
    <w:rsid w:val="00243464"/>
    <w:rsid w:val="002438F7"/>
    <w:rsid w:val="002543AA"/>
    <w:rsid w:val="00260733"/>
    <w:rsid w:val="00261EA8"/>
    <w:rsid w:val="002717A6"/>
    <w:rsid w:val="00280B98"/>
    <w:rsid w:val="002823FF"/>
    <w:rsid w:val="00286977"/>
    <w:rsid w:val="00291E51"/>
    <w:rsid w:val="00294101"/>
    <w:rsid w:val="002A2484"/>
    <w:rsid w:val="002A4CFF"/>
    <w:rsid w:val="002A5F17"/>
    <w:rsid w:val="002B3EC9"/>
    <w:rsid w:val="002B66CE"/>
    <w:rsid w:val="002C18CE"/>
    <w:rsid w:val="002C57F1"/>
    <w:rsid w:val="002D7837"/>
    <w:rsid w:val="002F2748"/>
    <w:rsid w:val="002F2BB6"/>
    <w:rsid w:val="002F2D40"/>
    <w:rsid w:val="00300717"/>
    <w:rsid w:val="00300731"/>
    <w:rsid w:val="003139D0"/>
    <w:rsid w:val="0031702C"/>
    <w:rsid w:val="00317F30"/>
    <w:rsid w:val="00323290"/>
    <w:rsid w:val="00324836"/>
    <w:rsid w:val="00325823"/>
    <w:rsid w:val="00325E13"/>
    <w:rsid w:val="00326BEB"/>
    <w:rsid w:val="00346293"/>
    <w:rsid w:val="00350DE9"/>
    <w:rsid w:val="00352214"/>
    <w:rsid w:val="00357787"/>
    <w:rsid w:val="003612B5"/>
    <w:rsid w:val="0036444A"/>
    <w:rsid w:val="00365DAE"/>
    <w:rsid w:val="00367A18"/>
    <w:rsid w:val="00390965"/>
    <w:rsid w:val="003947C7"/>
    <w:rsid w:val="003A6288"/>
    <w:rsid w:val="003B041C"/>
    <w:rsid w:val="003B2AF5"/>
    <w:rsid w:val="003B5808"/>
    <w:rsid w:val="003C0331"/>
    <w:rsid w:val="003C0BDE"/>
    <w:rsid w:val="003D2C80"/>
    <w:rsid w:val="003F370B"/>
    <w:rsid w:val="0040034E"/>
    <w:rsid w:val="00402C37"/>
    <w:rsid w:val="004045B1"/>
    <w:rsid w:val="004079B4"/>
    <w:rsid w:val="00422629"/>
    <w:rsid w:val="0042449D"/>
    <w:rsid w:val="00430709"/>
    <w:rsid w:val="0043262D"/>
    <w:rsid w:val="0043482F"/>
    <w:rsid w:val="00454D0C"/>
    <w:rsid w:val="00455590"/>
    <w:rsid w:val="0046136B"/>
    <w:rsid w:val="0047318D"/>
    <w:rsid w:val="004749F0"/>
    <w:rsid w:val="00481577"/>
    <w:rsid w:val="00484F17"/>
    <w:rsid w:val="004851E0"/>
    <w:rsid w:val="00494901"/>
    <w:rsid w:val="004A041A"/>
    <w:rsid w:val="004A4892"/>
    <w:rsid w:val="004A626F"/>
    <w:rsid w:val="004C21C7"/>
    <w:rsid w:val="004E0F5C"/>
    <w:rsid w:val="004F2F2A"/>
    <w:rsid w:val="004F5890"/>
    <w:rsid w:val="0050261C"/>
    <w:rsid w:val="005056B4"/>
    <w:rsid w:val="0050729D"/>
    <w:rsid w:val="00524DBC"/>
    <w:rsid w:val="00535B36"/>
    <w:rsid w:val="0054714E"/>
    <w:rsid w:val="00552097"/>
    <w:rsid w:val="00554F9A"/>
    <w:rsid w:val="00560002"/>
    <w:rsid w:val="00570B34"/>
    <w:rsid w:val="0057150B"/>
    <w:rsid w:val="005816E3"/>
    <w:rsid w:val="005819CD"/>
    <w:rsid w:val="00584C05"/>
    <w:rsid w:val="00584CA5"/>
    <w:rsid w:val="00595503"/>
    <w:rsid w:val="00595F60"/>
    <w:rsid w:val="005A02DF"/>
    <w:rsid w:val="005A3F0D"/>
    <w:rsid w:val="005A4EBD"/>
    <w:rsid w:val="005B412B"/>
    <w:rsid w:val="005B6BBE"/>
    <w:rsid w:val="005C2658"/>
    <w:rsid w:val="005C3415"/>
    <w:rsid w:val="005C448A"/>
    <w:rsid w:val="005D7EDF"/>
    <w:rsid w:val="005D7FBD"/>
    <w:rsid w:val="005E09AF"/>
    <w:rsid w:val="005E2013"/>
    <w:rsid w:val="005E500E"/>
    <w:rsid w:val="005F3090"/>
    <w:rsid w:val="005F745C"/>
    <w:rsid w:val="00603D1B"/>
    <w:rsid w:val="00604D3A"/>
    <w:rsid w:val="00610949"/>
    <w:rsid w:val="00615157"/>
    <w:rsid w:val="00633E71"/>
    <w:rsid w:val="00636541"/>
    <w:rsid w:val="00636DA5"/>
    <w:rsid w:val="00644C5F"/>
    <w:rsid w:val="00647288"/>
    <w:rsid w:val="006518D6"/>
    <w:rsid w:val="00656FB9"/>
    <w:rsid w:val="006719C1"/>
    <w:rsid w:val="00675E31"/>
    <w:rsid w:val="006813C9"/>
    <w:rsid w:val="00684B00"/>
    <w:rsid w:val="006935DB"/>
    <w:rsid w:val="006A10FA"/>
    <w:rsid w:val="006A51CF"/>
    <w:rsid w:val="006A6F77"/>
    <w:rsid w:val="006A733A"/>
    <w:rsid w:val="006B06D3"/>
    <w:rsid w:val="006C4E4F"/>
    <w:rsid w:val="006C668C"/>
    <w:rsid w:val="006D56E1"/>
    <w:rsid w:val="006D7EC5"/>
    <w:rsid w:val="006F09EC"/>
    <w:rsid w:val="006F38B2"/>
    <w:rsid w:val="00701F3F"/>
    <w:rsid w:val="00704793"/>
    <w:rsid w:val="00704F35"/>
    <w:rsid w:val="00705F61"/>
    <w:rsid w:val="00717CE0"/>
    <w:rsid w:val="00743827"/>
    <w:rsid w:val="007621A4"/>
    <w:rsid w:val="00763473"/>
    <w:rsid w:val="00771255"/>
    <w:rsid w:val="0077297E"/>
    <w:rsid w:val="007758B4"/>
    <w:rsid w:val="00782A4A"/>
    <w:rsid w:val="00782E92"/>
    <w:rsid w:val="00792B7C"/>
    <w:rsid w:val="00794C13"/>
    <w:rsid w:val="007A727E"/>
    <w:rsid w:val="007C1929"/>
    <w:rsid w:val="007D7411"/>
    <w:rsid w:val="007D7908"/>
    <w:rsid w:val="007F133E"/>
    <w:rsid w:val="007F7024"/>
    <w:rsid w:val="00800479"/>
    <w:rsid w:val="00802C8D"/>
    <w:rsid w:val="00804D21"/>
    <w:rsid w:val="00806F9D"/>
    <w:rsid w:val="00811E83"/>
    <w:rsid w:val="00812A4E"/>
    <w:rsid w:val="00820A5E"/>
    <w:rsid w:val="00826666"/>
    <w:rsid w:val="00826B65"/>
    <w:rsid w:val="00832745"/>
    <w:rsid w:val="0083560F"/>
    <w:rsid w:val="008374CF"/>
    <w:rsid w:val="00841E0B"/>
    <w:rsid w:val="00845922"/>
    <w:rsid w:val="00853368"/>
    <w:rsid w:val="00854C04"/>
    <w:rsid w:val="008620AB"/>
    <w:rsid w:val="00866144"/>
    <w:rsid w:val="00867787"/>
    <w:rsid w:val="00871DC9"/>
    <w:rsid w:val="008752F9"/>
    <w:rsid w:val="00880349"/>
    <w:rsid w:val="008820EA"/>
    <w:rsid w:val="00885932"/>
    <w:rsid w:val="00890588"/>
    <w:rsid w:val="00890906"/>
    <w:rsid w:val="008970FD"/>
    <w:rsid w:val="008A7B65"/>
    <w:rsid w:val="008B7A11"/>
    <w:rsid w:val="008C4D9D"/>
    <w:rsid w:val="008D16E9"/>
    <w:rsid w:val="008E2C40"/>
    <w:rsid w:val="008F01A3"/>
    <w:rsid w:val="008F3F2E"/>
    <w:rsid w:val="008F49D1"/>
    <w:rsid w:val="00902964"/>
    <w:rsid w:val="00913FA9"/>
    <w:rsid w:val="0092293E"/>
    <w:rsid w:val="0092441D"/>
    <w:rsid w:val="00925CBA"/>
    <w:rsid w:val="009269A6"/>
    <w:rsid w:val="00933A4B"/>
    <w:rsid w:val="00933C6E"/>
    <w:rsid w:val="009549A9"/>
    <w:rsid w:val="00955452"/>
    <w:rsid w:val="009576E4"/>
    <w:rsid w:val="00960EA7"/>
    <w:rsid w:val="0096235F"/>
    <w:rsid w:val="00983771"/>
    <w:rsid w:val="00985E9A"/>
    <w:rsid w:val="009A1398"/>
    <w:rsid w:val="009A1AF0"/>
    <w:rsid w:val="009A4B7B"/>
    <w:rsid w:val="009B58F8"/>
    <w:rsid w:val="009C1BDB"/>
    <w:rsid w:val="009C616B"/>
    <w:rsid w:val="009E253F"/>
    <w:rsid w:val="00A019A6"/>
    <w:rsid w:val="00A06545"/>
    <w:rsid w:val="00A15F9B"/>
    <w:rsid w:val="00A20C17"/>
    <w:rsid w:val="00A2191B"/>
    <w:rsid w:val="00A2315F"/>
    <w:rsid w:val="00A3101B"/>
    <w:rsid w:val="00A43E18"/>
    <w:rsid w:val="00A529C3"/>
    <w:rsid w:val="00A530EC"/>
    <w:rsid w:val="00A54C57"/>
    <w:rsid w:val="00A611DC"/>
    <w:rsid w:val="00A658D0"/>
    <w:rsid w:val="00A807AB"/>
    <w:rsid w:val="00A8442A"/>
    <w:rsid w:val="00A849C0"/>
    <w:rsid w:val="00A92B9A"/>
    <w:rsid w:val="00AA0DB3"/>
    <w:rsid w:val="00AA2266"/>
    <w:rsid w:val="00AB3A3E"/>
    <w:rsid w:val="00AC6BD5"/>
    <w:rsid w:val="00AD36AF"/>
    <w:rsid w:val="00AD6209"/>
    <w:rsid w:val="00AD7036"/>
    <w:rsid w:val="00AE11D4"/>
    <w:rsid w:val="00AE66A1"/>
    <w:rsid w:val="00AE6DFD"/>
    <w:rsid w:val="00AF179B"/>
    <w:rsid w:val="00AF1CC0"/>
    <w:rsid w:val="00AF3C83"/>
    <w:rsid w:val="00AF6221"/>
    <w:rsid w:val="00AF78F5"/>
    <w:rsid w:val="00B04494"/>
    <w:rsid w:val="00B15042"/>
    <w:rsid w:val="00B206B4"/>
    <w:rsid w:val="00B2354E"/>
    <w:rsid w:val="00B27295"/>
    <w:rsid w:val="00B32483"/>
    <w:rsid w:val="00B41A5C"/>
    <w:rsid w:val="00B522DD"/>
    <w:rsid w:val="00B53A0F"/>
    <w:rsid w:val="00B53ACE"/>
    <w:rsid w:val="00B76F7A"/>
    <w:rsid w:val="00B85530"/>
    <w:rsid w:val="00B8562F"/>
    <w:rsid w:val="00BA1B70"/>
    <w:rsid w:val="00BD5E20"/>
    <w:rsid w:val="00BD79E3"/>
    <w:rsid w:val="00BE697C"/>
    <w:rsid w:val="00BE7D39"/>
    <w:rsid w:val="00BF0D0F"/>
    <w:rsid w:val="00C00D3E"/>
    <w:rsid w:val="00C07B39"/>
    <w:rsid w:val="00C13D04"/>
    <w:rsid w:val="00C27588"/>
    <w:rsid w:val="00C357F6"/>
    <w:rsid w:val="00C41762"/>
    <w:rsid w:val="00C4636F"/>
    <w:rsid w:val="00C6080F"/>
    <w:rsid w:val="00C62F94"/>
    <w:rsid w:val="00C64038"/>
    <w:rsid w:val="00C70D7C"/>
    <w:rsid w:val="00C75EA9"/>
    <w:rsid w:val="00C776F3"/>
    <w:rsid w:val="00C77D08"/>
    <w:rsid w:val="00C86EC1"/>
    <w:rsid w:val="00CB2F86"/>
    <w:rsid w:val="00CC6060"/>
    <w:rsid w:val="00CD0244"/>
    <w:rsid w:val="00CE29D5"/>
    <w:rsid w:val="00CE796C"/>
    <w:rsid w:val="00CF0429"/>
    <w:rsid w:val="00CF08A5"/>
    <w:rsid w:val="00CF7F1D"/>
    <w:rsid w:val="00D00458"/>
    <w:rsid w:val="00D02AF7"/>
    <w:rsid w:val="00D07FE9"/>
    <w:rsid w:val="00D16F8A"/>
    <w:rsid w:val="00D170F2"/>
    <w:rsid w:val="00D232B5"/>
    <w:rsid w:val="00D25BDE"/>
    <w:rsid w:val="00D34226"/>
    <w:rsid w:val="00D34915"/>
    <w:rsid w:val="00D41563"/>
    <w:rsid w:val="00D41772"/>
    <w:rsid w:val="00D4260D"/>
    <w:rsid w:val="00D42C0A"/>
    <w:rsid w:val="00D43866"/>
    <w:rsid w:val="00D46141"/>
    <w:rsid w:val="00D52379"/>
    <w:rsid w:val="00D53B1A"/>
    <w:rsid w:val="00D629A8"/>
    <w:rsid w:val="00D74B47"/>
    <w:rsid w:val="00D82333"/>
    <w:rsid w:val="00D86D82"/>
    <w:rsid w:val="00D97CF9"/>
    <w:rsid w:val="00DB41A1"/>
    <w:rsid w:val="00DB7197"/>
    <w:rsid w:val="00DB73E0"/>
    <w:rsid w:val="00DB74B4"/>
    <w:rsid w:val="00DB77D6"/>
    <w:rsid w:val="00DC1CF9"/>
    <w:rsid w:val="00DC3FB9"/>
    <w:rsid w:val="00DD3BC4"/>
    <w:rsid w:val="00DE4F21"/>
    <w:rsid w:val="00DE79C9"/>
    <w:rsid w:val="00DF35F4"/>
    <w:rsid w:val="00E10A4E"/>
    <w:rsid w:val="00E12D8C"/>
    <w:rsid w:val="00E13219"/>
    <w:rsid w:val="00E15337"/>
    <w:rsid w:val="00E26436"/>
    <w:rsid w:val="00E26F32"/>
    <w:rsid w:val="00E36C63"/>
    <w:rsid w:val="00E402E1"/>
    <w:rsid w:val="00E45CB9"/>
    <w:rsid w:val="00E5429A"/>
    <w:rsid w:val="00E55C94"/>
    <w:rsid w:val="00E61FEC"/>
    <w:rsid w:val="00E63D55"/>
    <w:rsid w:val="00E753CA"/>
    <w:rsid w:val="00E93430"/>
    <w:rsid w:val="00E97C6D"/>
    <w:rsid w:val="00EA119B"/>
    <w:rsid w:val="00EA4E02"/>
    <w:rsid w:val="00EB23F3"/>
    <w:rsid w:val="00EB26BD"/>
    <w:rsid w:val="00EC207F"/>
    <w:rsid w:val="00EC2E84"/>
    <w:rsid w:val="00ED7475"/>
    <w:rsid w:val="00EE3337"/>
    <w:rsid w:val="00EF03BC"/>
    <w:rsid w:val="00F05C5F"/>
    <w:rsid w:val="00F07274"/>
    <w:rsid w:val="00F23589"/>
    <w:rsid w:val="00F24C87"/>
    <w:rsid w:val="00F35B71"/>
    <w:rsid w:val="00F4271B"/>
    <w:rsid w:val="00F43DEC"/>
    <w:rsid w:val="00F4456E"/>
    <w:rsid w:val="00F55016"/>
    <w:rsid w:val="00F56A9B"/>
    <w:rsid w:val="00F57CC5"/>
    <w:rsid w:val="00F61868"/>
    <w:rsid w:val="00F620E7"/>
    <w:rsid w:val="00F630E7"/>
    <w:rsid w:val="00F75EED"/>
    <w:rsid w:val="00F81FFF"/>
    <w:rsid w:val="00F90675"/>
    <w:rsid w:val="00FA15D5"/>
    <w:rsid w:val="00FB690F"/>
    <w:rsid w:val="00FC542A"/>
    <w:rsid w:val="00FD7CCA"/>
    <w:rsid w:val="00FE0E45"/>
    <w:rsid w:val="00FE2560"/>
    <w:rsid w:val="00FE4FD1"/>
    <w:rsid w:val="00FF4C6E"/>
    <w:rsid w:val="00FF7D47"/>
    <w:rsid w:val="14E63D6D"/>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49AEF"/>
  <w15:docId w15:val="{4606897D-D006-424F-BE53-0228F384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qFormat="1"/>
    <w:lsdException w:name="footer" w:uiPriority="99"/>
    <w:lsdException w:name="caption" w:semiHidden="1" w:unhideWhenUsed="1" w:qFormat="1"/>
    <w:lsdException w:name="footnote reference" w:semiHidden="1" w:qFormat="1"/>
    <w:lsdException w:name="annotation reference" w:uiPriority="99" w:qFormat="1"/>
    <w:lsdException w:name="endnote reference" w:qFormat="1"/>
    <w:lsdException w:name="endnote text"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s-ES"/>
    </w:rPr>
  </w:style>
  <w:style w:type="paragraph" w:styleId="Ttulo1">
    <w:name w:val="heading 1"/>
    <w:basedOn w:val="Normal"/>
    <w:next w:val="Normal"/>
    <w:qFormat/>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qFormat/>
    <w:rPr>
      <w:vertAlign w:val="superscript"/>
    </w:rPr>
  </w:style>
  <w:style w:type="character" w:styleId="Refdecomentario">
    <w:name w:val="annotation reference"/>
    <w:uiPriority w:val="99"/>
    <w:qFormat/>
    <w:rPr>
      <w:sz w:val="16"/>
      <w:szCs w:val="16"/>
    </w:rPr>
  </w:style>
  <w:style w:type="character" w:styleId="Refdenotaalpie">
    <w:name w:val="footnote reference"/>
    <w:semiHidden/>
    <w:qFormat/>
    <w:rPr>
      <w:vertAlign w:val="superscript"/>
    </w:rPr>
  </w:style>
  <w:style w:type="paragraph" w:styleId="Textonotapie">
    <w:name w:val="footnote text"/>
    <w:basedOn w:val="Normal"/>
    <w:link w:val="TextonotapieCar"/>
    <w:semiHidden/>
  </w:style>
  <w:style w:type="paragraph" w:styleId="Textonotaalfinal">
    <w:name w:val="endnote text"/>
    <w:basedOn w:val="Normal"/>
    <w:link w:val="TextonotaalfinalCar"/>
    <w:qFormat/>
  </w:style>
  <w:style w:type="paragraph" w:styleId="Asuntodelcomentario">
    <w:name w:val="annotation subject"/>
    <w:basedOn w:val="Textocomentario"/>
    <w:next w:val="Textocomentario"/>
    <w:link w:val="AsuntodelcomentarioCar"/>
    <w:rPr>
      <w:b/>
      <w:bCs/>
    </w:rPr>
  </w:style>
  <w:style w:type="paragraph" w:styleId="Textocomentario">
    <w:name w:val="annotation text"/>
    <w:basedOn w:val="Normal"/>
    <w:link w:val="TextocomentarioCar"/>
    <w:qFormat/>
  </w:style>
  <w:style w:type="paragraph" w:styleId="Textodeglobo">
    <w:name w:val="Balloon Text"/>
    <w:basedOn w:val="Normal"/>
    <w:link w:val="TextodegloboCar"/>
    <w:rPr>
      <w:rFonts w:ascii="Tahoma" w:hAnsi="Tahoma" w:cs="Tahoma"/>
      <w:sz w:val="16"/>
      <w:szCs w:val="16"/>
    </w:rPr>
  </w:style>
  <w:style w:type="paragraph" w:styleId="Encabezado">
    <w:name w:val="header"/>
    <w:basedOn w:val="Normal"/>
    <w:link w:val="EncabezadoCar"/>
    <w:pPr>
      <w:tabs>
        <w:tab w:val="center" w:pos="4252"/>
        <w:tab w:val="right" w:pos="8504"/>
      </w:tabs>
    </w:pPr>
    <w:rPr>
      <w:rFonts w:ascii="Arial Narrow" w:hAnsi="Arial Narrow"/>
      <w:sz w:val="22"/>
    </w:rPr>
  </w:style>
  <w:style w:type="paragraph" w:styleId="Sangra3detindependiente">
    <w:name w:val="Body Text Indent 3"/>
    <w:basedOn w:val="Normal"/>
    <w:qFormat/>
    <w:pPr>
      <w:ind w:left="567" w:hanging="567"/>
    </w:pPr>
    <w:rPr>
      <w:rFonts w:ascii="Arial Narrow" w:hAnsi="Arial Narrow"/>
    </w:rPr>
  </w:style>
  <w:style w:type="paragraph" w:styleId="Sangradetextonormal">
    <w:name w:val="Body Text Indent"/>
    <w:basedOn w:val="Normal"/>
    <w:qFormat/>
    <w:pPr>
      <w:ind w:left="708" w:hanging="282"/>
      <w:jc w:val="both"/>
    </w:pPr>
  </w:style>
  <w:style w:type="paragraph" w:styleId="Piedepgina">
    <w:name w:val="footer"/>
    <w:basedOn w:val="Normal"/>
    <w:link w:val="PiedepginaCar"/>
    <w:uiPriority w:val="99"/>
    <w:pPr>
      <w:tabs>
        <w:tab w:val="center" w:pos="4419"/>
        <w:tab w:val="right" w:pos="8838"/>
      </w:tabs>
    </w:pPr>
  </w:style>
  <w:style w:type="paragraph" w:styleId="Sangra2detindependiente">
    <w:name w:val="Body Text Indent 2"/>
    <w:basedOn w:val="Normal"/>
    <w:pPr>
      <w:ind w:left="851" w:hanging="425"/>
      <w:jc w:val="both"/>
    </w:pPr>
  </w:style>
  <w:style w:type="paragraph" w:styleId="Textoindependiente">
    <w:name w:val="Body Text"/>
    <w:basedOn w:val="Normal"/>
    <w:pPr>
      <w:jc w:val="both"/>
    </w:pPr>
    <w:rPr>
      <w:rFonts w:ascii="Arial Narrow" w:hAnsi="Arial Narrow"/>
      <w:sz w:val="16"/>
    </w:rPr>
  </w:style>
  <w:style w:type="character" w:customStyle="1" w:styleId="PiedepginaCar">
    <w:name w:val="Pie de página Car"/>
    <w:link w:val="Piedepgina"/>
    <w:uiPriority w:val="99"/>
    <w:qFormat/>
    <w:rPr>
      <w:rFonts w:ascii="Arial" w:hAnsi="Arial"/>
    </w:rPr>
  </w:style>
  <w:style w:type="character" w:customStyle="1" w:styleId="TextodegloboCar">
    <w:name w:val="Texto de globo Car"/>
    <w:link w:val="Textodeglobo"/>
    <w:uiPriority w:val="99"/>
    <w:rPr>
      <w:rFonts w:ascii="Tahoma" w:hAnsi="Tahoma" w:cs="Tahoma"/>
      <w:sz w:val="16"/>
      <w:szCs w:val="16"/>
    </w:rPr>
  </w:style>
  <w:style w:type="character" w:customStyle="1" w:styleId="TextocomentarioCar">
    <w:name w:val="Texto comentario Car"/>
    <w:link w:val="Textocomentario"/>
    <w:qFormat/>
    <w:rPr>
      <w:rFonts w:ascii="Arial" w:hAnsi="Arial"/>
      <w:lang w:eastAsia="es-ES"/>
    </w:rPr>
  </w:style>
  <w:style w:type="character" w:customStyle="1" w:styleId="AsuntodelcomentarioCar">
    <w:name w:val="Asunto del comentario Car"/>
    <w:link w:val="Asuntodelcomentario"/>
    <w:rPr>
      <w:rFonts w:ascii="Arial" w:hAnsi="Arial"/>
      <w:b/>
      <w:bCs/>
      <w:lang w:eastAsia="es-ES"/>
    </w:rPr>
  </w:style>
  <w:style w:type="paragraph" w:customStyle="1" w:styleId="normalFormatoAAA">
    <w:name w:val="normal Formato AAA"/>
    <w:basedOn w:val="Normal"/>
    <w:next w:val="Normal"/>
    <w:qFormat/>
    <w:pPr>
      <w:tabs>
        <w:tab w:val="left" w:pos="708"/>
        <w:tab w:val="left" w:pos="1020"/>
        <w:tab w:val="left" w:pos="1417"/>
        <w:tab w:val="left" w:pos="2154"/>
        <w:tab w:val="left" w:pos="2832"/>
      </w:tabs>
      <w:spacing w:after="28"/>
      <w:ind w:left="1020" w:hanging="794"/>
      <w:jc w:val="both"/>
    </w:pPr>
    <w:rPr>
      <w:rFonts w:ascii="Ottawa" w:hAnsi="Ottawa"/>
      <w:snapToGrid w:val="0"/>
      <w:lang w:val="es-ES"/>
    </w:rPr>
  </w:style>
  <w:style w:type="paragraph" w:customStyle="1" w:styleId="normalsangr2">
    <w:name w:val="normal sangr 2"/>
    <w:basedOn w:val="Normal"/>
    <w:pPr>
      <w:tabs>
        <w:tab w:val="left" w:pos="567"/>
        <w:tab w:val="left" w:pos="709"/>
        <w:tab w:val="left" w:pos="1417"/>
        <w:tab w:val="left" w:pos="2154"/>
        <w:tab w:val="left" w:pos="2832"/>
      </w:tabs>
      <w:spacing w:after="28"/>
      <w:ind w:left="567" w:hanging="283"/>
      <w:jc w:val="both"/>
    </w:pPr>
    <w:rPr>
      <w:rFonts w:ascii="Ottawa" w:hAnsi="Ottawa"/>
      <w:snapToGrid w:val="0"/>
      <w:lang w:val="es-ES"/>
    </w:rPr>
  </w:style>
  <w:style w:type="paragraph" w:customStyle="1" w:styleId="Revisin1">
    <w:name w:val="Revisión1"/>
    <w:hidden/>
    <w:uiPriority w:val="99"/>
    <w:semiHidden/>
    <w:rPr>
      <w:rFonts w:ascii="Arial" w:hAnsi="Arial"/>
      <w:lang w:eastAsia="es-ES"/>
    </w:rPr>
  </w:style>
  <w:style w:type="paragraph" w:customStyle="1" w:styleId="Default">
    <w:name w:val="Default"/>
    <w:pPr>
      <w:autoSpaceDE w:val="0"/>
      <w:autoSpaceDN w:val="0"/>
      <w:adjustRightInd w:val="0"/>
    </w:pPr>
    <w:rPr>
      <w:color w:val="000000"/>
      <w:sz w:val="24"/>
      <w:szCs w:val="24"/>
    </w:rPr>
  </w:style>
  <w:style w:type="character" w:customStyle="1" w:styleId="EncabezadoCar">
    <w:name w:val="Encabezado Car"/>
    <w:link w:val="Encabezado"/>
    <w:rPr>
      <w:rFonts w:ascii="Arial Narrow" w:hAnsi="Arial Narrow"/>
      <w:sz w:val="22"/>
      <w:lang w:eastAsia="es-ES"/>
    </w:rPr>
  </w:style>
  <w:style w:type="character" w:customStyle="1" w:styleId="TextonotaalfinalCar">
    <w:name w:val="Texto nota al final Car"/>
    <w:link w:val="Textonotaalfinal"/>
    <w:qFormat/>
    <w:rPr>
      <w:rFonts w:ascii="Arial" w:hAnsi="Arial"/>
      <w:lang w:eastAsia="es-ES"/>
    </w:rPr>
  </w:style>
  <w:style w:type="paragraph" w:styleId="Prrafodelista">
    <w:name w:val="List Paragraph"/>
    <w:basedOn w:val="Normal"/>
    <w:uiPriority w:val="34"/>
    <w:qFormat/>
    <w:pPr>
      <w:ind w:left="708"/>
    </w:pPr>
    <w:rPr>
      <w:sz w:val="22"/>
      <w:lang w:val="es-ES"/>
    </w:rPr>
  </w:style>
  <w:style w:type="character" w:customStyle="1" w:styleId="markedcontent">
    <w:name w:val="markedcontent"/>
    <w:basedOn w:val="Fuentedeprrafopredeter"/>
    <w:qFormat/>
  </w:style>
  <w:style w:type="character" w:customStyle="1" w:styleId="TextonotapieCar">
    <w:name w:val="Texto nota pie Car"/>
    <w:link w:val="Textonotapie"/>
    <w:semiHidden/>
    <w:qFormat/>
    <w:rPr>
      <w:rFonts w:ascii="Arial" w:hAnsi="Arial"/>
      <w:lang w:eastAsia="es-ES"/>
    </w:rPr>
  </w:style>
  <w:style w:type="paragraph" w:styleId="Revisin">
    <w:name w:val="Revision"/>
    <w:hidden/>
    <w:uiPriority w:val="99"/>
    <w:unhideWhenUsed/>
    <w:rsid w:val="000C46C1"/>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1C8D-6B4F-4C9D-BE03-C10D629C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9586</Words>
  <Characters>52728</Characters>
  <Application>Microsoft Office Word</Application>
  <DocSecurity>0</DocSecurity>
  <Lines>439</Lines>
  <Paragraphs>124</Paragraphs>
  <ScaleCrop>false</ScaleCrop>
  <Company/>
  <LinksUpToDate>false</LinksUpToDate>
  <CharactersWithSpaces>62190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1</cp:revision>
  <dcterms:created xsi:type="dcterms:W3CDTF">2025-08-21T14:33:00Z</dcterms:created>
  <dcterms:modified xsi:type="dcterms:W3CDTF">2025-08-27T15:19:00Z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6CB2D6554BB8415FA7C050AA10F9BA72_13</vt:lpwstr>
  </property>
</Properties>
</file>