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386" w:type="dxa"/>
        <w:tblCellMar>
          <w:left w:w="70" w:type="dxa"/>
          <w:right w:w="70" w:type="dxa"/>
        </w:tblCellMar>
        <w:tblLook w:val="04A0" w:firstRow="1" w:lastRow="0" w:firstColumn="1" w:lastColumn="0" w:noHBand="0" w:noVBand="1"/>
      </w:tblPr>
      <w:tblGrid>
        <w:gridCol w:w="436"/>
        <w:gridCol w:w="1218"/>
        <w:gridCol w:w="1432"/>
        <w:gridCol w:w="469"/>
        <w:gridCol w:w="4831"/>
      </w:tblGrid>
      <w:tr w:rsidR="008F221C" w:rsidRPr="008F221C" w14:paraId="1C5426BA" w14:textId="77777777" w:rsidTr="009432D4">
        <w:trPr>
          <w:trHeight w:val="252"/>
        </w:trPr>
        <w:tc>
          <w:tcPr>
            <w:tcW w:w="436" w:type="dxa"/>
            <w:tcBorders>
              <w:top w:val="nil"/>
              <w:left w:val="nil"/>
              <w:bottom w:val="nil"/>
              <w:right w:val="nil"/>
            </w:tcBorders>
            <w:noWrap/>
            <w:vAlign w:val="center"/>
            <w:hideMark/>
          </w:tcPr>
          <w:p w14:paraId="26E5D481" w14:textId="77777777" w:rsidR="008F221C" w:rsidRPr="008F221C" w:rsidRDefault="008F221C" w:rsidP="008F221C">
            <w:pPr>
              <w:spacing w:after="0" w:line="240" w:lineRule="auto"/>
              <w:rPr>
                <w:rFonts w:ascii="Times New Roman" w:eastAsia="Times New Roman" w:hAnsi="Times New Roman" w:cs="Times New Roman"/>
                <w:kern w:val="0"/>
                <w:sz w:val="18"/>
                <w:szCs w:val="18"/>
                <w:lang w:eastAsia="es-PE"/>
                <w14:ligatures w14:val="none"/>
              </w:rPr>
            </w:pPr>
          </w:p>
        </w:tc>
        <w:tc>
          <w:tcPr>
            <w:tcW w:w="7950" w:type="dxa"/>
            <w:gridSpan w:val="4"/>
            <w:tcBorders>
              <w:top w:val="nil"/>
              <w:left w:val="nil"/>
              <w:bottom w:val="nil"/>
              <w:right w:val="nil"/>
            </w:tcBorders>
            <w:vAlign w:val="center"/>
            <w:hideMark/>
          </w:tcPr>
          <w:p w14:paraId="5A1615EE" w14:textId="77777777" w:rsidR="008F221C" w:rsidRPr="008F221C" w:rsidRDefault="008F221C" w:rsidP="008F221C">
            <w:pPr>
              <w:spacing w:after="0" w:line="240" w:lineRule="auto"/>
              <w:jc w:val="center"/>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REPORTE 28 “INFORMACIÓN FINANCIERA DE DEUDORES NO MINORISTAS”</w:t>
            </w:r>
          </w:p>
        </w:tc>
      </w:tr>
      <w:tr w:rsidR="008F221C" w:rsidRPr="008F221C" w14:paraId="2DE47FB4" w14:textId="77777777" w:rsidTr="009432D4">
        <w:trPr>
          <w:trHeight w:val="252"/>
        </w:trPr>
        <w:tc>
          <w:tcPr>
            <w:tcW w:w="436" w:type="dxa"/>
            <w:tcBorders>
              <w:top w:val="nil"/>
              <w:left w:val="nil"/>
              <w:bottom w:val="nil"/>
              <w:right w:val="nil"/>
            </w:tcBorders>
            <w:noWrap/>
            <w:vAlign w:val="center"/>
            <w:hideMark/>
          </w:tcPr>
          <w:p w14:paraId="635E6A2F" w14:textId="77777777" w:rsidR="008F221C" w:rsidRPr="008F221C" w:rsidRDefault="008F221C" w:rsidP="008F221C">
            <w:pPr>
              <w:spacing w:after="0" w:line="240" w:lineRule="auto"/>
              <w:jc w:val="center"/>
              <w:rPr>
                <w:rFonts w:ascii="Arial Narrow" w:eastAsia="Times New Roman" w:hAnsi="Arial Narrow" w:cs="Arial"/>
                <w:b/>
                <w:bCs/>
                <w:kern w:val="0"/>
                <w:sz w:val="18"/>
                <w:szCs w:val="18"/>
                <w:lang w:eastAsia="es-PE"/>
                <w14:ligatures w14:val="none"/>
              </w:rPr>
            </w:pPr>
          </w:p>
        </w:tc>
        <w:tc>
          <w:tcPr>
            <w:tcW w:w="1218" w:type="dxa"/>
            <w:tcBorders>
              <w:top w:val="nil"/>
              <w:left w:val="nil"/>
              <w:bottom w:val="nil"/>
              <w:right w:val="nil"/>
            </w:tcBorders>
            <w:noWrap/>
            <w:vAlign w:val="bottom"/>
            <w:hideMark/>
          </w:tcPr>
          <w:p w14:paraId="381C8B41" w14:textId="77777777" w:rsidR="008F221C" w:rsidRPr="008F221C" w:rsidRDefault="008F221C" w:rsidP="008F221C">
            <w:pPr>
              <w:spacing w:after="0" w:line="240" w:lineRule="auto"/>
              <w:rPr>
                <w:rFonts w:ascii="Times New Roman" w:eastAsia="Times New Roman" w:hAnsi="Times New Roman" w:cs="Times New Roman"/>
                <w:kern w:val="0"/>
                <w:sz w:val="18"/>
                <w:szCs w:val="18"/>
                <w:lang w:eastAsia="es-PE"/>
                <w14:ligatures w14:val="none"/>
              </w:rPr>
            </w:pPr>
          </w:p>
        </w:tc>
        <w:tc>
          <w:tcPr>
            <w:tcW w:w="1432" w:type="dxa"/>
            <w:tcBorders>
              <w:top w:val="nil"/>
              <w:left w:val="nil"/>
              <w:bottom w:val="nil"/>
              <w:right w:val="nil"/>
            </w:tcBorders>
            <w:noWrap/>
            <w:vAlign w:val="bottom"/>
            <w:hideMark/>
          </w:tcPr>
          <w:p w14:paraId="3A1711F5" w14:textId="77777777" w:rsidR="008F221C" w:rsidRPr="008F221C" w:rsidRDefault="008F221C" w:rsidP="008F221C">
            <w:pPr>
              <w:spacing w:after="0" w:line="240" w:lineRule="auto"/>
              <w:jc w:val="center"/>
              <w:rPr>
                <w:rFonts w:ascii="Times New Roman" w:eastAsia="Times New Roman" w:hAnsi="Times New Roman" w:cs="Times New Roman"/>
                <w:kern w:val="0"/>
                <w:sz w:val="18"/>
                <w:szCs w:val="18"/>
                <w:lang w:eastAsia="es-PE"/>
                <w14:ligatures w14:val="none"/>
              </w:rPr>
            </w:pPr>
          </w:p>
        </w:tc>
        <w:tc>
          <w:tcPr>
            <w:tcW w:w="469" w:type="dxa"/>
            <w:tcBorders>
              <w:top w:val="nil"/>
              <w:left w:val="nil"/>
              <w:bottom w:val="nil"/>
              <w:right w:val="nil"/>
            </w:tcBorders>
            <w:noWrap/>
            <w:vAlign w:val="bottom"/>
            <w:hideMark/>
          </w:tcPr>
          <w:p w14:paraId="2218B993" w14:textId="77777777" w:rsidR="008F221C" w:rsidRPr="008F221C" w:rsidRDefault="008F221C" w:rsidP="008F221C">
            <w:pPr>
              <w:spacing w:after="0" w:line="240" w:lineRule="auto"/>
              <w:jc w:val="center"/>
              <w:rPr>
                <w:rFonts w:ascii="Times New Roman" w:eastAsia="Times New Roman" w:hAnsi="Times New Roman" w:cs="Times New Roman"/>
                <w:kern w:val="0"/>
                <w:sz w:val="18"/>
                <w:szCs w:val="18"/>
                <w:lang w:eastAsia="es-PE"/>
                <w14:ligatures w14:val="none"/>
              </w:rPr>
            </w:pPr>
          </w:p>
        </w:tc>
        <w:tc>
          <w:tcPr>
            <w:tcW w:w="4831" w:type="dxa"/>
            <w:tcBorders>
              <w:top w:val="nil"/>
              <w:left w:val="nil"/>
              <w:bottom w:val="nil"/>
              <w:right w:val="nil"/>
            </w:tcBorders>
            <w:noWrap/>
            <w:vAlign w:val="bottom"/>
            <w:hideMark/>
          </w:tcPr>
          <w:p w14:paraId="29940084" w14:textId="77777777" w:rsidR="008F221C" w:rsidRPr="008F221C" w:rsidRDefault="008F221C" w:rsidP="008F221C">
            <w:pPr>
              <w:spacing w:after="0" w:line="240" w:lineRule="auto"/>
              <w:jc w:val="center"/>
              <w:rPr>
                <w:rFonts w:ascii="Times New Roman" w:eastAsia="Times New Roman" w:hAnsi="Times New Roman" w:cs="Times New Roman"/>
                <w:kern w:val="0"/>
                <w:sz w:val="18"/>
                <w:szCs w:val="18"/>
                <w:lang w:eastAsia="es-PE"/>
                <w14:ligatures w14:val="none"/>
              </w:rPr>
            </w:pPr>
          </w:p>
        </w:tc>
      </w:tr>
      <w:tr w:rsidR="008F221C" w:rsidRPr="008F221C" w14:paraId="74164988" w14:textId="77777777" w:rsidTr="009432D4">
        <w:trPr>
          <w:trHeight w:val="357"/>
        </w:trPr>
        <w:tc>
          <w:tcPr>
            <w:tcW w:w="3086" w:type="dxa"/>
            <w:gridSpan w:val="3"/>
            <w:tcBorders>
              <w:top w:val="single" w:sz="4" w:space="0" w:color="auto"/>
              <w:left w:val="single" w:sz="4" w:space="0" w:color="auto"/>
              <w:bottom w:val="nil"/>
              <w:right w:val="nil"/>
            </w:tcBorders>
            <w:noWrap/>
            <w:vAlign w:val="center"/>
            <w:hideMark/>
          </w:tcPr>
          <w:p w14:paraId="3203D543"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Disposiciones Generales:</w:t>
            </w:r>
          </w:p>
        </w:tc>
        <w:tc>
          <w:tcPr>
            <w:tcW w:w="469" w:type="dxa"/>
            <w:tcBorders>
              <w:top w:val="single" w:sz="4" w:space="0" w:color="auto"/>
              <w:left w:val="nil"/>
              <w:bottom w:val="nil"/>
              <w:right w:val="nil"/>
            </w:tcBorders>
            <w:noWrap/>
            <w:vAlign w:val="center"/>
            <w:hideMark/>
          </w:tcPr>
          <w:p w14:paraId="58194002"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 </w:t>
            </w:r>
          </w:p>
        </w:tc>
        <w:tc>
          <w:tcPr>
            <w:tcW w:w="4831" w:type="dxa"/>
            <w:tcBorders>
              <w:top w:val="single" w:sz="4" w:space="0" w:color="auto"/>
              <w:left w:val="nil"/>
              <w:bottom w:val="nil"/>
              <w:right w:val="single" w:sz="4" w:space="0" w:color="auto"/>
            </w:tcBorders>
            <w:noWrap/>
            <w:vAlign w:val="center"/>
            <w:hideMark/>
          </w:tcPr>
          <w:p w14:paraId="5BB9704E"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 </w:t>
            </w:r>
          </w:p>
        </w:tc>
      </w:tr>
      <w:tr w:rsidR="008F221C" w:rsidRPr="008F221C" w14:paraId="2B459FEB" w14:textId="77777777" w:rsidTr="009432D4">
        <w:trPr>
          <w:trHeight w:val="595"/>
        </w:trPr>
        <w:tc>
          <w:tcPr>
            <w:tcW w:w="436" w:type="dxa"/>
            <w:tcBorders>
              <w:top w:val="nil"/>
              <w:left w:val="single" w:sz="4" w:space="0" w:color="auto"/>
              <w:bottom w:val="nil"/>
              <w:right w:val="nil"/>
            </w:tcBorders>
            <w:noWrap/>
            <w:hideMark/>
          </w:tcPr>
          <w:p w14:paraId="160FE783"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1)</w:t>
            </w:r>
          </w:p>
        </w:tc>
        <w:tc>
          <w:tcPr>
            <w:tcW w:w="7950" w:type="dxa"/>
            <w:gridSpan w:val="4"/>
            <w:tcBorders>
              <w:top w:val="nil"/>
              <w:left w:val="nil"/>
              <w:bottom w:val="nil"/>
              <w:right w:val="single" w:sz="4" w:space="0" w:color="000000"/>
            </w:tcBorders>
            <w:hideMark/>
          </w:tcPr>
          <w:p w14:paraId="7B313EDD"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Información financiera:</w:t>
            </w:r>
            <w:r w:rsidRPr="008F221C">
              <w:rPr>
                <w:rFonts w:ascii="Arial Narrow" w:eastAsia="Times New Roman" w:hAnsi="Arial Narrow" w:cs="Arial"/>
                <w:kern w:val="0"/>
                <w:sz w:val="18"/>
                <w:szCs w:val="18"/>
                <w:lang w:eastAsia="es-PE"/>
                <w14:ligatures w14:val="none"/>
              </w:rPr>
              <w:t xml:space="preserve"> Corresponde, para el presente reporte, a la información basada en estados financieros (EEFF) auditados, no auditados y Declaraciones Juradas de Renta Anual de SUNAT.</w:t>
            </w:r>
          </w:p>
        </w:tc>
      </w:tr>
      <w:tr w:rsidR="008F221C" w:rsidRPr="008F221C" w14:paraId="71C332A5" w14:textId="77777777" w:rsidTr="009432D4">
        <w:trPr>
          <w:trHeight w:val="595"/>
        </w:trPr>
        <w:tc>
          <w:tcPr>
            <w:tcW w:w="436" w:type="dxa"/>
            <w:tcBorders>
              <w:top w:val="nil"/>
              <w:left w:val="single" w:sz="4" w:space="0" w:color="auto"/>
              <w:bottom w:val="nil"/>
              <w:right w:val="nil"/>
            </w:tcBorders>
            <w:noWrap/>
          </w:tcPr>
          <w:p w14:paraId="2914C91F"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2)</w:t>
            </w:r>
          </w:p>
        </w:tc>
        <w:tc>
          <w:tcPr>
            <w:tcW w:w="7950" w:type="dxa"/>
            <w:gridSpan w:val="4"/>
            <w:tcBorders>
              <w:top w:val="nil"/>
              <w:left w:val="nil"/>
              <w:bottom w:val="nil"/>
              <w:right w:val="single" w:sz="4" w:space="0" w:color="000000"/>
            </w:tcBorders>
          </w:tcPr>
          <w:p w14:paraId="1D74806F"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Actualización de los Estados Financieros:</w:t>
            </w:r>
            <w:r w:rsidRPr="008F221C">
              <w:rPr>
                <w:rFonts w:ascii="Arial Narrow" w:eastAsia="Times New Roman" w:hAnsi="Arial Narrow" w:cs="Arial"/>
                <w:kern w:val="0"/>
                <w:sz w:val="18"/>
                <w:szCs w:val="18"/>
                <w:lang w:eastAsia="es-PE"/>
                <w14:ligatures w14:val="none"/>
              </w:rPr>
              <w:t xml:space="preserve"> La periodicidad de actualización de los Estados Financieros en clientes no minoristas se establece en el acápite I del Anexo 2 “Documentación Mínima que debe contener el expediente de deudores” de la Circular SBS </w:t>
            </w:r>
            <w:proofErr w:type="spellStart"/>
            <w:r w:rsidRPr="008F221C">
              <w:rPr>
                <w:rFonts w:ascii="Arial Narrow" w:eastAsia="Times New Roman" w:hAnsi="Arial Narrow" w:cs="Arial"/>
                <w:kern w:val="0"/>
                <w:sz w:val="18"/>
                <w:szCs w:val="18"/>
                <w:lang w:eastAsia="es-PE"/>
                <w14:ligatures w14:val="none"/>
              </w:rPr>
              <w:t>N°</w:t>
            </w:r>
            <w:proofErr w:type="spellEnd"/>
            <w:r w:rsidRPr="008F221C">
              <w:rPr>
                <w:rFonts w:ascii="Arial Narrow" w:eastAsia="Times New Roman" w:hAnsi="Arial Narrow" w:cs="Arial"/>
                <w:kern w:val="0"/>
                <w:sz w:val="18"/>
                <w:szCs w:val="18"/>
                <w:lang w:eastAsia="es-PE"/>
                <w14:ligatures w14:val="none"/>
              </w:rPr>
              <w:t xml:space="preserve"> B-2184-2010.</w:t>
            </w:r>
          </w:p>
          <w:p w14:paraId="196FD175"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p>
        </w:tc>
      </w:tr>
      <w:tr w:rsidR="008F221C" w:rsidRPr="008F221C" w14:paraId="346464FC" w14:textId="77777777" w:rsidTr="009432D4">
        <w:trPr>
          <w:trHeight w:val="1120"/>
        </w:trPr>
        <w:tc>
          <w:tcPr>
            <w:tcW w:w="436" w:type="dxa"/>
            <w:tcBorders>
              <w:top w:val="nil"/>
              <w:left w:val="single" w:sz="4" w:space="0" w:color="auto"/>
              <w:bottom w:val="nil"/>
              <w:right w:val="nil"/>
            </w:tcBorders>
            <w:noWrap/>
            <w:hideMark/>
          </w:tcPr>
          <w:p w14:paraId="687AC62C"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3)</w:t>
            </w:r>
          </w:p>
        </w:tc>
        <w:tc>
          <w:tcPr>
            <w:tcW w:w="7950" w:type="dxa"/>
            <w:gridSpan w:val="4"/>
            <w:tcBorders>
              <w:top w:val="nil"/>
              <w:left w:val="nil"/>
              <w:bottom w:val="nil"/>
              <w:right w:val="single" w:sz="4" w:space="0" w:color="000000"/>
            </w:tcBorders>
            <w:hideMark/>
          </w:tcPr>
          <w:p w14:paraId="491164EB"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proofErr w:type="gramStart"/>
            <w:r w:rsidRPr="008F221C">
              <w:rPr>
                <w:rFonts w:ascii="Arial Narrow" w:eastAsia="Times New Roman" w:hAnsi="Arial Narrow" w:cs="Arial"/>
                <w:b/>
                <w:bCs/>
                <w:i/>
                <w:iCs/>
                <w:kern w:val="0"/>
                <w:sz w:val="18"/>
                <w:szCs w:val="18"/>
                <w:lang w:eastAsia="es-PE"/>
                <w14:ligatures w14:val="none"/>
              </w:rPr>
              <w:t>Información a reportar</w:t>
            </w:r>
            <w:proofErr w:type="gramEnd"/>
            <w:r w:rsidRPr="008F221C">
              <w:rPr>
                <w:rFonts w:ascii="Arial Narrow" w:eastAsia="Times New Roman" w:hAnsi="Arial Narrow" w:cs="Arial"/>
                <w:b/>
                <w:bCs/>
                <w:i/>
                <w:iCs/>
                <w:kern w:val="0"/>
                <w:sz w:val="18"/>
                <w:szCs w:val="18"/>
                <w:lang w:eastAsia="es-PE"/>
                <w14:ligatures w14:val="none"/>
              </w:rPr>
              <w:t>:</w:t>
            </w:r>
            <w:r w:rsidRPr="008F221C">
              <w:rPr>
                <w:rFonts w:ascii="Arial Narrow" w:eastAsia="Times New Roman" w:hAnsi="Arial Narrow" w:cs="Arial"/>
                <w:kern w:val="0"/>
                <w:sz w:val="18"/>
                <w:szCs w:val="18"/>
                <w:lang w:eastAsia="es-PE"/>
                <w14:ligatures w14:val="none"/>
              </w:rPr>
              <w:t xml:space="preserve"> </w:t>
            </w:r>
            <w:r w:rsidRPr="008F221C">
              <w:rPr>
                <w:rFonts w:ascii="Arial Narrow" w:eastAsia="Times New Roman" w:hAnsi="Arial Narrow" w:cs="Arial"/>
                <w:kern w:val="0"/>
                <w:sz w:val="18"/>
                <w:szCs w:val="18"/>
                <w:lang w:val="es-ES" w:eastAsia="es-PE"/>
                <w14:ligatures w14:val="none"/>
              </w:rPr>
              <w:t>Toda información financiera disponible de cada deudor hasta la fecha de corte (marzo, junio, septiembre y diciembre) que no haya sido reportada previamente a la SBS, lo cual incluye cada fuente de información (Auditado, No auditado y SUNAT) para cada deudor. En caso no se disponga de información nueva para alguna fuente, se deberá reportar la última información financiera disponible de dicha fuente. Solo en caso de que no disponga de información alguna de una determinada fuente, estará exento de reportar información de dicha fuente para dicho deudor.</w:t>
            </w:r>
          </w:p>
          <w:p w14:paraId="3B596A88"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 xml:space="preserve">  </w:t>
            </w:r>
          </w:p>
          <w:p w14:paraId="7058B11B"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Bajo lo expuesto, en caso el deudor contara con información (reportada previamente o nueva) de las 3 fuentes de información descritas, se esperaría que se reporten 3 registros para dicho deudor.</w:t>
            </w:r>
          </w:p>
          <w:p w14:paraId="158F4083"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p>
          <w:p w14:paraId="33AAA40D" w14:textId="77777777" w:rsidR="008F221C" w:rsidRPr="008F221C" w:rsidRDefault="008F221C" w:rsidP="008F221C">
            <w:pPr>
              <w:spacing w:after="0" w:line="240" w:lineRule="auto"/>
              <w:jc w:val="both"/>
              <w:rPr>
                <w:rFonts w:ascii="Arial Narrow" w:eastAsia="Times New Roman" w:hAnsi="Arial Narrow" w:cs="Arial"/>
                <w:b/>
                <w:bCs/>
                <w:i/>
                <w:iCs/>
                <w:kern w:val="0"/>
                <w:sz w:val="18"/>
                <w:szCs w:val="18"/>
                <w:lang w:eastAsia="es-PE"/>
                <w14:ligatures w14:val="none"/>
              </w:rPr>
            </w:pPr>
          </w:p>
        </w:tc>
      </w:tr>
      <w:tr w:rsidR="008F221C" w:rsidRPr="008F221C" w14:paraId="76A485CB" w14:textId="77777777" w:rsidTr="009432D4">
        <w:trPr>
          <w:trHeight w:val="465"/>
        </w:trPr>
        <w:tc>
          <w:tcPr>
            <w:tcW w:w="436" w:type="dxa"/>
            <w:tcBorders>
              <w:top w:val="nil"/>
              <w:left w:val="single" w:sz="4" w:space="0" w:color="auto"/>
              <w:bottom w:val="nil"/>
              <w:right w:val="nil"/>
            </w:tcBorders>
            <w:noWrap/>
            <w:hideMark/>
          </w:tcPr>
          <w:p w14:paraId="0A82DE5C"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4)</w:t>
            </w:r>
          </w:p>
        </w:tc>
        <w:tc>
          <w:tcPr>
            <w:tcW w:w="7950" w:type="dxa"/>
            <w:gridSpan w:val="4"/>
            <w:tcBorders>
              <w:top w:val="nil"/>
              <w:left w:val="nil"/>
              <w:bottom w:val="nil"/>
              <w:right w:val="single" w:sz="4" w:space="0" w:color="000000"/>
            </w:tcBorders>
            <w:hideMark/>
          </w:tcPr>
          <w:p w14:paraId="5999157C"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b/>
                <w:bCs/>
                <w:i/>
                <w:iCs/>
                <w:kern w:val="0"/>
                <w:sz w:val="18"/>
                <w:szCs w:val="18"/>
                <w:lang w:eastAsia="es-PE"/>
                <w14:ligatures w14:val="none"/>
              </w:rPr>
              <w:t xml:space="preserve">Plazo de entrega de la información: </w:t>
            </w:r>
            <w:r w:rsidRPr="008F221C">
              <w:rPr>
                <w:rFonts w:ascii="Arial Narrow" w:eastAsia="Times New Roman" w:hAnsi="Arial Narrow" w:cs="Arial"/>
                <w:kern w:val="0"/>
                <w:sz w:val="18"/>
                <w:szCs w:val="18"/>
                <w:lang w:eastAsia="es-PE"/>
                <w14:ligatures w14:val="none"/>
              </w:rPr>
              <w:t>Las entregas se realizarán hasta 45 días calendarios desde las fechas de corte (último día de marzo, junio, septiembre y diciembre).</w:t>
            </w:r>
          </w:p>
          <w:p w14:paraId="60DA1A60"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p>
          <w:p w14:paraId="2A32B708" w14:textId="77777777" w:rsidR="008F221C" w:rsidRPr="008F221C" w:rsidRDefault="008F221C" w:rsidP="008F221C">
            <w:pPr>
              <w:spacing w:after="0" w:line="240" w:lineRule="auto"/>
              <w:jc w:val="both"/>
              <w:rPr>
                <w:rFonts w:ascii="Arial Narrow" w:eastAsia="Times New Roman" w:hAnsi="Arial Narrow" w:cs="Arial"/>
                <w:b/>
                <w:bCs/>
                <w:i/>
                <w:iCs/>
                <w:kern w:val="0"/>
                <w:sz w:val="18"/>
                <w:szCs w:val="18"/>
                <w:lang w:eastAsia="es-PE"/>
                <w14:ligatures w14:val="none"/>
              </w:rPr>
            </w:pPr>
          </w:p>
        </w:tc>
      </w:tr>
      <w:tr w:rsidR="008F221C" w:rsidRPr="008F221C" w14:paraId="6FCD1942" w14:textId="77777777" w:rsidTr="009432D4">
        <w:trPr>
          <w:trHeight w:val="930"/>
        </w:trPr>
        <w:tc>
          <w:tcPr>
            <w:tcW w:w="436" w:type="dxa"/>
            <w:tcBorders>
              <w:top w:val="nil"/>
              <w:left w:val="single" w:sz="4" w:space="0" w:color="auto"/>
              <w:bottom w:val="nil"/>
              <w:right w:val="nil"/>
            </w:tcBorders>
            <w:noWrap/>
            <w:hideMark/>
          </w:tcPr>
          <w:p w14:paraId="20ADBF6C"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5)</w:t>
            </w:r>
          </w:p>
        </w:tc>
        <w:tc>
          <w:tcPr>
            <w:tcW w:w="7950" w:type="dxa"/>
            <w:gridSpan w:val="4"/>
            <w:tcBorders>
              <w:top w:val="nil"/>
              <w:left w:val="nil"/>
              <w:bottom w:val="nil"/>
              <w:right w:val="single" w:sz="4" w:space="0" w:color="000000"/>
            </w:tcBorders>
            <w:hideMark/>
          </w:tcPr>
          <w:p w14:paraId="449563AE"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b/>
                <w:bCs/>
                <w:i/>
                <w:iCs/>
                <w:kern w:val="0"/>
                <w:sz w:val="18"/>
                <w:szCs w:val="18"/>
                <w:lang w:eastAsia="es-PE"/>
                <w14:ligatures w14:val="none"/>
              </w:rPr>
              <w:t>Deudores no minoristas:</w:t>
            </w:r>
            <w:r w:rsidRPr="008F221C">
              <w:rPr>
                <w:rFonts w:ascii="Arial Narrow" w:eastAsia="Times New Roman" w:hAnsi="Arial Narrow" w:cs="Arial"/>
                <w:kern w:val="0"/>
                <w:sz w:val="18"/>
                <w:szCs w:val="18"/>
                <w:lang w:eastAsia="es-PE"/>
                <w14:ligatures w14:val="none"/>
              </w:rPr>
              <w:t xml:space="preserve"> Para la identificación de los deudores, se debe tener en consideración la definición de deudor no minorista establecida en el artículo 2° del Reglamento para la Evaluación y Clasificación del Deudor y la Exigencia de Provisiones, aprobado mediante la Resolución SBS </w:t>
            </w:r>
            <w:proofErr w:type="spellStart"/>
            <w:r w:rsidRPr="008F221C">
              <w:rPr>
                <w:rFonts w:ascii="Arial Narrow" w:eastAsia="Times New Roman" w:hAnsi="Arial Narrow" w:cs="Arial"/>
                <w:kern w:val="0"/>
                <w:sz w:val="18"/>
                <w:szCs w:val="18"/>
                <w:lang w:eastAsia="es-PE"/>
                <w14:ligatures w14:val="none"/>
              </w:rPr>
              <w:t>N°</w:t>
            </w:r>
            <w:proofErr w:type="spellEnd"/>
            <w:r w:rsidRPr="008F221C">
              <w:rPr>
                <w:rFonts w:ascii="Arial Narrow" w:eastAsia="Times New Roman" w:hAnsi="Arial Narrow" w:cs="Arial"/>
                <w:kern w:val="0"/>
                <w:sz w:val="18"/>
                <w:szCs w:val="18"/>
                <w:lang w:eastAsia="es-PE"/>
                <w14:ligatures w14:val="none"/>
              </w:rPr>
              <w:t xml:space="preserve"> 11356-2008 y sus normas modificatorias, donde se consideran a las </w:t>
            </w:r>
            <w:proofErr w:type="gramStart"/>
            <w:r w:rsidRPr="008F221C">
              <w:rPr>
                <w:rFonts w:ascii="Arial Narrow" w:eastAsia="Times New Roman" w:hAnsi="Arial Narrow" w:cs="Arial"/>
                <w:kern w:val="0"/>
                <w:sz w:val="18"/>
                <w:szCs w:val="18"/>
                <w:lang w:eastAsia="es-PE"/>
                <w14:ligatures w14:val="none"/>
              </w:rPr>
              <w:t>personas jurídicas o entes jurídicos</w:t>
            </w:r>
            <w:proofErr w:type="gramEnd"/>
            <w:r w:rsidRPr="008F221C">
              <w:rPr>
                <w:rFonts w:ascii="Arial Narrow" w:eastAsia="Times New Roman" w:hAnsi="Arial Narrow" w:cs="Arial"/>
                <w:kern w:val="0"/>
                <w:sz w:val="18"/>
                <w:szCs w:val="18"/>
                <w:lang w:eastAsia="es-PE"/>
                <w14:ligatures w14:val="none"/>
              </w:rPr>
              <w:t xml:space="preserve"> con créditos directos o indirectos corporativos, a grandes empresas o a medianas empresas.</w:t>
            </w:r>
          </w:p>
          <w:p w14:paraId="321DF50F"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p>
          <w:p w14:paraId="424F1B0A" w14:textId="77777777" w:rsidR="008F221C" w:rsidRPr="008F221C" w:rsidRDefault="008F221C" w:rsidP="008F221C">
            <w:pPr>
              <w:spacing w:after="0" w:line="240" w:lineRule="auto"/>
              <w:jc w:val="both"/>
              <w:rPr>
                <w:rFonts w:ascii="Arial Narrow" w:eastAsia="Times New Roman" w:hAnsi="Arial Narrow" w:cs="Arial"/>
                <w:b/>
                <w:bCs/>
                <w:i/>
                <w:iCs/>
                <w:kern w:val="0"/>
                <w:sz w:val="18"/>
                <w:szCs w:val="18"/>
                <w:lang w:eastAsia="es-PE"/>
                <w14:ligatures w14:val="none"/>
              </w:rPr>
            </w:pPr>
          </w:p>
        </w:tc>
      </w:tr>
      <w:tr w:rsidR="008F221C" w:rsidRPr="008F221C" w14:paraId="3707D4AC" w14:textId="77777777" w:rsidTr="009432D4">
        <w:trPr>
          <w:trHeight w:val="1168"/>
        </w:trPr>
        <w:tc>
          <w:tcPr>
            <w:tcW w:w="436" w:type="dxa"/>
            <w:tcBorders>
              <w:top w:val="nil"/>
              <w:left w:val="single" w:sz="4" w:space="0" w:color="auto"/>
              <w:bottom w:val="nil"/>
              <w:right w:val="nil"/>
            </w:tcBorders>
            <w:noWrap/>
            <w:hideMark/>
          </w:tcPr>
          <w:p w14:paraId="2A4EF5E2"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6)</w:t>
            </w:r>
          </w:p>
        </w:tc>
        <w:tc>
          <w:tcPr>
            <w:tcW w:w="7950" w:type="dxa"/>
            <w:gridSpan w:val="4"/>
            <w:tcBorders>
              <w:top w:val="nil"/>
              <w:left w:val="nil"/>
              <w:bottom w:val="nil"/>
              <w:right w:val="single" w:sz="4" w:space="0" w:color="000000"/>
            </w:tcBorders>
            <w:hideMark/>
          </w:tcPr>
          <w:p w14:paraId="323BB126"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proofErr w:type="gramStart"/>
            <w:r w:rsidRPr="008F221C">
              <w:rPr>
                <w:rFonts w:ascii="Arial Narrow" w:eastAsia="Times New Roman" w:hAnsi="Arial Narrow" w:cs="Arial"/>
                <w:b/>
                <w:bCs/>
                <w:i/>
                <w:iCs/>
                <w:kern w:val="0"/>
                <w:sz w:val="18"/>
                <w:szCs w:val="18"/>
                <w:lang w:eastAsia="es-PE"/>
                <w14:ligatures w14:val="none"/>
              </w:rPr>
              <w:t>Deudores a reportar</w:t>
            </w:r>
            <w:proofErr w:type="gramEnd"/>
            <w:r w:rsidRPr="008F221C">
              <w:rPr>
                <w:rFonts w:ascii="Arial Narrow" w:eastAsia="Times New Roman" w:hAnsi="Arial Narrow" w:cs="Arial"/>
                <w:b/>
                <w:bCs/>
                <w:i/>
                <w:iCs/>
                <w:kern w:val="0"/>
                <w:sz w:val="18"/>
                <w:szCs w:val="18"/>
                <w:lang w:eastAsia="es-PE"/>
                <w14:ligatures w14:val="none"/>
              </w:rPr>
              <w:t xml:space="preserve">: </w:t>
            </w:r>
            <w:r w:rsidRPr="008F221C">
              <w:rPr>
                <w:rFonts w:ascii="Arial Narrow" w:eastAsia="Times New Roman" w:hAnsi="Arial Narrow" w:cs="Arial"/>
                <w:kern w:val="0"/>
                <w:sz w:val="18"/>
                <w:szCs w:val="18"/>
                <w:lang w:eastAsia="es-PE"/>
                <w14:ligatures w14:val="none"/>
              </w:rPr>
              <w:t>Se deberá reportar información para los deudores no minoristas que cuenten con una deuda mayor a S/.0 en la entidad supervisada a la fecha de corte. No incluir a los Gobiernos Centrales, Bancos Centrales, empresas de los sistemas financiero, seguros y privado de pensiones, así como las Derramas, Cajas de Beneficios, Banco de la Nación, Banco Agropecuario (AGROBANCO), Fondo MIVIVIENDA S.A. y Corporación Financiera de Desarrollo (COFIDE).</w:t>
            </w:r>
          </w:p>
        </w:tc>
      </w:tr>
      <w:tr w:rsidR="008F221C" w:rsidRPr="008F221C" w14:paraId="27C7C414" w14:textId="77777777" w:rsidTr="009432D4">
        <w:trPr>
          <w:trHeight w:val="785"/>
        </w:trPr>
        <w:tc>
          <w:tcPr>
            <w:tcW w:w="436" w:type="dxa"/>
            <w:tcBorders>
              <w:top w:val="nil"/>
              <w:left w:val="single" w:sz="4" w:space="0" w:color="auto"/>
              <w:bottom w:val="nil"/>
              <w:right w:val="nil"/>
            </w:tcBorders>
            <w:noWrap/>
            <w:hideMark/>
          </w:tcPr>
          <w:p w14:paraId="4276AA78"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7)</w:t>
            </w:r>
          </w:p>
        </w:tc>
        <w:tc>
          <w:tcPr>
            <w:tcW w:w="7950" w:type="dxa"/>
            <w:gridSpan w:val="4"/>
            <w:tcBorders>
              <w:top w:val="nil"/>
              <w:left w:val="nil"/>
              <w:bottom w:val="nil"/>
              <w:right w:val="single" w:sz="4" w:space="0" w:color="000000"/>
            </w:tcBorders>
            <w:hideMark/>
          </w:tcPr>
          <w:p w14:paraId="5D768B38"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b/>
                <w:bCs/>
                <w:i/>
                <w:iCs/>
                <w:kern w:val="0"/>
                <w:sz w:val="18"/>
                <w:szCs w:val="18"/>
                <w:lang w:eastAsia="es-PE"/>
                <w14:ligatures w14:val="none"/>
              </w:rPr>
              <w:t>Deuda:</w:t>
            </w:r>
            <w:r w:rsidRPr="008F221C">
              <w:rPr>
                <w:rFonts w:ascii="Arial Narrow" w:eastAsia="Times New Roman" w:hAnsi="Arial Narrow" w:cs="Arial"/>
                <w:kern w:val="0"/>
                <w:sz w:val="18"/>
                <w:szCs w:val="18"/>
                <w:lang w:eastAsia="es-PE"/>
                <w14:ligatures w14:val="none"/>
              </w:rPr>
              <w:t xml:space="preserve"> Suma de créditos directos e indirectos, de acuerdo con las definiciones del artículo 2° del Capítulo I del nuevo Reglamento para la Evaluación y Clasificación del Deudor y la Exigencia de Provisiones, aprobado mediante la Resolución SBS </w:t>
            </w:r>
            <w:proofErr w:type="spellStart"/>
            <w:r w:rsidRPr="008F221C">
              <w:rPr>
                <w:rFonts w:ascii="Arial Narrow" w:eastAsia="Times New Roman" w:hAnsi="Arial Narrow" w:cs="Arial"/>
                <w:kern w:val="0"/>
                <w:sz w:val="18"/>
                <w:szCs w:val="18"/>
                <w:lang w:eastAsia="es-PE"/>
                <w14:ligatures w14:val="none"/>
              </w:rPr>
              <w:t>N°</w:t>
            </w:r>
            <w:proofErr w:type="spellEnd"/>
            <w:r w:rsidRPr="008F221C">
              <w:rPr>
                <w:rFonts w:ascii="Arial Narrow" w:eastAsia="Times New Roman" w:hAnsi="Arial Narrow" w:cs="Arial"/>
                <w:kern w:val="0"/>
                <w:sz w:val="18"/>
                <w:szCs w:val="18"/>
                <w:lang w:eastAsia="es-PE"/>
                <w14:ligatures w14:val="none"/>
              </w:rPr>
              <w:t xml:space="preserve"> 11356-2008 y sus normas modificatorias.</w:t>
            </w:r>
          </w:p>
        </w:tc>
      </w:tr>
      <w:tr w:rsidR="008F221C" w:rsidRPr="008F221C" w14:paraId="7A0A782B" w14:textId="77777777" w:rsidTr="009432D4">
        <w:trPr>
          <w:trHeight w:val="990"/>
        </w:trPr>
        <w:tc>
          <w:tcPr>
            <w:tcW w:w="436" w:type="dxa"/>
            <w:tcBorders>
              <w:top w:val="nil"/>
              <w:left w:val="single" w:sz="4" w:space="0" w:color="auto"/>
              <w:bottom w:val="nil"/>
              <w:right w:val="nil"/>
            </w:tcBorders>
            <w:noWrap/>
            <w:hideMark/>
          </w:tcPr>
          <w:p w14:paraId="35B9F9D9"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8)</w:t>
            </w:r>
          </w:p>
        </w:tc>
        <w:tc>
          <w:tcPr>
            <w:tcW w:w="7950" w:type="dxa"/>
            <w:gridSpan w:val="4"/>
            <w:tcBorders>
              <w:top w:val="nil"/>
              <w:left w:val="nil"/>
              <w:bottom w:val="nil"/>
              <w:right w:val="single" w:sz="4" w:space="0" w:color="000000"/>
            </w:tcBorders>
            <w:hideMark/>
          </w:tcPr>
          <w:p w14:paraId="3AB2D7B8" w14:textId="77777777" w:rsidR="008F221C" w:rsidRPr="008F221C" w:rsidRDefault="008F221C" w:rsidP="008F221C">
            <w:pPr>
              <w:spacing w:after="0" w:line="240" w:lineRule="auto"/>
              <w:jc w:val="both"/>
              <w:rPr>
                <w:rFonts w:ascii="Arial Narrow" w:eastAsia="Times New Roman" w:hAnsi="Arial Narrow" w:cs="Arial"/>
                <w:b/>
                <w:bCs/>
                <w:i/>
                <w:iCs/>
                <w:kern w:val="0"/>
                <w:sz w:val="18"/>
                <w:szCs w:val="18"/>
                <w:lang w:eastAsia="es-PE"/>
                <w14:ligatures w14:val="none"/>
              </w:rPr>
            </w:pPr>
            <w:r w:rsidRPr="008F221C">
              <w:rPr>
                <w:rFonts w:ascii="Arial Narrow" w:eastAsia="Times New Roman" w:hAnsi="Arial Narrow" w:cs="Arial"/>
                <w:b/>
                <w:bCs/>
                <w:i/>
                <w:iCs/>
                <w:kern w:val="0"/>
                <w:sz w:val="18"/>
                <w:szCs w:val="18"/>
                <w:lang w:eastAsia="es-PE"/>
                <w14:ligatures w14:val="none"/>
              </w:rPr>
              <w:t xml:space="preserve">Granularidad de la información: </w:t>
            </w:r>
            <w:r w:rsidRPr="008F221C">
              <w:rPr>
                <w:rFonts w:ascii="Arial Narrow" w:eastAsia="Times New Roman" w:hAnsi="Arial Narrow" w:cs="Arial"/>
                <w:kern w:val="0"/>
                <w:sz w:val="18"/>
                <w:szCs w:val="18"/>
                <w:lang w:eastAsia="es-PE"/>
                <w14:ligatures w14:val="none"/>
              </w:rPr>
              <w:t>Se debe remitir un único registro (fila) de información para la combinación de la información de identificación del deudor, mes al que corresponde la información financiera reportada y la fuente de información, representado a través de los campos: ‘Razón Social’, ‘Mes’ y ‘Fuente de información’, respectivamente.</w:t>
            </w:r>
          </w:p>
        </w:tc>
      </w:tr>
      <w:tr w:rsidR="008F221C" w:rsidRPr="008F221C" w14:paraId="2394B67B" w14:textId="77777777" w:rsidTr="009432D4">
        <w:trPr>
          <w:trHeight w:val="833"/>
        </w:trPr>
        <w:tc>
          <w:tcPr>
            <w:tcW w:w="436" w:type="dxa"/>
            <w:tcBorders>
              <w:top w:val="nil"/>
              <w:left w:val="single" w:sz="4" w:space="0" w:color="auto"/>
              <w:bottom w:val="nil"/>
              <w:right w:val="nil"/>
            </w:tcBorders>
            <w:noWrap/>
            <w:hideMark/>
          </w:tcPr>
          <w:p w14:paraId="7EB11103"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9)</w:t>
            </w:r>
          </w:p>
        </w:tc>
        <w:tc>
          <w:tcPr>
            <w:tcW w:w="7950" w:type="dxa"/>
            <w:gridSpan w:val="4"/>
            <w:tcBorders>
              <w:top w:val="nil"/>
              <w:left w:val="nil"/>
              <w:bottom w:val="nil"/>
              <w:right w:val="single" w:sz="4" w:space="0" w:color="000000"/>
            </w:tcBorders>
            <w:hideMark/>
          </w:tcPr>
          <w:p w14:paraId="69E6A8FB"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b/>
                <w:bCs/>
                <w:i/>
                <w:iCs/>
                <w:kern w:val="0"/>
                <w:sz w:val="18"/>
                <w:szCs w:val="18"/>
                <w:lang w:eastAsia="es-PE"/>
                <w14:ligatures w14:val="none"/>
              </w:rPr>
              <w:t>Reporte de rubros</w:t>
            </w:r>
            <w:r w:rsidRPr="008F221C">
              <w:rPr>
                <w:rFonts w:ascii="Arial Narrow" w:eastAsia="Times New Roman" w:hAnsi="Arial Narrow" w:cs="Arial"/>
                <w:kern w:val="0"/>
                <w:sz w:val="18"/>
                <w:szCs w:val="18"/>
                <w:lang w:eastAsia="es-PE"/>
                <w14:ligatures w14:val="none"/>
              </w:rPr>
              <w:t>: De acuerdo con la normativa vigente, la entidad deberá reportar todos los rubros en el Reporte N°28. La única excepción se presenta cuando la información financiera de un cliente impide el llenado de algún rubro de saldos debido a que la fuente de información no cuenta con el detalle, en cuyo caso estará exento el llenado de dichos rubros para dicho cliente.</w:t>
            </w:r>
          </w:p>
          <w:p w14:paraId="50ED9FFE"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p>
          <w:p w14:paraId="471FA1F3" w14:textId="77777777" w:rsidR="008F221C" w:rsidRPr="008F221C" w:rsidRDefault="008F221C" w:rsidP="008F221C">
            <w:pPr>
              <w:spacing w:after="0" w:line="240" w:lineRule="auto"/>
              <w:jc w:val="both"/>
              <w:rPr>
                <w:rFonts w:ascii="Arial Narrow" w:eastAsia="Times New Roman" w:hAnsi="Arial Narrow" w:cs="Arial"/>
                <w:b/>
                <w:bCs/>
                <w:i/>
                <w:iCs/>
                <w:kern w:val="0"/>
                <w:sz w:val="18"/>
                <w:szCs w:val="18"/>
                <w:lang w:eastAsia="es-PE"/>
                <w14:ligatures w14:val="none"/>
              </w:rPr>
            </w:pPr>
          </w:p>
        </w:tc>
      </w:tr>
      <w:tr w:rsidR="008F221C" w:rsidRPr="008F221C" w14:paraId="7E59F464" w14:textId="77777777" w:rsidTr="009432D4">
        <w:trPr>
          <w:trHeight w:val="1034"/>
        </w:trPr>
        <w:tc>
          <w:tcPr>
            <w:tcW w:w="436" w:type="dxa"/>
            <w:tcBorders>
              <w:top w:val="nil"/>
              <w:left w:val="single" w:sz="4" w:space="0" w:color="auto"/>
              <w:bottom w:val="nil"/>
              <w:right w:val="nil"/>
            </w:tcBorders>
            <w:noWrap/>
            <w:hideMark/>
          </w:tcPr>
          <w:p w14:paraId="1B293FF0"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10)</w:t>
            </w:r>
          </w:p>
        </w:tc>
        <w:tc>
          <w:tcPr>
            <w:tcW w:w="7950" w:type="dxa"/>
            <w:gridSpan w:val="4"/>
            <w:tcBorders>
              <w:top w:val="nil"/>
              <w:left w:val="nil"/>
              <w:bottom w:val="nil"/>
              <w:right w:val="single" w:sz="4" w:space="0" w:color="000000"/>
            </w:tcBorders>
            <w:hideMark/>
          </w:tcPr>
          <w:p w14:paraId="188696F5" w14:textId="77777777" w:rsidR="008F221C" w:rsidRPr="008F221C" w:rsidRDefault="008F221C" w:rsidP="008F221C">
            <w:pPr>
              <w:spacing w:after="0" w:line="240" w:lineRule="auto"/>
              <w:jc w:val="both"/>
              <w:rPr>
                <w:rFonts w:ascii="Arial Narrow" w:eastAsia="Times New Roman" w:hAnsi="Arial Narrow" w:cs="Arial"/>
                <w:b/>
                <w:bCs/>
                <w:i/>
                <w:iCs/>
                <w:kern w:val="0"/>
                <w:sz w:val="18"/>
                <w:szCs w:val="18"/>
                <w:lang w:eastAsia="es-PE"/>
                <w14:ligatures w14:val="none"/>
              </w:rPr>
            </w:pPr>
            <w:r w:rsidRPr="008F221C">
              <w:rPr>
                <w:rFonts w:ascii="Arial Narrow" w:eastAsia="Times New Roman" w:hAnsi="Arial Narrow" w:cs="Arial"/>
                <w:b/>
                <w:bCs/>
                <w:i/>
                <w:iCs/>
                <w:kern w:val="0"/>
                <w:sz w:val="18"/>
                <w:szCs w:val="18"/>
                <w:lang w:eastAsia="es-PE"/>
                <w14:ligatures w14:val="none"/>
              </w:rPr>
              <w:t>Expresión de saldos:</w:t>
            </w:r>
            <w:r w:rsidRPr="008F221C">
              <w:rPr>
                <w:rFonts w:ascii="Arial Narrow" w:eastAsia="Times New Roman" w:hAnsi="Arial Narrow" w:cs="Arial"/>
                <w:kern w:val="0"/>
                <w:sz w:val="18"/>
                <w:szCs w:val="18"/>
                <w:lang w:eastAsia="es-PE"/>
                <w14:ligatures w14:val="none"/>
              </w:rPr>
              <w:t xml:space="preserve"> La expresión de los montos deberá ser en soles y con dos decimales. En caso se cuente con información en moneda extranjera, ésta deberá reportarse utilizando el tipo de cambio contable SBS correspondiente al mes que corresponde a la información financiera reportada. En caso no se registren saldos para un determinado rubro del Reporte, deberá reportarse el valor cero "0.00" y no dejar el campo vacío.</w:t>
            </w:r>
          </w:p>
        </w:tc>
      </w:tr>
      <w:tr w:rsidR="008F221C" w:rsidRPr="008F221C" w14:paraId="79588E1C" w14:textId="77777777" w:rsidTr="009432D4">
        <w:trPr>
          <w:trHeight w:val="513"/>
        </w:trPr>
        <w:tc>
          <w:tcPr>
            <w:tcW w:w="436" w:type="dxa"/>
            <w:tcBorders>
              <w:top w:val="nil"/>
              <w:left w:val="single" w:sz="4" w:space="0" w:color="auto"/>
              <w:bottom w:val="nil"/>
              <w:right w:val="nil"/>
            </w:tcBorders>
            <w:noWrap/>
            <w:hideMark/>
          </w:tcPr>
          <w:p w14:paraId="5C0193CB"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11)</w:t>
            </w:r>
          </w:p>
        </w:tc>
        <w:tc>
          <w:tcPr>
            <w:tcW w:w="7950" w:type="dxa"/>
            <w:gridSpan w:val="4"/>
            <w:tcBorders>
              <w:top w:val="nil"/>
              <w:left w:val="nil"/>
              <w:bottom w:val="nil"/>
              <w:right w:val="single" w:sz="4" w:space="0" w:color="000000"/>
            </w:tcBorders>
            <w:hideMark/>
          </w:tcPr>
          <w:p w14:paraId="438FA923" w14:textId="77777777" w:rsidR="008F221C" w:rsidRPr="008F221C" w:rsidRDefault="008F221C" w:rsidP="008F221C">
            <w:pPr>
              <w:spacing w:after="0" w:line="240" w:lineRule="auto"/>
              <w:jc w:val="both"/>
              <w:rPr>
                <w:rFonts w:ascii="Arial Narrow" w:eastAsia="Times New Roman" w:hAnsi="Arial Narrow" w:cs="Arial"/>
                <w:b/>
                <w:bCs/>
                <w:i/>
                <w:iCs/>
                <w:kern w:val="0"/>
                <w:sz w:val="18"/>
                <w:szCs w:val="18"/>
                <w:lang w:eastAsia="es-PE"/>
                <w14:ligatures w14:val="none"/>
              </w:rPr>
            </w:pPr>
            <w:r w:rsidRPr="008F221C">
              <w:rPr>
                <w:rFonts w:ascii="Arial Narrow" w:eastAsia="Times New Roman" w:hAnsi="Arial Narrow" w:cs="Arial"/>
                <w:b/>
                <w:bCs/>
                <w:i/>
                <w:iCs/>
                <w:kern w:val="0"/>
                <w:sz w:val="18"/>
                <w:szCs w:val="18"/>
                <w:lang w:eastAsia="es-PE"/>
                <w14:ligatures w14:val="none"/>
              </w:rPr>
              <w:t xml:space="preserve">Reporte de signos: </w:t>
            </w:r>
            <w:r w:rsidRPr="008F221C">
              <w:rPr>
                <w:rFonts w:ascii="Arial Narrow" w:eastAsia="Times New Roman" w:hAnsi="Arial Narrow" w:cs="Arial"/>
                <w:kern w:val="0"/>
                <w:sz w:val="18"/>
                <w:szCs w:val="18"/>
                <w:lang w:eastAsia="es-PE"/>
                <w14:ligatures w14:val="none"/>
              </w:rPr>
              <w:t>Todos los rubros deberán reportarse con su signo correspondiente, debiendo así evidenciar cada valor si es positivo o negativo.</w:t>
            </w:r>
          </w:p>
        </w:tc>
      </w:tr>
      <w:tr w:rsidR="008F221C" w:rsidRPr="008F221C" w14:paraId="53ECBC0E" w14:textId="77777777" w:rsidTr="009432D4">
        <w:trPr>
          <w:trHeight w:val="1823"/>
        </w:trPr>
        <w:tc>
          <w:tcPr>
            <w:tcW w:w="436" w:type="dxa"/>
            <w:tcBorders>
              <w:top w:val="nil"/>
              <w:left w:val="single" w:sz="4" w:space="0" w:color="auto"/>
              <w:bottom w:val="nil"/>
              <w:right w:val="nil"/>
            </w:tcBorders>
            <w:noWrap/>
            <w:hideMark/>
          </w:tcPr>
          <w:p w14:paraId="5550C5AD"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12)</w:t>
            </w:r>
          </w:p>
        </w:tc>
        <w:tc>
          <w:tcPr>
            <w:tcW w:w="7950" w:type="dxa"/>
            <w:gridSpan w:val="4"/>
            <w:tcBorders>
              <w:top w:val="nil"/>
              <w:left w:val="nil"/>
              <w:bottom w:val="nil"/>
              <w:right w:val="single" w:sz="4" w:space="0" w:color="000000"/>
            </w:tcBorders>
            <w:hideMark/>
          </w:tcPr>
          <w:p w14:paraId="16BC6148" w14:textId="77777777" w:rsidR="008F221C" w:rsidRPr="008F221C" w:rsidRDefault="008F221C" w:rsidP="008F221C">
            <w:pPr>
              <w:spacing w:after="0" w:line="240" w:lineRule="auto"/>
              <w:jc w:val="both"/>
              <w:rPr>
                <w:rFonts w:ascii="Arial Narrow" w:eastAsia="Times New Roman" w:hAnsi="Arial Narrow" w:cs="Arial"/>
                <w:b/>
                <w:bCs/>
                <w:i/>
                <w:iCs/>
                <w:kern w:val="0"/>
                <w:sz w:val="18"/>
                <w:szCs w:val="18"/>
                <w:lang w:eastAsia="es-PE"/>
                <w14:ligatures w14:val="none"/>
              </w:rPr>
            </w:pPr>
            <w:r w:rsidRPr="008F221C">
              <w:rPr>
                <w:rFonts w:ascii="Arial Narrow" w:eastAsia="Times New Roman" w:hAnsi="Arial Narrow" w:cs="Arial"/>
                <w:b/>
                <w:bCs/>
                <w:i/>
                <w:iCs/>
                <w:kern w:val="0"/>
                <w:sz w:val="18"/>
                <w:szCs w:val="18"/>
                <w:lang w:eastAsia="es-PE"/>
                <w14:ligatures w14:val="none"/>
              </w:rPr>
              <w:t>Rubros basados en el Estado de Situación Financiera:</w:t>
            </w:r>
            <w:r w:rsidRPr="008F221C">
              <w:rPr>
                <w:rFonts w:ascii="Arial Narrow" w:eastAsia="Times New Roman" w:hAnsi="Arial Narrow" w:cs="Arial"/>
                <w:i/>
                <w:iCs/>
                <w:kern w:val="0"/>
                <w:sz w:val="18"/>
                <w:szCs w:val="18"/>
                <w:lang w:eastAsia="es-PE"/>
                <w14:ligatures w14:val="none"/>
              </w:rPr>
              <w:t xml:space="preserve"> </w:t>
            </w:r>
            <w:r w:rsidRPr="008F221C">
              <w:rPr>
                <w:rFonts w:ascii="Arial Narrow" w:eastAsia="Times New Roman" w:hAnsi="Arial Narrow" w:cs="Arial"/>
                <w:kern w:val="0"/>
                <w:sz w:val="18"/>
                <w:szCs w:val="18"/>
                <w:lang w:eastAsia="es-PE"/>
                <w14:ligatures w14:val="none"/>
              </w:rPr>
              <w:t>Los rubros basados en el Estado de Situación Financiera deberán reportarse de acuerdo con las descripciones que se incluyen a continuación, no debiendo incluir saldos de rubros adicionales que no se encuentren explícitamente indicados en dichas descripciones. Cualquier saldo de otro rubro del activo y/o pasivo corriente deberá incluirse en los rubros “otros activos corrientes” y/o “otros pasivos corrientes”, según corresponda; de modo tal que exista un cuadre del activo corriente y pasivo corriente. Asimismo, cualquier saldo de otro rubro del activo y/o pasivo no corriente deberá incluirse en los rubros “otros activos no corrientes” y/o “otros pasivos no corrientes”, según corresponda; de modo tal que exista un cuadre del activo no corriente y pasivo no corriente, así como del activo total, pasivo total y patrimonio.</w:t>
            </w:r>
          </w:p>
        </w:tc>
      </w:tr>
      <w:tr w:rsidR="008F221C" w:rsidRPr="008F221C" w14:paraId="36DFD6F8" w14:textId="77777777" w:rsidTr="009432D4">
        <w:trPr>
          <w:trHeight w:val="1011"/>
        </w:trPr>
        <w:tc>
          <w:tcPr>
            <w:tcW w:w="436" w:type="dxa"/>
            <w:tcBorders>
              <w:top w:val="nil"/>
              <w:left w:val="single" w:sz="4" w:space="0" w:color="auto"/>
              <w:bottom w:val="nil"/>
              <w:right w:val="nil"/>
            </w:tcBorders>
            <w:noWrap/>
            <w:hideMark/>
          </w:tcPr>
          <w:p w14:paraId="3BF74811"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lastRenderedPageBreak/>
              <w:t>13)</w:t>
            </w:r>
          </w:p>
        </w:tc>
        <w:tc>
          <w:tcPr>
            <w:tcW w:w="7950" w:type="dxa"/>
            <w:gridSpan w:val="4"/>
            <w:tcBorders>
              <w:top w:val="nil"/>
              <w:left w:val="nil"/>
              <w:bottom w:val="nil"/>
              <w:right w:val="single" w:sz="4" w:space="0" w:color="000000"/>
            </w:tcBorders>
            <w:hideMark/>
          </w:tcPr>
          <w:p w14:paraId="18948BFF"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b/>
                <w:bCs/>
                <w:i/>
                <w:iCs/>
                <w:kern w:val="0"/>
                <w:sz w:val="18"/>
                <w:szCs w:val="18"/>
                <w:lang w:eastAsia="es-PE"/>
                <w14:ligatures w14:val="none"/>
              </w:rPr>
              <w:t>Rubros basados en el Estado de Resultados:</w:t>
            </w:r>
            <w:r w:rsidRPr="008F221C">
              <w:rPr>
                <w:rFonts w:ascii="Arial Narrow" w:eastAsia="Times New Roman" w:hAnsi="Arial Narrow" w:cs="Arial"/>
                <w:kern w:val="0"/>
                <w:sz w:val="18"/>
                <w:szCs w:val="18"/>
                <w:lang w:eastAsia="es-PE"/>
                <w14:ligatures w14:val="none"/>
              </w:rPr>
              <w:t xml:space="preserve"> Los rubros basados en el Estado de Resultados deberán reportarse de acuerdo con las descripciones que se incluyen a continuación, no debiendo incluir saldos de rubros adicionales que no se encuentren explícitamente indicados en dichas descripciones. Cualquier otro rubro del Estado de Resultados deberá incluirse en el rubro “Otros ingresos netos”, de modo tal que exista un cuadre con la utilidad (pérdida) neta.</w:t>
            </w:r>
          </w:p>
          <w:p w14:paraId="15CB649F" w14:textId="77777777" w:rsidR="008F221C" w:rsidRPr="008F221C" w:rsidRDefault="008F221C" w:rsidP="008F221C">
            <w:pPr>
              <w:spacing w:after="0" w:line="240" w:lineRule="auto"/>
              <w:jc w:val="both"/>
              <w:rPr>
                <w:rFonts w:ascii="Arial Narrow" w:eastAsia="Times New Roman" w:hAnsi="Arial Narrow" w:cs="Arial"/>
                <w:b/>
                <w:bCs/>
                <w:i/>
                <w:iCs/>
                <w:kern w:val="0"/>
                <w:sz w:val="18"/>
                <w:szCs w:val="18"/>
                <w:lang w:eastAsia="es-PE"/>
                <w14:ligatures w14:val="none"/>
              </w:rPr>
            </w:pPr>
          </w:p>
        </w:tc>
      </w:tr>
      <w:tr w:rsidR="008F221C" w:rsidRPr="008F221C" w14:paraId="1F1D503C" w14:textId="77777777" w:rsidTr="008F221C">
        <w:trPr>
          <w:trHeight w:val="130"/>
        </w:trPr>
        <w:tc>
          <w:tcPr>
            <w:tcW w:w="436" w:type="dxa"/>
            <w:tcBorders>
              <w:top w:val="nil"/>
              <w:left w:val="single" w:sz="4" w:space="0" w:color="auto"/>
              <w:bottom w:val="single" w:sz="4" w:space="0" w:color="auto"/>
              <w:right w:val="single" w:sz="4" w:space="0" w:color="FFFFFF"/>
            </w:tcBorders>
            <w:noWrap/>
            <w:vAlign w:val="center"/>
            <w:hideMark/>
          </w:tcPr>
          <w:p w14:paraId="4446AC34" w14:textId="77777777" w:rsidR="008F221C" w:rsidRPr="008F221C" w:rsidRDefault="008F221C" w:rsidP="008F221C">
            <w:pPr>
              <w:spacing w:after="0" w:line="240" w:lineRule="auto"/>
              <w:rPr>
                <w:rFonts w:ascii="Arial Narrow" w:eastAsia="Times New Roman" w:hAnsi="Arial Narrow" w:cs="Arial"/>
                <w:i/>
                <w:iCs/>
                <w:kern w:val="0"/>
                <w:sz w:val="18"/>
                <w:szCs w:val="18"/>
                <w:lang w:eastAsia="es-PE"/>
                <w14:ligatures w14:val="none"/>
              </w:rPr>
            </w:pPr>
            <w:r w:rsidRPr="008F221C">
              <w:rPr>
                <w:rFonts w:ascii="Arial Narrow" w:eastAsia="Times New Roman" w:hAnsi="Arial Narrow" w:cs="Arial"/>
                <w:i/>
                <w:iCs/>
                <w:kern w:val="0"/>
                <w:sz w:val="18"/>
                <w:szCs w:val="18"/>
                <w:lang w:eastAsia="es-PE"/>
                <w14:ligatures w14:val="none"/>
              </w:rPr>
              <w:t> </w:t>
            </w:r>
          </w:p>
        </w:tc>
        <w:tc>
          <w:tcPr>
            <w:tcW w:w="7950" w:type="dxa"/>
            <w:gridSpan w:val="4"/>
            <w:tcBorders>
              <w:top w:val="nil"/>
              <w:left w:val="single" w:sz="4" w:space="0" w:color="FFFFFF"/>
              <w:bottom w:val="single" w:sz="4" w:space="0" w:color="auto"/>
              <w:right w:val="single" w:sz="4" w:space="0" w:color="000000"/>
            </w:tcBorders>
            <w:vAlign w:val="center"/>
            <w:hideMark/>
          </w:tcPr>
          <w:p w14:paraId="66492500" w14:textId="77777777" w:rsidR="008F221C" w:rsidRPr="008F221C" w:rsidRDefault="008F221C" w:rsidP="008F221C">
            <w:pPr>
              <w:spacing w:after="0" w:line="240" w:lineRule="auto"/>
              <w:rPr>
                <w:rFonts w:ascii="Arial Narrow" w:eastAsia="Times New Roman" w:hAnsi="Arial Narrow" w:cs="Arial"/>
                <w:i/>
                <w:iCs/>
                <w:kern w:val="0"/>
                <w:sz w:val="18"/>
                <w:szCs w:val="18"/>
                <w:lang w:eastAsia="es-PE"/>
                <w14:ligatures w14:val="none"/>
              </w:rPr>
            </w:pPr>
            <w:r w:rsidRPr="008F221C">
              <w:rPr>
                <w:rFonts w:ascii="Arial Narrow" w:eastAsia="Times New Roman" w:hAnsi="Arial Narrow" w:cs="Arial"/>
                <w:i/>
                <w:iCs/>
                <w:kern w:val="0"/>
                <w:sz w:val="18"/>
                <w:szCs w:val="18"/>
                <w:lang w:eastAsia="es-PE"/>
                <w14:ligatures w14:val="none"/>
              </w:rPr>
              <w:t> </w:t>
            </w:r>
          </w:p>
        </w:tc>
      </w:tr>
      <w:tr w:rsidR="008F221C" w:rsidRPr="008F221C" w14:paraId="5607125D" w14:textId="77777777" w:rsidTr="008F221C">
        <w:trPr>
          <w:trHeight w:val="267"/>
        </w:trPr>
        <w:tc>
          <w:tcPr>
            <w:tcW w:w="436" w:type="dxa"/>
            <w:tcBorders>
              <w:top w:val="nil"/>
              <w:left w:val="nil"/>
              <w:bottom w:val="nil"/>
              <w:right w:val="single" w:sz="4" w:space="0" w:color="FFFFFF"/>
            </w:tcBorders>
            <w:noWrap/>
            <w:vAlign w:val="center"/>
            <w:hideMark/>
          </w:tcPr>
          <w:p w14:paraId="429BE277" w14:textId="77777777" w:rsidR="008F221C" w:rsidRPr="008F221C" w:rsidRDefault="008F221C" w:rsidP="008F221C">
            <w:pPr>
              <w:spacing w:after="0" w:line="240" w:lineRule="auto"/>
              <w:rPr>
                <w:rFonts w:ascii="Arial Narrow" w:eastAsia="Times New Roman" w:hAnsi="Arial Narrow" w:cs="Arial"/>
                <w:i/>
                <w:iCs/>
                <w:kern w:val="0"/>
                <w:sz w:val="18"/>
                <w:szCs w:val="18"/>
                <w:lang w:eastAsia="es-PE"/>
                <w14:ligatures w14:val="none"/>
              </w:rPr>
            </w:pPr>
          </w:p>
        </w:tc>
        <w:tc>
          <w:tcPr>
            <w:tcW w:w="1218" w:type="dxa"/>
            <w:tcBorders>
              <w:top w:val="nil"/>
              <w:left w:val="single" w:sz="4" w:space="0" w:color="FFFFFF"/>
              <w:bottom w:val="nil"/>
              <w:right w:val="single" w:sz="4" w:space="0" w:color="FFFFFF"/>
            </w:tcBorders>
            <w:noWrap/>
            <w:vAlign w:val="center"/>
            <w:hideMark/>
          </w:tcPr>
          <w:p w14:paraId="714BD2CF" w14:textId="77777777" w:rsidR="008F221C" w:rsidRPr="008F221C" w:rsidRDefault="008F221C" w:rsidP="008F221C">
            <w:pPr>
              <w:spacing w:after="0" w:line="240" w:lineRule="auto"/>
              <w:rPr>
                <w:rFonts w:ascii="Times New Roman" w:eastAsia="Times New Roman" w:hAnsi="Times New Roman" w:cs="Times New Roman"/>
                <w:kern w:val="0"/>
                <w:sz w:val="18"/>
                <w:szCs w:val="18"/>
                <w:lang w:eastAsia="es-PE"/>
                <w14:ligatures w14:val="none"/>
              </w:rPr>
            </w:pPr>
          </w:p>
        </w:tc>
        <w:tc>
          <w:tcPr>
            <w:tcW w:w="1432" w:type="dxa"/>
            <w:tcBorders>
              <w:top w:val="nil"/>
              <w:left w:val="single" w:sz="4" w:space="0" w:color="FFFFFF"/>
              <w:bottom w:val="nil"/>
              <w:right w:val="single" w:sz="4" w:space="0" w:color="FFFFFF"/>
            </w:tcBorders>
            <w:noWrap/>
            <w:vAlign w:val="center"/>
            <w:hideMark/>
          </w:tcPr>
          <w:p w14:paraId="04E33867" w14:textId="77777777" w:rsidR="008F221C" w:rsidRPr="008F221C" w:rsidRDefault="008F221C" w:rsidP="008F221C">
            <w:pPr>
              <w:spacing w:after="0" w:line="240" w:lineRule="auto"/>
              <w:rPr>
                <w:rFonts w:ascii="Times New Roman" w:eastAsia="Times New Roman" w:hAnsi="Times New Roman" w:cs="Times New Roman"/>
                <w:kern w:val="0"/>
                <w:sz w:val="18"/>
                <w:szCs w:val="18"/>
                <w:lang w:eastAsia="es-PE"/>
                <w14:ligatures w14:val="none"/>
              </w:rPr>
            </w:pPr>
          </w:p>
        </w:tc>
        <w:tc>
          <w:tcPr>
            <w:tcW w:w="469" w:type="dxa"/>
            <w:tcBorders>
              <w:top w:val="nil"/>
              <w:left w:val="single" w:sz="4" w:space="0" w:color="FFFFFF"/>
              <w:bottom w:val="nil"/>
              <w:right w:val="single" w:sz="4" w:space="0" w:color="FFFFFF"/>
            </w:tcBorders>
            <w:noWrap/>
            <w:vAlign w:val="center"/>
            <w:hideMark/>
          </w:tcPr>
          <w:p w14:paraId="1BF77BCC" w14:textId="77777777" w:rsidR="008F221C" w:rsidRPr="008F221C" w:rsidRDefault="008F221C" w:rsidP="008F221C">
            <w:pPr>
              <w:spacing w:after="0" w:line="240" w:lineRule="auto"/>
              <w:rPr>
                <w:rFonts w:ascii="Times New Roman" w:eastAsia="Times New Roman" w:hAnsi="Times New Roman" w:cs="Times New Roman"/>
                <w:kern w:val="0"/>
                <w:sz w:val="18"/>
                <w:szCs w:val="18"/>
                <w:lang w:eastAsia="es-PE"/>
                <w14:ligatures w14:val="none"/>
              </w:rPr>
            </w:pPr>
          </w:p>
        </w:tc>
        <w:tc>
          <w:tcPr>
            <w:tcW w:w="4831" w:type="dxa"/>
            <w:tcBorders>
              <w:top w:val="nil"/>
              <w:left w:val="single" w:sz="4" w:space="0" w:color="FFFFFF"/>
              <w:bottom w:val="nil"/>
              <w:right w:val="nil"/>
            </w:tcBorders>
            <w:noWrap/>
            <w:vAlign w:val="center"/>
            <w:hideMark/>
          </w:tcPr>
          <w:p w14:paraId="0054F351" w14:textId="77777777" w:rsidR="008F221C" w:rsidRPr="008F221C" w:rsidRDefault="008F221C" w:rsidP="008F221C">
            <w:pPr>
              <w:spacing w:after="0" w:line="240" w:lineRule="auto"/>
              <w:jc w:val="center"/>
              <w:rPr>
                <w:rFonts w:ascii="Times New Roman" w:eastAsia="Times New Roman" w:hAnsi="Times New Roman" w:cs="Times New Roman"/>
                <w:kern w:val="0"/>
                <w:sz w:val="18"/>
                <w:szCs w:val="18"/>
                <w:lang w:eastAsia="es-PE"/>
                <w14:ligatures w14:val="none"/>
              </w:rPr>
            </w:pPr>
          </w:p>
        </w:tc>
      </w:tr>
      <w:tr w:rsidR="008F221C" w:rsidRPr="008F221C" w14:paraId="21A22F34" w14:textId="77777777" w:rsidTr="009432D4">
        <w:trPr>
          <w:trHeight w:val="297"/>
        </w:trPr>
        <w:tc>
          <w:tcPr>
            <w:tcW w:w="1654" w:type="dxa"/>
            <w:gridSpan w:val="2"/>
            <w:tcBorders>
              <w:top w:val="single" w:sz="12" w:space="0" w:color="EAEAEA"/>
              <w:left w:val="single" w:sz="12" w:space="0" w:color="EAEAEA"/>
              <w:bottom w:val="single" w:sz="12" w:space="0" w:color="EAEAEA"/>
              <w:right w:val="nil"/>
            </w:tcBorders>
            <w:shd w:val="clear" w:color="000000" w:fill="DDDDDD"/>
            <w:noWrap/>
            <w:vAlign w:val="center"/>
            <w:hideMark/>
          </w:tcPr>
          <w:p w14:paraId="68584C81"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bookmarkStart w:id="0" w:name="_Hlk184977702"/>
            <w:r w:rsidRPr="008F221C">
              <w:rPr>
                <w:rFonts w:ascii="Arial Narrow" w:eastAsia="Times New Roman" w:hAnsi="Arial Narrow" w:cs="Arial"/>
                <w:b/>
                <w:bCs/>
                <w:kern w:val="0"/>
                <w:sz w:val="18"/>
                <w:szCs w:val="18"/>
                <w:lang w:eastAsia="es-PE"/>
                <w14:ligatures w14:val="none"/>
              </w:rPr>
              <w:t>FORMATO SUCAVE</w:t>
            </w:r>
          </w:p>
        </w:tc>
        <w:tc>
          <w:tcPr>
            <w:tcW w:w="1432" w:type="dxa"/>
            <w:tcBorders>
              <w:top w:val="single" w:sz="12" w:space="0" w:color="EAEAEA"/>
              <w:left w:val="nil"/>
              <w:bottom w:val="single" w:sz="12" w:space="0" w:color="EAEAEA"/>
              <w:right w:val="nil"/>
            </w:tcBorders>
            <w:shd w:val="clear" w:color="000000" w:fill="DDDDDD"/>
            <w:noWrap/>
            <w:vAlign w:val="center"/>
            <w:hideMark/>
          </w:tcPr>
          <w:p w14:paraId="1E7BED79"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469" w:type="dxa"/>
            <w:tcBorders>
              <w:top w:val="single" w:sz="12" w:space="0" w:color="EAEAEA"/>
              <w:left w:val="nil"/>
              <w:bottom w:val="single" w:sz="12" w:space="0" w:color="EAEAEA"/>
              <w:right w:val="nil"/>
            </w:tcBorders>
            <w:shd w:val="clear" w:color="000000" w:fill="DDDDDD"/>
            <w:noWrap/>
            <w:vAlign w:val="center"/>
            <w:hideMark/>
          </w:tcPr>
          <w:p w14:paraId="1351F10F"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 </w:t>
            </w:r>
          </w:p>
        </w:tc>
        <w:tc>
          <w:tcPr>
            <w:tcW w:w="4831" w:type="dxa"/>
            <w:tcBorders>
              <w:top w:val="single" w:sz="12" w:space="0" w:color="EAEAEA"/>
              <w:left w:val="nil"/>
              <w:bottom w:val="single" w:sz="12" w:space="0" w:color="EAEAEA"/>
              <w:right w:val="single" w:sz="12" w:space="0" w:color="EAEAEA"/>
            </w:tcBorders>
            <w:shd w:val="clear" w:color="000000" w:fill="DDDDDD"/>
            <w:noWrap/>
            <w:vAlign w:val="center"/>
            <w:hideMark/>
          </w:tcPr>
          <w:p w14:paraId="49998578"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Descripción</w:t>
            </w:r>
          </w:p>
        </w:tc>
      </w:tr>
      <w:tr w:rsidR="008F221C" w:rsidRPr="008F221C" w14:paraId="79E1A1D1" w14:textId="77777777" w:rsidTr="009432D4">
        <w:trPr>
          <w:trHeight w:val="297"/>
        </w:trPr>
        <w:tc>
          <w:tcPr>
            <w:tcW w:w="1654" w:type="dxa"/>
            <w:gridSpan w:val="2"/>
            <w:tcBorders>
              <w:top w:val="single" w:sz="12" w:space="0" w:color="EAEAEA"/>
              <w:left w:val="single" w:sz="12" w:space="0" w:color="EAEAEA"/>
              <w:bottom w:val="single" w:sz="12" w:space="0" w:color="EAEAEA"/>
              <w:right w:val="nil"/>
            </w:tcBorders>
            <w:shd w:val="clear" w:color="000000" w:fill="DDDDDD"/>
            <w:noWrap/>
            <w:vAlign w:val="center"/>
          </w:tcPr>
          <w:p w14:paraId="65F992DD"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p>
        </w:tc>
        <w:tc>
          <w:tcPr>
            <w:tcW w:w="1432" w:type="dxa"/>
            <w:tcBorders>
              <w:top w:val="single" w:sz="12" w:space="0" w:color="EAEAEA"/>
              <w:left w:val="nil"/>
              <w:bottom w:val="single" w:sz="12" w:space="0" w:color="EAEAEA"/>
              <w:right w:val="nil"/>
            </w:tcBorders>
            <w:shd w:val="clear" w:color="000000" w:fill="DDDDDD"/>
            <w:noWrap/>
            <w:vAlign w:val="center"/>
          </w:tcPr>
          <w:p w14:paraId="3284123C"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p>
        </w:tc>
        <w:tc>
          <w:tcPr>
            <w:tcW w:w="469" w:type="dxa"/>
            <w:tcBorders>
              <w:top w:val="single" w:sz="12" w:space="0" w:color="EAEAEA"/>
              <w:left w:val="nil"/>
              <w:bottom w:val="single" w:sz="12" w:space="0" w:color="EAEAEA"/>
              <w:right w:val="nil"/>
            </w:tcBorders>
            <w:shd w:val="clear" w:color="000000" w:fill="DDDDDD"/>
            <w:noWrap/>
            <w:vAlign w:val="center"/>
          </w:tcPr>
          <w:p w14:paraId="0FBC5B7F"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p>
        </w:tc>
        <w:tc>
          <w:tcPr>
            <w:tcW w:w="4831" w:type="dxa"/>
            <w:tcBorders>
              <w:top w:val="single" w:sz="12" w:space="0" w:color="EAEAEA"/>
              <w:left w:val="nil"/>
              <w:bottom w:val="single" w:sz="12" w:space="0" w:color="EAEAEA"/>
              <w:right w:val="single" w:sz="12" w:space="0" w:color="EAEAEA"/>
            </w:tcBorders>
            <w:shd w:val="clear" w:color="000000" w:fill="DDDDDD"/>
            <w:noWrap/>
            <w:vAlign w:val="center"/>
          </w:tcPr>
          <w:p w14:paraId="480EC67E"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p>
        </w:tc>
      </w:tr>
      <w:bookmarkEnd w:id="0"/>
      <w:tr w:rsidR="008F221C" w:rsidRPr="008F221C" w14:paraId="2E9E793B" w14:textId="77777777" w:rsidTr="009432D4">
        <w:trPr>
          <w:trHeight w:val="297"/>
        </w:trPr>
        <w:tc>
          <w:tcPr>
            <w:tcW w:w="1654" w:type="dxa"/>
            <w:gridSpan w:val="2"/>
            <w:tcBorders>
              <w:top w:val="dotted" w:sz="4" w:space="0" w:color="auto"/>
              <w:left w:val="dotted" w:sz="4" w:space="0" w:color="auto"/>
              <w:bottom w:val="dotted" w:sz="4" w:space="0" w:color="auto"/>
              <w:right w:val="dotted" w:sz="4" w:space="0" w:color="000000"/>
            </w:tcBorders>
            <w:noWrap/>
            <w:vAlign w:val="center"/>
            <w:hideMark/>
          </w:tcPr>
          <w:p w14:paraId="6009CB28"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Fila</w:t>
            </w:r>
          </w:p>
        </w:tc>
        <w:tc>
          <w:tcPr>
            <w:tcW w:w="1432" w:type="dxa"/>
            <w:tcBorders>
              <w:top w:val="dotted" w:sz="4" w:space="0" w:color="auto"/>
              <w:left w:val="nil"/>
              <w:bottom w:val="dotted" w:sz="4" w:space="0" w:color="auto"/>
              <w:right w:val="dotted" w:sz="4" w:space="0" w:color="auto"/>
            </w:tcBorders>
            <w:vAlign w:val="center"/>
            <w:hideMark/>
          </w:tcPr>
          <w:p w14:paraId="72C39DA9"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469" w:type="dxa"/>
            <w:tcBorders>
              <w:top w:val="dotted" w:sz="4" w:space="0" w:color="auto"/>
              <w:left w:val="nil"/>
              <w:bottom w:val="dotted" w:sz="4" w:space="0" w:color="auto"/>
              <w:right w:val="dotted" w:sz="4" w:space="0" w:color="auto"/>
            </w:tcBorders>
            <w:noWrap/>
            <w:vAlign w:val="center"/>
            <w:hideMark/>
          </w:tcPr>
          <w:p w14:paraId="55845E52" w14:textId="77777777" w:rsidR="008F221C" w:rsidRPr="008F221C" w:rsidRDefault="008F221C" w:rsidP="008F221C">
            <w:pPr>
              <w:spacing w:after="0" w:line="240" w:lineRule="auto"/>
              <w:jc w:val="center"/>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4831" w:type="dxa"/>
            <w:tcBorders>
              <w:top w:val="dotted" w:sz="4" w:space="0" w:color="auto"/>
              <w:left w:val="nil"/>
              <w:bottom w:val="dotted" w:sz="4" w:space="0" w:color="auto"/>
              <w:right w:val="dotted" w:sz="4" w:space="0" w:color="auto"/>
            </w:tcBorders>
            <w:vAlign w:val="center"/>
            <w:hideMark/>
          </w:tcPr>
          <w:p w14:paraId="5223486E"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Consignar un número correlativo que empiece en 1.</w:t>
            </w:r>
          </w:p>
        </w:tc>
      </w:tr>
      <w:tr w:rsidR="008F221C" w:rsidRPr="008F221C" w14:paraId="3871067F" w14:textId="77777777" w:rsidTr="009432D4">
        <w:trPr>
          <w:trHeight w:val="488"/>
        </w:trPr>
        <w:tc>
          <w:tcPr>
            <w:tcW w:w="1654" w:type="dxa"/>
            <w:gridSpan w:val="2"/>
            <w:tcBorders>
              <w:top w:val="dotted" w:sz="4" w:space="0" w:color="auto"/>
              <w:left w:val="dotted" w:sz="4" w:space="0" w:color="auto"/>
              <w:bottom w:val="nil"/>
              <w:right w:val="dotted" w:sz="4" w:space="0" w:color="000000"/>
            </w:tcBorders>
            <w:noWrap/>
            <w:vAlign w:val="center"/>
            <w:hideMark/>
          </w:tcPr>
          <w:p w14:paraId="109D9B09"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Entidad</w:t>
            </w:r>
          </w:p>
        </w:tc>
        <w:tc>
          <w:tcPr>
            <w:tcW w:w="1432" w:type="dxa"/>
            <w:tcBorders>
              <w:top w:val="nil"/>
              <w:left w:val="nil"/>
              <w:bottom w:val="nil"/>
              <w:right w:val="dotted" w:sz="4" w:space="0" w:color="auto"/>
            </w:tcBorders>
            <w:vAlign w:val="center"/>
            <w:hideMark/>
          </w:tcPr>
          <w:p w14:paraId="09517081"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469" w:type="dxa"/>
            <w:tcBorders>
              <w:top w:val="nil"/>
              <w:left w:val="nil"/>
              <w:bottom w:val="nil"/>
              <w:right w:val="dotted" w:sz="4" w:space="0" w:color="auto"/>
            </w:tcBorders>
            <w:noWrap/>
            <w:vAlign w:val="center"/>
            <w:hideMark/>
          </w:tcPr>
          <w:p w14:paraId="1455BC3D" w14:textId="77777777" w:rsidR="008F221C" w:rsidRPr="008F221C" w:rsidRDefault="008F221C" w:rsidP="008F221C">
            <w:pPr>
              <w:spacing w:after="0" w:line="240" w:lineRule="auto"/>
              <w:jc w:val="center"/>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4831" w:type="dxa"/>
            <w:tcBorders>
              <w:top w:val="nil"/>
              <w:left w:val="nil"/>
              <w:bottom w:val="nil"/>
              <w:right w:val="dotted" w:sz="4" w:space="0" w:color="auto"/>
            </w:tcBorders>
            <w:vAlign w:val="center"/>
            <w:hideMark/>
          </w:tcPr>
          <w:p w14:paraId="38232C8E"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 xml:space="preserve">Consignar el código de la entidad asignado por la SBS a la empresa </w:t>
            </w:r>
            <w:proofErr w:type="spellStart"/>
            <w:r w:rsidRPr="008F221C">
              <w:rPr>
                <w:rFonts w:ascii="Arial Narrow" w:eastAsia="Times New Roman" w:hAnsi="Arial Narrow" w:cs="Arial"/>
                <w:kern w:val="0"/>
                <w:sz w:val="18"/>
                <w:szCs w:val="18"/>
                <w:lang w:eastAsia="es-PE"/>
                <w14:ligatures w14:val="none"/>
              </w:rPr>
              <w:t>reportante</w:t>
            </w:r>
            <w:proofErr w:type="spellEnd"/>
            <w:r w:rsidRPr="008F221C">
              <w:rPr>
                <w:rFonts w:ascii="Arial Narrow" w:eastAsia="Times New Roman" w:hAnsi="Arial Narrow" w:cs="Arial"/>
                <w:kern w:val="0"/>
                <w:sz w:val="18"/>
                <w:szCs w:val="18"/>
                <w:lang w:eastAsia="es-PE"/>
                <w14:ligatures w14:val="none"/>
              </w:rPr>
              <w:t xml:space="preserve"> para el sistema SUCAVE.</w:t>
            </w:r>
          </w:p>
        </w:tc>
      </w:tr>
      <w:tr w:rsidR="008F221C" w:rsidRPr="008F221C" w14:paraId="52900549" w14:textId="77777777" w:rsidTr="009432D4">
        <w:trPr>
          <w:trHeight w:val="1120"/>
        </w:trPr>
        <w:tc>
          <w:tcPr>
            <w:tcW w:w="1654" w:type="dxa"/>
            <w:gridSpan w:val="2"/>
            <w:tcBorders>
              <w:top w:val="dotted" w:sz="4" w:space="0" w:color="auto"/>
              <w:left w:val="dotted" w:sz="4" w:space="0" w:color="auto"/>
              <w:bottom w:val="dotted" w:sz="4" w:space="0" w:color="auto"/>
              <w:right w:val="dotted" w:sz="4" w:space="0" w:color="000000"/>
            </w:tcBorders>
            <w:vAlign w:val="center"/>
            <w:hideMark/>
          </w:tcPr>
          <w:p w14:paraId="631317D7"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Razón o Denominación Social</w:t>
            </w:r>
          </w:p>
        </w:tc>
        <w:tc>
          <w:tcPr>
            <w:tcW w:w="1432" w:type="dxa"/>
            <w:tcBorders>
              <w:top w:val="dotted" w:sz="4" w:space="0" w:color="auto"/>
              <w:left w:val="nil"/>
              <w:bottom w:val="nil"/>
              <w:right w:val="dotted" w:sz="4" w:space="0" w:color="auto"/>
            </w:tcBorders>
            <w:vAlign w:val="center"/>
            <w:hideMark/>
          </w:tcPr>
          <w:p w14:paraId="6E868DE9"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469" w:type="dxa"/>
            <w:tcBorders>
              <w:top w:val="dotted" w:sz="4" w:space="0" w:color="auto"/>
              <w:left w:val="nil"/>
              <w:bottom w:val="nil"/>
              <w:right w:val="dotted" w:sz="4" w:space="0" w:color="auto"/>
            </w:tcBorders>
            <w:noWrap/>
            <w:vAlign w:val="center"/>
            <w:hideMark/>
          </w:tcPr>
          <w:p w14:paraId="3AFF18AF"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10</w:t>
            </w:r>
          </w:p>
        </w:tc>
        <w:tc>
          <w:tcPr>
            <w:tcW w:w="4831" w:type="dxa"/>
            <w:tcBorders>
              <w:top w:val="dotted" w:sz="4" w:space="0" w:color="auto"/>
              <w:left w:val="nil"/>
              <w:bottom w:val="nil"/>
              <w:right w:val="dotted" w:sz="4" w:space="0" w:color="auto"/>
            </w:tcBorders>
            <w:vAlign w:val="center"/>
            <w:hideMark/>
          </w:tcPr>
          <w:p w14:paraId="6762C0EC"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La razón social se debe consignar de acuerdo con el nombre señalado en la SUNAT. De tratarse de deudores no inscritos en la SUNAT se deberá consignar la razón social según la escritura pública considerando la última modificación de razón social. En caso de deudores del exterior, se debe consignar el nombre legal tal como está registrado en su país de origen.</w:t>
            </w:r>
          </w:p>
        </w:tc>
      </w:tr>
      <w:tr w:rsidR="008F221C" w:rsidRPr="008F221C" w14:paraId="6077EFF9" w14:textId="77777777" w:rsidTr="009432D4">
        <w:trPr>
          <w:trHeight w:val="535"/>
        </w:trPr>
        <w:tc>
          <w:tcPr>
            <w:tcW w:w="1654" w:type="dxa"/>
            <w:gridSpan w:val="2"/>
            <w:tcBorders>
              <w:top w:val="dotted" w:sz="4" w:space="0" w:color="auto"/>
              <w:left w:val="dotted" w:sz="4" w:space="0" w:color="auto"/>
              <w:bottom w:val="nil"/>
              <w:right w:val="dotted" w:sz="4" w:space="0" w:color="000000"/>
            </w:tcBorders>
            <w:noWrap/>
            <w:vAlign w:val="center"/>
            <w:hideMark/>
          </w:tcPr>
          <w:p w14:paraId="7A279C68"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Código SBS</w:t>
            </w:r>
          </w:p>
        </w:tc>
        <w:tc>
          <w:tcPr>
            <w:tcW w:w="1432" w:type="dxa"/>
            <w:tcBorders>
              <w:top w:val="dotted" w:sz="4" w:space="0" w:color="auto"/>
              <w:left w:val="nil"/>
              <w:bottom w:val="nil"/>
              <w:right w:val="dotted" w:sz="4" w:space="0" w:color="auto"/>
            </w:tcBorders>
            <w:vAlign w:val="center"/>
            <w:hideMark/>
          </w:tcPr>
          <w:p w14:paraId="5CA82848"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469" w:type="dxa"/>
            <w:tcBorders>
              <w:top w:val="dotted" w:sz="4" w:space="0" w:color="auto"/>
              <w:left w:val="nil"/>
              <w:bottom w:val="nil"/>
              <w:right w:val="dotted" w:sz="4" w:space="0" w:color="auto"/>
            </w:tcBorders>
            <w:noWrap/>
            <w:vAlign w:val="center"/>
            <w:hideMark/>
          </w:tcPr>
          <w:p w14:paraId="3A1E3E94"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20</w:t>
            </w:r>
          </w:p>
        </w:tc>
        <w:tc>
          <w:tcPr>
            <w:tcW w:w="4831" w:type="dxa"/>
            <w:tcBorders>
              <w:top w:val="dotted" w:sz="4" w:space="0" w:color="auto"/>
              <w:left w:val="nil"/>
              <w:bottom w:val="nil"/>
              <w:right w:val="dotted" w:sz="4" w:space="0" w:color="auto"/>
            </w:tcBorders>
            <w:vAlign w:val="center"/>
            <w:hideMark/>
          </w:tcPr>
          <w:p w14:paraId="3553873D"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Consignar el código SBS del deudor. En caso el deudor no tenga código SBS se deberá dejar el campo vacío.</w:t>
            </w:r>
          </w:p>
        </w:tc>
      </w:tr>
      <w:tr w:rsidR="008F221C" w:rsidRPr="008F221C" w14:paraId="69F36924" w14:textId="77777777" w:rsidTr="009432D4">
        <w:trPr>
          <w:trHeight w:val="584"/>
        </w:trPr>
        <w:tc>
          <w:tcPr>
            <w:tcW w:w="1654" w:type="dxa"/>
            <w:gridSpan w:val="2"/>
            <w:tcBorders>
              <w:top w:val="dotted" w:sz="4" w:space="0" w:color="auto"/>
              <w:left w:val="dotted" w:sz="4" w:space="0" w:color="auto"/>
              <w:bottom w:val="nil"/>
              <w:right w:val="dotted" w:sz="4" w:space="0" w:color="000000"/>
            </w:tcBorders>
            <w:noWrap/>
            <w:vAlign w:val="center"/>
            <w:hideMark/>
          </w:tcPr>
          <w:p w14:paraId="743E01DD"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RUC</w:t>
            </w:r>
          </w:p>
        </w:tc>
        <w:tc>
          <w:tcPr>
            <w:tcW w:w="1432" w:type="dxa"/>
            <w:tcBorders>
              <w:top w:val="dotted" w:sz="4" w:space="0" w:color="auto"/>
              <w:left w:val="nil"/>
              <w:bottom w:val="nil"/>
              <w:right w:val="dotted" w:sz="4" w:space="0" w:color="auto"/>
            </w:tcBorders>
            <w:vAlign w:val="center"/>
            <w:hideMark/>
          </w:tcPr>
          <w:p w14:paraId="09DA7665"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469" w:type="dxa"/>
            <w:tcBorders>
              <w:top w:val="dotted" w:sz="4" w:space="0" w:color="auto"/>
              <w:left w:val="nil"/>
              <w:bottom w:val="nil"/>
              <w:right w:val="dotted" w:sz="4" w:space="0" w:color="auto"/>
            </w:tcBorders>
            <w:noWrap/>
            <w:vAlign w:val="center"/>
            <w:hideMark/>
          </w:tcPr>
          <w:p w14:paraId="1CFCC4F4"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30</w:t>
            </w:r>
          </w:p>
        </w:tc>
        <w:tc>
          <w:tcPr>
            <w:tcW w:w="4831" w:type="dxa"/>
            <w:tcBorders>
              <w:top w:val="dotted" w:sz="4" w:space="0" w:color="auto"/>
              <w:left w:val="nil"/>
              <w:bottom w:val="nil"/>
              <w:right w:val="dotted" w:sz="4" w:space="0" w:color="auto"/>
            </w:tcBorders>
            <w:vAlign w:val="center"/>
            <w:hideMark/>
          </w:tcPr>
          <w:p w14:paraId="281C8A53"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Consignar el número de RUC (de 11 dígitos) otorgado por la SUNAT. En caso el deudor no cuente con RUC se deberá dejar el campo vacío.</w:t>
            </w:r>
          </w:p>
        </w:tc>
      </w:tr>
      <w:tr w:rsidR="008F221C" w:rsidRPr="008F221C" w14:paraId="5C7B88B5" w14:textId="77777777" w:rsidTr="009432D4">
        <w:trPr>
          <w:trHeight w:val="297"/>
        </w:trPr>
        <w:tc>
          <w:tcPr>
            <w:tcW w:w="1654" w:type="dxa"/>
            <w:gridSpan w:val="2"/>
            <w:tcBorders>
              <w:top w:val="dotted" w:sz="4" w:space="0" w:color="auto"/>
              <w:left w:val="dotted" w:sz="4" w:space="0" w:color="auto"/>
              <w:bottom w:val="dotted" w:sz="4" w:space="0" w:color="auto"/>
              <w:right w:val="dotted" w:sz="4" w:space="0" w:color="000000"/>
            </w:tcBorders>
            <w:noWrap/>
            <w:vAlign w:val="center"/>
            <w:hideMark/>
          </w:tcPr>
          <w:p w14:paraId="3A1585DC"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Fuente de información</w:t>
            </w:r>
          </w:p>
        </w:tc>
        <w:tc>
          <w:tcPr>
            <w:tcW w:w="1432" w:type="dxa"/>
            <w:tcBorders>
              <w:top w:val="dotted" w:sz="4" w:space="0" w:color="auto"/>
              <w:left w:val="nil"/>
              <w:bottom w:val="dotted" w:sz="4" w:space="0" w:color="auto"/>
              <w:right w:val="dotted" w:sz="4" w:space="0" w:color="auto"/>
            </w:tcBorders>
            <w:vAlign w:val="center"/>
            <w:hideMark/>
          </w:tcPr>
          <w:p w14:paraId="66BD2575"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469" w:type="dxa"/>
            <w:tcBorders>
              <w:top w:val="dotted" w:sz="4" w:space="0" w:color="auto"/>
              <w:left w:val="nil"/>
              <w:bottom w:val="dotted" w:sz="4" w:space="0" w:color="auto"/>
              <w:right w:val="dotted" w:sz="4" w:space="0" w:color="auto"/>
            </w:tcBorders>
            <w:noWrap/>
            <w:vAlign w:val="center"/>
            <w:hideMark/>
          </w:tcPr>
          <w:p w14:paraId="0152DFDC"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40</w:t>
            </w:r>
          </w:p>
        </w:tc>
        <w:tc>
          <w:tcPr>
            <w:tcW w:w="4831" w:type="dxa"/>
            <w:tcBorders>
              <w:top w:val="dotted" w:sz="4" w:space="0" w:color="auto"/>
              <w:left w:val="nil"/>
              <w:bottom w:val="dotted" w:sz="4" w:space="0" w:color="auto"/>
              <w:right w:val="dotted" w:sz="4" w:space="0" w:color="auto"/>
            </w:tcBorders>
            <w:vAlign w:val="center"/>
            <w:hideMark/>
          </w:tcPr>
          <w:p w14:paraId="6362B30B"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01</w:t>
            </w:r>
            <w:r w:rsidRPr="008F221C">
              <w:rPr>
                <w:rFonts w:ascii="Arial Narrow" w:eastAsia="Times New Roman" w:hAnsi="Arial Narrow" w:cs="Arial"/>
                <w:kern w:val="0"/>
                <w:sz w:val="18"/>
                <w:szCs w:val="18"/>
                <w:lang w:eastAsia="es-PE"/>
                <w14:ligatures w14:val="none"/>
              </w:rPr>
              <w:t xml:space="preserve">: Auditado    </w:t>
            </w:r>
            <w:r w:rsidRPr="008F221C">
              <w:rPr>
                <w:rFonts w:ascii="Arial Narrow" w:eastAsia="Times New Roman" w:hAnsi="Arial Narrow" w:cs="Arial"/>
                <w:b/>
                <w:bCs/>
                <w:kern w:val="0"/>
                <w:sz w:val="18"/>
                <w:szCs w:val="18"/>
                <w:lang w:eastAsia="es-PE"/>
                <w14:ligatures w14:val="none"/>
              </w:rPr>
              <w:t xml:space="preserve"> 02</w:t>
            </w:r>
            <w:r w:rsidRPr="008F221C">
              <w:rPr>
                <w:rFonts w:ascii="Arial Narrow" w:eastAsia="Times New Roman" w:hAnsi="Arial Narrow" w:cs="Arial"/>
                <w:kern w:val="0"/>
                <w:sz w:val="18"/>
                <w:szCs w:val="18"/>
                <w:lang w:eastAsia="es-PE"/>
                <w14:ligatures w14:val="none"/>
              </w:rPr>
              <w:t xml:space="preserve">: No auditado     </w:t>
            </w:r>
            <w:r w:rsidRPr="008F221C">
              <w:rPr>
                <w:rFonts w:ascii="Arial Narrow" w:eastAsia="Times New Roman" w:hAnsi="Arial Narrow" w:cs="Arial"/>
                <w:b/>
                <w:bCs/>
                <w:kern w:val="0"/>
                <w:sz w:val="18"/>
                <w:szCs w:val="18"/>
                <w:lang w:eastAsia="es-PE"/>
                <w14:ligatures w14:val="none"/>
              </w:rPr>
              <w:t xml:space="preserve">  03</w:t>
            </w:r>
            <w:r w:rsidRPr="008F221C">
              <w:rPr>
                <w:rFonts w:ascii="Arial Narrow" w:eastAsia="Times New Roman" w:hAnsi="Arial Narrow" w:cs="Arial"/>
                <w:kern w:val="0"/>
                <w:sz w:val="18"/>
                <w:szCs w:val="18"/>
                <w:lang w:eastAsia="es-PE"/>
                <w14:ligatures w14:val="none"/>
              </w:rPr>
              <w:t>: SUNAT</w:t>
            </w:r>
          </w:p>
        </w:tc>
      </w:tr>
      <w:tr w:rsidR="008F221C" w:rsidRPr="008F221C" w14:paraId="364E313D" w14:textId="77777777" w:rsidTr="009432D4">
        <w:trPr>
          <w:trHeight w:val="796"/>
        </w:trPr>
        <w:tc>
          <w:tcPr>
            <w:tcW w:w="1654" w:type="dxa"/>
            <w:gridSpan w:val="2"/>
            <w:tcBorders>
              <w:top w:val="dotted" w:sz="4" w:space="0" w:color="auto"/>
              <w:left w:val="dotted" w:sz="4" w:space="0" w:color="auto"/>
              <w:bottom w:val="dotted" w:sz="4" w:space="0" w:color="auto"/>
              <w:right w:val="dotted" w:sz="4" w:space="0" w:color="000000"/>
            </w:tcBorders>
            <w:vAlign w:val="center"/>
            <w:hideMark/>
          </w:tcPr>
          <w:p w14:paraId="0A3879A6"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Moneda de presentación de fuente de información</w:t>
            </w:r>
          </w:p>
        </w:tc>
        <w:tc>
          <w:tcPr>
            <w:tcW w:w="1432" w:type="dxa"/>
            <w:tcBorders>
              <w:top w:val="nil"/>
              <w:left w:val="nil"/>
              <w:bottom w:val="dotted" w:sz="4" w:space="0" w:color="auto"/>
              <w:right w:val="dotted" w:sz="4" w:space="0" w:color="auto"/>
            </w:tcBorders>
            <w:vAlign w:val="center"/>
            <w:hideMark/>
          </w:tcPr>
          <w:p w14:paraId="339F8C61"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469" w:type="dxa"/>
            <w:tcBorders>
              <w:top w:val="nil"/>
              <w:left w:val="nil"/>
              <w:bottom w:val="dotted" w:sz="4" w:space="0" w:color="auto"/>
              <w:right w:val="dotted" w:sz="4" w:space="0" w:color="auto"/>
            </w:tcBorders>
            <w:noWrap/>
            <w:vAlign w:val="center"/>
            <w:hideMark/>
          </w:tcPr>
          <w:p w14:paraId="0AD92C20"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50</w:t>
            </w:r>
          </w:p>
        </w:tc>
        <w:tc>
          <w:tcPr>
            <w:tcW w:w="4831" w:type="dxa"/>
            <w:tcBorders>
              <w:top w:val="nil"/>
              <w:left w:val="nil"/>
              <w:bottom w:val="dotted" w:sz="4" w:space="0" w:color="auto"/>
              <w:right w:val="dotted" w:sz="4" w:space="0" w:color="auto"/>
            </w:tcBorders>
            <w:vAlign w:val="center"/>
            <w:hideMark/>
          </w:tcPr>
          <w:p w14:paraId="487E74A8"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Moneda de presentación de los estados financieros. En caso la fuente de información sea SUNAT, se deberá dejar el campo vacío.</w:t>
            </w:r>
            <w:r w:rsidRPr="008F221C">
              <w:rPr>
                <w:rFonts w:ascii="Arial Narrow" w:eastAsia="Times New Roman" w:hAnsi="Arial Narrow" w:cs="Arial"/>
                <w:kern w:val="0"/>
                <w:sz w:val="18"/>
                <w:szCs w:val="18"/>
                <w:lang w:eastAsia="es-PE"/>
                <w14:ligatures w14:val="none"/>
              </w:rPr>
              <w:br/>
            </w:r>
            <w:r w:rsidRPr="008F221C">
              <w:rPr>
                <w:rFonts w:ascii="Arial Narrow" w:eastAsia="Times New Roman" w:hAnsi="Arial Narrow" w:cs="Arial"/>
                <w:b/>
                <w:bCs/>
                <w:kern w:val="0"/>
                <w:sz w:val="18"/>
                <w:szCs w:val="18"/>
                <w:lang w:eastAsia="es-PE"/>
                <w14:ligatures w14:val="none"/>
              </w:rPr>
              <w:t>PEN:</w:t>
            </w:r>
            <w:r w:rsidRPr="008F221C">
              <w:rPr>
                <w:rFonts w:ascii="Arial Narrow" w:eastAsia="Times New Roman" w:hAnsi="Arial Narrow" w:cs="Arial"/>
                <w:kern w:val="0"/>
                <w:sz w:val="18"/>
                <w:szCs w:val="18"/>
                <w:lang w:eastAsia="es-PE"/>
                <w14:ligatures w14:val="none"/>
              </w:rPr>
              <w:t xml:space="preserve"> Sol     </w:t>
            </w:r>
            <w:r w:rsidRPr="008F221C">
              <w:rPr>
                <w:rFonts w:ascii="Arial Narrow" w:eastAsia="Times New Roman" w:hAnsi="Arial Narrow" w:cs="Arial"/>
                <w:b/>
                <w:bCs/>
                <w:kern w:val="0"/>
                <w:sz w:val="18"/>
                <w:szCs w:val="18"/>
                <w:lang w:eastAsia="es-PE"/>
                <w14:ligatures w14:val="none"/>
              </w:rPr>
              <w:t xml:space="preserve">USD:  </w:t>
            </w:r>
            <w:proofErr w:type="gramStart"/>
            <w:r w:rsidRPr="008F221C">
              <w:rPr>
                <w:rFonts w:ascii="Arial Narrow" w:eastAsia="Times New Roman" w:hAnsi="Arial Narrow" w:cs="Arial"/>
                <w:kern w:val="0"/>
                <w:sz w:val="18"/>
                <w:szCs w:val="18"/>
                <w:lang w:eastAsia="es-PE"/>
                <w14:ligatures w14:val="none"/>
              </w:rPr>
              <w:t>Dólar</w:t>
            </w:r>
            <w:proofErr w:type="gramEnd"/>
            <w:r w:rsidRPr="008F221C">
              <w:rPr>
                <w:rFonts w:ascii="Arial Narrow" w:eastAsia="Times New Roman" w:hAnsi="Arial Narrow" w:cs="Arial"/>
                <w:kern w:val="0"/>
                <w:sz w:val="18"/>
                <w:szCs w:val="18"/>
                <w:lang w:eastAsia="es-PE"/>
                <w14:ligatures w14:val="none"/>
              </w:rPr>
              <w:t xml:space="preserve"> estadounidense</w:t>
            </w:r>
          </w:p>
        </w:tc>
      </w:tr>
      <w:tr w:rsidR="008F221C" w:rsidRPr="008F221C" w14:paraId="34487449" w14:textId="77777777" w:rsidTr="009432D4">
        <w:trPr>
          <w:trHeight w:val="752"/>
        </w:trPr>
        <w:tc>
          <w:tcPr>
            <w:tcW w:w="1654" w:type="dxa"/>
            <w:gridSpan w:val="2"/>
            <w:tcBorders>
              <w:top w:val="dotted" w:sz="4" w:space="0" w:color="auto"/>
              <w:left w:val="dotted" w:sz="4" w:space="0" w:color="auto"/>
              <w:bottom w:val="nil"/>
              <w:right w:val="dotted" w:sz="4" w:space="0" w:color="000000"/>
            </w:tcBorders>
            <w:noWrap/>
            <w:vAlign w:val="center"/>
            <w:hideMark/>
          </w:tcPr>
          <w:p w14:paraId="70C3D3B0"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Cuentas del Activo</w:t>
            </w:r>
          </w:p>
        </w:tc>
        <w:tc>
          <w:tcPr>
            <w:tcW w:w="1432" w:type="dxa"/>
            <w:tcBorders>
              <w:top w:val="nil"/>
              <w:left w:val="nil"/>
              <w:bottom w:val="dotted" w:sz="4" w:space="0" w:color="auto"/>
              <w:right w:val="dotted" w:sz="4" w:space="0" w:color="auto"/>
            </w:tcBorders>
            <w:vAlign w:val="center"/>
            <w:hideMark/>
          </w:tcPr>
          <w:p w14:paraId="239D01AC"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Efectivo, equivalente de efectivo</w:t>
            </w:r>
          </w:p>
        </w:tc>
        <w:tc>
          <w:tcPr>
            <w:tcW w:w="469" w:type="dxa"/>
            <w:tcBorders>
              <w:top w:val="nil"/>
              <w:left w:val="nil"/>
              <w:bottom w:val="dotted" w:sz="4" w:space="0" w:color="auto"/>
              <w:right w:val="dotted" w:sz="4" w:space="0" w:color="auto"/>
            </w:tcBorders>
            <w:noWrap/>
            <w:vAlign w:val="center"/>
            <w:hideMark/>
          </w:tcPr>
          <w:p w14:paraId="5955EB57"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60</w:t>
            </w:r>
          </w:p>
        </w:tc>
        <w:tc>
          <w:tcPr>
            <w:tcW w:w="4831" w:type="dxa"/>
            <w:tcBorders>
              <w:top w:val="nil"/>
              <w:left w:val="nil"/>
              <w:bottom w:val="dotted" w:sz="4" w:space="0" w:color="auto"/>
              <w:right w:val="dotted" w:sz="4" w:space="0" w:color="auto"/>
            </w:tcBorders>
            <w:vAlign w:val="center"/>
            <w:hideMark/>
          </w:tcPr>
          <w:p w14:paraId="503249DD"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Caja, bancos, depósitos, valores negociables, inversiones financieras.</w:t>
            </w:r>
          </w:p>
        </w:tc>
      </w:tr>
      <w:tr w:rsidR="008F221C" w:rsidRPr="008F221C" w14:paraId="72A0AE24" w14:textId="77777777" w:rsidTr="008F221C">
        <w:trPr>
          <w:trHeight w:val="892"/>
        </w:trPr>
        <w:tc>
          <w:tcPr>
            <w:tcW w:w="436" w:type="dxa"/>
            <w:tcBorders>
              <w:top w:val="nil"/>
              <w:left w:val="dotted" w:sz="4" w:space="0" w:color="auto"/>
              <w:bottom w:val="nil"/>
              <w:right w:val="single" w:sz="4" w:space="0" w:color="FFFFFF"/>
            </w:tcBorders>
            <w:noWrap/>
            <w:vAlign w:val="center"/>
            <w:hideMark/>
          </w:tcPr>
          <w:p w14:paraId="5AA1D58E"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218" w:type="dxa"/>
            <w:tcBorders>
              <w:top w:val="nil"/>
              <w:left w:val="single" w:sz="4" w:space="0" w:color="FFFFFF"/>
              <w:bottom w:val="nil"/>
              <w:right w:val="dotted" w:sz="4" w:space="0" w:color="auto"/>
            </w:tcBorders>
            <w:vAlign w:val="center"/>
            <w:hideMark/>
          </w:tcPr>
          <w:p w14:paraId="0D8A9BE7"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432" w:type="dxa"/>
            <w:tcBorders>
              <w:top w:val="nil"/>
              <w:left w:val="nil"/>
              <w:bottom w:val="nil"/>
              <w:right w:val="dotted" w:sz="4" w:space="0" w:color="auto"/>
            </w:tcBorders>
            <w:vAlign w:val="center"/>
            <w:hideMark/>
          </w:tcPr>
          <w:p w14:paraId="198BB54D"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Cuentas por cobrar comerciales corrientes</w:t>
            </w:r>
          </w:p>
        </w:tc>
        <w:tc>
          <w:tcPr>
            <w:tcW w:w="469" w:type="dxa"/>
            <w:tcBorders>
              <w:top w:val="nil"/>
              <w:left w:val="nil"/>
              <w:bottom w:val="nil"/>
              <w:right w:val="dotted" w:sz="4" w:space="0" w:color="auto"/>
            </w:tcBorders>
            <w:noWrap/>
            <w:vAlign w:val="center"/>
            <w:hideMark/>
          </w:tcPr>
          <w:p w14:paraId="1FB71049"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70</w:t>
            </w:r>
          </w:p>
        </w:tc>
        <w:tc>
          <w:tcPr>
            <w:tcW w:w="4831" w:type="dxa"/>
            <w:tcBorders>
              <w:top w:val="nil"/>
              <w:left w:val="nil"/>
              <w:bottom w:val="nil"/>
              <w:right w:val="dotted" w:sz="4" w:space="0" w:color="auto"/>
            </w:tcBorders>
            <w:vAlign w:val="center"/>
            <w:hideMark/>
          </w:tcPr>
          <w:p w14:paraId="4CF874AB"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Son las cuentas por cobrar originadas en transacciones comerciales con terceros y partes relacionadas. Representan derechos de cobro derivados de la venta de bienes y/o prestación de servicios en el curso normal de las operaciones de la empresa. Se consideran activos corrientes cuando su exigibilidad es en el corto plazo, generalmente en un plazo menor a un año. Como ejemplo se tienen a las facturas pendientes de cobro por ventas de bienes o servicios.</w:t>
            </w:r>
          </w:p>
        </w:tc>
      </w:tr>
      <w:tr w:rsidR="008F221C" w:rsidRPr="008F221C" w14:paraId="5D6C255E" w14:textId="77777777" w:rsidTr="008F221C">
        <w:trPr>
          <w:trHeight w:val="758"/>
        </w:trPr>
        <w:tc>
          <w:tcPr>
            <w:tcW w:w="436" w:type="dxa"/>
            <w:tcBorders>
              <w:top w:val="nil"/>
              <w:left w:val="dotted" w:sz="4" w:space="0" w:color="auto"/>
              <w:bottom w:val="nil"/>
              <w:right w:val="single" w:sz="4" w:space="0" w:color="FFFFFF"/>
            </w:tcBorders>
            <w:noWrap/>
            <w:vAlign w:val="center"/>
            <w:hideMark/>
          </w:tcPr>
          <w:p w14:paraId="19459C1B"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218" w:type="dxa"/>
            <w:tcBorders>
              <w:top w:val="nil"/>
              <w:left w:val="single" w:sz="4" w:space="0" w:color="FFFFFF"/>
              <w:bottom w:val="nil"/>
              <w:right w:val="dotted" w:sz="4" w:space="0" w:color="auto"/>
            </w:tcBorders>
            <w:vAlign w:val="center"/>
            <w:hideMark/>
          </w:tcPr>
          <w:p w14:paraId="1E82898F"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432" w:type="dxa"/>
            <w:tcBorders>
              <w:top w:val="dotted" w:sz="4" w:space="0" w:color="auto"/>
              <w:left w:val="nil"/>
              <w:bottom w:val="nil"/>
              <w:right w:val="dotted" w:sz="4" w:space="0" w:color="auto"/>
            </w:tcBorders>
            <w:vAlign w:val="center"/>
            <w:hideMark/>
          </w:tcPr>
          <w:p w14:paraId="10E3ECF2"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Cuentas por cobrar diversas relacionadas corrientes</w:t>
            </w:r>
          </w:p>
        </w:tc>
        <w:tc>
          <w:tcPr>
            <w:tcW w:w="469" w:type="dxa"/>
            <w:tcBorders>
              <w:top w:val="dotted" w:sz="4" w:space="0" w:color="auto"/>
              <w:left w:val="nil"/>
              <w:bottom w:val="nil"/>
              <w:right w:val="dotted" w:sz="4" w:space="0" w:color="auto"/>
            </w:tcBorders>
            <w:noWrap/>
            <w:vAlign w:val="center"/>
            <w:hideMark/>
          </w:tcPr>
          <w:p w14:paraId="1305CA05"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80</w:t>
            </w:r>
          </w:p>
        </w:tc>
        <w:tc>
          <w:tcPr>
            <w:tcW w:w="4831" w:type="dxa"/>
            <w:tcBorders>
              <w:top w:val="dotted" w:sz="4" w:space="0" w:color="auto"/>
              <w:left w:val="nil"/>
              <w:bottom w:val="nil"/>
              <w:right w:val="dotted" w:sz="4" w:space="0" w:color="auto"/>
            </w:tcBorders>
            <w:vAlign w:val="center"/>
            <w:hideMark/>
          </w:tcPr>
          <w:p w14:paraId="6023EDF1"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Son las cuentas por cobrar a entidades relacionadas por conceptos distintos a las operaciones comerciales habituales. Estas acreencias pueden originarse por préstamos, anticipos, reembolsos pendientes, dividendos u otros conceptos por transacciones no comerciales con partes vinculadas.</w:t>
            </w:r>
          </w:p>
        </w:tc>
      </w:tr>
      <w:tr w:rsidR="008F221C" w:rsidRPr="008F221C" w14:paraId="6B580D42" w14:textId="77777777" w:rsidTr="008F221C">
        <w:trPr>
          <w:trHeight w:val="505"/>
        </w:trPr>
        <w:tc>
          <w:tcPr>
            <w:tcW w:w="436" w:type="dxa"/>
            <w:tcBorders>
              <w:top w:val="nil"/>
              <w:left w:val="dotted" w:sz="4" w:space="0" w:color="auto"/>
              <w:bottom w:val="nil"/>
              <w:right w:val="single" w:sz="4" w:space="0" w:color="FFFFFF"/>
            </w:tcBorders>
            <w:noWrap/>
            <w:vAlign w:val="center"/>
            <w:hideMark/>
          </w:tcPr>
          <w:p w14:paraId="18E279CB"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218" w:type="dxa"/>
            <w:tcBorders>
              <w:top w:val="nil"/>
              <w:left w:val="single" w:sz="4" w:space="0" w:color="FFFFFF"/>
              <w:bottom w:val="nil"/>
              <w:right w:val="dotted" w:sz="4" w:space="0" w:color="auto"/>
            </w:tcBorders>
            <w:vAlign w:val="center"/>
            <w:hideMark/>
          </w:tcPr>
          <w:p w14:paraId="436710C6"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432" w:type="dxa"/>
            <w:tcBorders>
              <w:top w:val="dotted" w:sz="4" w:space="0" w:color="auto"/>
              <w:left w:val="nil"/>
              <w:bottom w:val="nil"/>
              <w:right w:val="dotted" w:sz="4" w:space="0" w:color="auto"/>
            </w:tcBorders>
            <w:vAlign w:val="center"/>
            <w:hideMark/>
          </w:tcPr>
          <w:p w14:paraId="63FB6653"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Otras cuentas por cobrar corrientes</w:t>
            </w:r>
          </w:p>
        </w:tc>
        <w:tc>
          <w:tcPr>
            <w:tcW w:w="469" w:type="dxa"/>
            <w:tcBorders>
              <w:top w:val="dotted" w:sz="4" w:space="0" w:color="auto"/>
              <w:left w:val="nil"/>
              <w:bottom w:val="nil"/>
              <w:right w:val="dotted" w:sz="4" w:space="0" w:color="auto"/>
            </w:tcBorders>
            <w:noWrap/>
            <w:vAlign w:val="center"/>
            <w:hideMark/>
          </w:tcPr>
          <w:p w14:paraId="3E917BA8"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90</w:t>
            </w:r>
          </w:p>
        </w:tc>
        <w:tc>
          <w:tcPr>
            <w:tcW w:w="4831" w:type="dxa"/>
            <w:tcBorders>
              <w:top w:val="dotted" w:sz="4" w:space="0" w:color="auto"/>
              <w:left w:val="nil"/>
              <w:bottom w:val="nil"/>
              <w:right w:val="dotted" w:sz="4" w:space="0" w:color="auto"/>
            </w:tcBorders>
            <w:vAlign w:val="center"/>
            <w:hideMark/>
          </w:tcPr>
          <w:p w14:paraId="6E41BF62"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Son cuentas por cobrar que no se originan en actividades comerciales (campo 70) ni están vinculadas a transacciones con partes relacionadas (campo 80). Incluyen acreencias diversas que no están relacionadas con el giro principal del negocio, por ejemplo: cuentas por cobrar al personal, socios, accionistas y directores; cuentas por cobrar diversas a terceros; y cualquier otra cuenta por cobrar no reportada en el campo 70 u 80.</w:t>
            </w:r>
          </w:p>
        </w:tc>
      </w:tr>
      <w:tr w:rsidR="008F221C" w:rsidRPr="008F221C" w14:paraId="5EC1CD35" w14:textId="77777777" w:rsidTr="008F221C">
        <w:trPr>
          <w:trHeight w:val="822"/>
        </w:trPr>
        <w:tc>
          <w:tcPr>
            <w:tcW w:w="436" w:type="dxa"/>
            <w:tcBorders>
              <w:top w:val="nil"/>
              <w:left w:val="dotted" w:sz="4" w:space="0" w:color="auto"/>
              <w:bottom w:val="nil"/>
              <w:right w:val="single" w:sz="4" w:space="0" w:color="FFFFFF"/>
            </w:tcBorders>
            <w:noWrap/>
            <w:vAlign w:val="center"/>
            <w:hideMark/>
          </w:tcPr>
          <w:p w14:paraId="2C018428"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 </w:t>
            </w:r>
          </w:p>
        </w:tc>
        <w:tc>
          <w:tcPr>
            <w:tcW w:w="1218" w:type="dxa"/>
            <w:tcBorders>
              <w:top w:val="nil"/>
              <w:left w:val="single" w:sz="4" w:space="0" w:color="FFFFFF"/>
              <w:bottom w:val="nil"/>
              <w:right w:val="dotted" w:sz="4" w:space="0" w:color="auto"/>
            </w:tcBorders>
            <w:vAlign w:val="center"/>
            <w:hideMark/>
          </w:tcPr>
          <w:p w14:paraId="5137AAA7"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432" w:type="dxa"/>
            <w:tcBorders>
              <w:top w:val="dotted" w:sz="4" w:space="0" w:color="auto"/>
              <w:left w:val="nil"/>
              <w:bottom w:val="dotted" w:sz="4" w:space="0" w:color="auto"/>
              <w:right w:val="dotted" w:sz="4" w:space="0" w:color="auto"/>
            </w:tcBorders>
            <w:vAlign w:val="center"/>
            <w:hideMark/>
          </w:tcPr>
          <w:p w14:paraId="5F9AA461"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Existencias</w:t>
            </w:r>
          </w:p>
        </w:tc>
        <w:tc>
          <w:tcPr>
            <w:tcW w:w="469" w:type="dxa"/>
            <w:tcBorders>
              <w:top w:val="dotted" w:sz="4" w:space="0" w:color="auto"/>
              <w:left w:val="nil"/>
              <w:bottom w:val="dotted" w:sz="4" w:space="0" w:color="auto"/>
              <w:right w:val="dotted" w:sz="4" w:space="0" w:color="auto"/>
            </w:tcBorders>
            <w:noWrap/>
            <w:vAlign w:val="center"/>
            <w:hideMark/>
          </w:tcPr>
          <w:p w14:paraId="4AA103AA"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100</w:t>
            </w:r>
          </w:p>
        </w:tc>
        <w:tc>
          <w:tcPr>
            <w:tcW w:w="4831" w:type="dxa"/>
            <w:tcBorders>
              <w:top w:val="dotted" w:sz="4" w:space="0" w:color="auto"/>
              <w:left w:val="nil"/>
              <w:bottom w:val="dotted" w:sz="4" w:space="0" w:color="auto"/>
              <w:right w:val="dotted" w:sz="4" w:space="0" w:color="auto"/>
            </w:tcBorders>
            <w:vAlign w:val="center"/>
            <w:hideMark/>
          </w:tcPr>
          <w:p w14:paraId="1E167637"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proofErr w:type="gramStart"/>
            <w:r w:rsidRPr="008F221C">
              <w:rPr>
                <w:rFonts w:ascii="Arial Narrow" w:eastAsia="Times New Roman" w:hAnsi="Arial Narrow" w:cs="Arial"/>
                <w:kern w:val="0"/>
                <w:sz w:val="18"/>
                <w:szCs w:val="18"/>
                <w:lang w:eastAsia="es-PE"/>
                <w14:ligatures w14:val="none"/>
              </w:rPr>
              <w:t>Total</w:t>
            </w:r>
            <w:proofErr w:type="gramEnd"/>
            <w:r w:rsidRPr="008F221C">
              <w:rPr>
                <w:rFonts w:ascii="Arial Narrow" w:eastAsia="Times New Roman" w:hAnsi="Arial Narrow" w:cs="Arial"/>
                <w:kern w:val="0"/>
                <w:sz w:val="18"/>
                <w:szCs w:val="18"/>
                <w:lang w:eastAsia="es-PE"/>
                <w14:ligatures w14:val="none"/>
              </w:rPr>
              <w:t xml:space="preserve"> de existencias, lo cual incluye productos terminados, productos en proceso, materia prima, existencias por recibir, etc. En caso existan activos biológicos, solo se debe considerar como existencias los productos terminados.</w:t>
            </w:r>
          </w:p>
        </w:tc>
      </w:tr>
      <w:tr w:rsidR="008F221C" w:rsidRPr="008F221C" w14:paraId="5936A9D1" w14:textId="77777777" w:rsidTr="008F221C">
        <w:trPr>
          <w:trHeight w:val="758"/>
        </w:trPr>
        <w:tc>
          <w:tcPr>
            <w:tcW w:w="436" w:type="dxa"/>
            <w:tcBorders>
              <w:top w:val="nil"/>
              <w:left w:val="dotted" w:sz="4" w:space="0" w:color="auto"/>
              <w:bottom w:val="nil"/>
              <w:right w:val="single" w:sz="4" w:space="0" w:color="FFFFFF"/>
            </w:tcBorders>
            <w:noWrap/>
            <w:vAlign w:val="center"/>
            <w:hideMark/>
          </w:tcPr>
          <w:p w14:paraId="4BEA510E"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 </w:t>
            </w:r>
          </w:p>
        </w:tc>
        <w:tc>
          <w:tcPr>
            <w:tcW w:w="1218" w:type="dxa"/>
            <w:tcBorders>
              <w:top w:val="nil"/>
              <w:left w:val="single" w:sz="4" w:space="0" w:color="FFFFFF"/>
              <w:bottom w:val="nil"/>
              <w:right w:val="dotted" w:sz="4" w:space="0" w:color="auto"/>
            </w:tcBorders>
            <w:vAlign w:val="center"/>
            <w:hideMark/>
          </w:tcPr>
          <w:p w14:paraId="77346804"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432" w:type="dxa"/>
            <w:tcBorders>
              <w:top w:val="nil"/>
              <w:left w:val="nil"/>
              <w:bottom w:val="dotted" w:sz="4" w:space="0" w:color="auto"/>
              <w:right w:val="dotted" w:sz="4" w:space="0" w:color="auto"/>
            </w:tcBorders>
            <w:vAlign w:val="center"/>
            <w:hideMark/>
          </w:tcPr>
          <w:p w14:paraId="30874ACE"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Otros activos corrientes</w:t>
            </w:r>
          </w:p>
        </w:tc>
        <w:tc>
          <w:tcPr>
            <w:tcW w:w="469" w:type="dxa"/>
            <w:tcBorders>
              <w:top w:val="nil"/>
              <w:left w:val="nil"/>
              <w:bottom w:val="dotted" w:sz="4" w:space="0" w:color="auto"/>
              <w:right w:val="dotted" w:sz="4" w:space="0" w:color="auto"/>
            </w:tcBorders>
            <w:noWrap/>
            <w:vAlign w:val="center"/>
            <w:hideMark/>
          </w:tcPr>
          <w:p w14:paraId="514D834C"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110</w:t>
            </w:r>
          </w:p>
        </w:tc>
        <w:tc>
          <w:tcPr>
            <w:tcW w:w="4831" w:type="dxa"/>
            <w:tcBorders>
              <w:top w:val="nil"/>
              <w:left w:val="nil"/>
              <w:bottom w:val="dotted" w:sz="4" w:space="0" w:color="auto"/>
              <w:right w:val="dotted" w:sz="4" w:space="0" w:color="auto"/>
            </w:tcBorders>
            <w:vAlign w:val="center"/>
            <w:hideMark/>
          </w:tcPr>
          <w:p w14:paraId="25B2D8DF"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Comprende los saldos de otros rubros del activo corriente no incluidos anteriormente, por ejemplo: las cargas diferidas, activos no corrientes mantenidos para la venta, activos biológicos sin considerar productos terminados y depósitos en garantía</w:t>
            </w:r>
          </w:p>
        </w:tc>
      </w:tr>
      <w:tr w:rsidR="008F221C" w:rsidRPr="008F221C" w14:paraId="124AD22D" w14:textId="77777777" w:rsidTr="008F221C">
        <w:trPr>
          <w:trHeight w:val="547"/>
        </w:trPr>
        <w:tc>
          <w:tcPr>
            <w:tcW w:w="436" w:type="dxa"/>
            <w:tcBorders>
              <w:top w:val="nil"/>
              <w:left w:val="dotted" w:sz="4" w:space="0" w:color="auto"/>
              <w:bottom w:val="nil"/>
              <w:right w:val="single" w:sz="4" w:space="0" w:color="FFFFFF"/>
            </w:tcBorders>
            <w:noWrap/>
            <w:vAlign w:val="center"/>
            <w:hideMark/>
          </w:tcPr>
          <w:p w14:paraId="211DA9B8"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 </w:t>
            </w:r>
          </w:p>
        </w:tc>
        <w:tc>
          <w:tcPr>
            <w:tcW w:w="1218" w:type="dxa"/>
            <w:tcBorders>
              <w:top w:val="nil"/>
              <w:left w:val="single" w:sz="4" w:space="0" w:color="FFFFFF"/>
              <w:bottom w:val="nil"/>
              <w:right w:val="dotted" w:sz="4" w:space="0" w:color="auto"/>
            </w:tcBorders>
            <w:vAlign w:val="center"/>
            <w:hideMark/>
          </w:tcPr>
          <w:p w14:paraId="0A04B5D0"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432" w:type="dxa"/>
            <w:tcBorders>
              <w:top w:val="nil"/>
              <w:left w:val="nil"/>
              <w:bottom w:val="dotted" w:sz="4" w:space="0" w:color="auto"/>
              <w:right w:val="dotted" w:sz="4" w:space="0" w:color="auto"/>
            </w:tcBorders>
            <w:vAlign w:val="center"/>
            <w:hideMark/>
          </w:tcPr>
          <w:p w14:paraId="71BFA85A"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Activo corriente</w:t>
            </w:r>
          </w:p>
        </w:tc>
        <w:tc>
          <w:tcPr>
            <w:tcW w:w="469" w:type="dxa"/>
            <w:tcBorders>
              <w:top w:val="nil"/>
              <w:left w:val="nil"/>
              <w:bottom w:val="dotted" w:sz="4" w:space="0" w:color="auto"/>
              <w:right w:val="dotted" w:sz="4" w:space="0" w:color="auto"/>
            </w:tcBorders>
            <w:noWrap/>
            <w:vAlign w:val="center"/>
            <w:hideMark/>
          </w:tcPr>
          <w:p w14:paraId="60AA82F3"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120</w:t>
            </w:r>
          </w:p>
        </w:tc>
        <w:tc>
          <w:tcPr>
            <w:tcW w:w="4831" w:type="dxa"/>
            <w:tcBorders>
              <w:top w:val="nil"/>
              <w:left w:val="nil"/>
              <w:bottom w:val="dotted" w:sz="4" w:space="0" w:color="auto"/>
              <w:right w:val="dotted" w:sz="4" w:space="0" w:color="auto"/>
            </w:tcBorders>
            <w:vAlign w:val="center"/>
            <w:hideMark/>
          </w:tcPr>
          <w:p w14:paraId="086E80AB"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 xml:space="preserve">Deberán incluirse los saldos que se consideren como activo corriente del deudor. Debe corresponder a la suma de las </w:t>
            </w:r>
            <w:proofErr w:type="gramStart"/>
            <w:r w:rsidRPr="008F221C">
              <w:rPr>
                <w:rFonts w:ascii="Arial Narrow" w:eastAsia="Times New Roman" w:hAnsi="Arial Narrow" w:cs="Arial"/>
                <w:kern w:val="0"/>
                <w:sz w:val="18"/>
                <w:szCs w:val="18"/>
                <w:lang w:eastAsia="es-PE"/>
                <w14:ligatures w14:val="none"/>
              </w:rPr>
              <w:t>columnas  60</w:t>
            </w:r>
            <w:proofErr w:type="gramEnd"/>
            <w:r w:rsidRPr="008F221C">
              <w:rPr>
                <w:rFonts w:ascii="Arial Narrow" w:eastAsia="Times New Roman" w:hAnsi="Arial Narrow" w:cs="Arial"/>
                <w:kern w:val="0"/>
                <w:sz w:val="18"/>
                <w:szCs w:val="18"/>
                <w:lang w:eastAsia="es-PE"/>
                <w14:ligatures w14:val="none"/>
              </w:rPr>
              <w:t>+70+80+90+100+110.</w:t>
            </w:r>
          </w:p>
        </w:tc>
      </w:tr>
      <w:tr w:rsidR="008F221C" w:rsidRPr="008F221C" w14:paraId="7900BF40" w14:textId="77777777" w:rsidTr="008F221C">
        <w:trPr>
          <w:trHeight w:val="833"/>
        </w:trPr>
        <w:tc>
          <w:tcPr>
            <w:tcW w:w="436" w:type="dxa"/>
            <w:tcBorders>
              <w:top w:val="nil"/>
              <w:left w:val="dotted" w:sz="4" w:space="0" w:color="auto"/>
              <w:bottom w:val="nil"/>
              <w:right w:val="single" w:sz="4" w:space="0" w:color="FFFFFF"/>
            </w:tcBorders>
            <w:noWrap/>
            <w:vAlign w:val="center"/>
            <w:hideMark/>
          </w:tcPr>
          <w:p w14:paraId="5B6DC8B6"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lastRenderedPageBreak/>
              <w:t> </w:t>
            </w:r>
          </w:p>
        </w:tc>
        <w:tc>
          <w:tcPr>
            <w:tcW w:w="1218" w:type="dxa"/>
            <w:tcBorders>
              <w:top w:val="nil"/>
              <w:left w:val="single" w:sz="4" w:space="0" w:color="FFFFFF"/>
              <w:bottom w:val="nil"/>
              <w:right w:val="dotted" w:sz="4" w:space="0" w:color="auto"/>
            </w:tcBorders>
            <w:vAlign w:val="center"/>
            <w:hideMark/>
          </w:tcPr>
          <w:p w14:paraId="1DB9C915"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432" w:type="dxa"/>
            <w:tcBorders>
              <w:top w:val="nil"/>
              <w:left w:val="nil"/>
              <w:bottom w:val="nil"/>
              <w:right w:val="dotted" w:sz="4" w:space="0" w:color="auto"/>
            </w:tcBorders>
            <w:vAlign w:val="center"/>
            <w:hideMark/>
          </w:tcPr>
          <w:p w14:paraId="7B63F1BC"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Cuentas por cobrar comerciales no corrientes</w:t>
            </w:r>
          </w:p>
        </w:tc>
        <w:tc>
          <w:tcPr>
            <w:tcW w:w="469" w:type="dxa"/>
            <w:tcBorders>
              <w:top w:val="nil"/>
              <w:left w:val="nil"/>
              <w:bottom w:val="nil"/>
              <w:right w:val="dotted" w:sz="4" w:space="0" w:color="auto"/>
            </w:tcBorders>
            <w:noWrap/>
            <w:vAlign w:val="center"/>
            <w:hideMark/>
          </w:tcPr>
          <w:p w14:paraId="443DA199"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130</w:t>
            </w:r>
          </w:p>
        </w:tc>
        <w:tc>
          <w:tcPr>
            <w:tcW w:w="4831" w:type="dxa"/>
            <w:tcBorders>
              <w:top w:val="nil"/>
              <w:left w:val="nil"/>
              <w:bottom w:val="nil"/>
              <w:right w:val="dotted" w:sz="4" w:space="0" w:color="auto"/>
            </w:tcBorders>
            <w:vAlign w:val="center"/>
            <w:hideMark/>
          </w:tcPr>
          <w:p w14:paraId="0B6D3E6E"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Son cuentas por cobrar originadas en transacciones comerciales con terceros y partes relacionadas, cuya exigibilidad excede el ciclo normal de operaciones o un plazo mayor a un año. Como ejemplo se tienen a las facturas pendientes de cobro por ventas de bienes o servicios con plazos mayores a un año.</w:t>
            </w:r>
          </w:p>
        </w:tc>
      </w:tr>
      <w:tr w:rsidR="008F221C" w:rsidRPr="008F221C" w14:paraId="15BEEBF0" w14:textId="77777777" w:rsidTr="008F221C">
        <w:trPr>
          <w:trHeight w:val="833"/>
        </w:trPr>
        <w:tc>
          <w:tcPr>
            <w:tcW w:w="436" w:type="dxa"/>
            <w:tcBorders>
              <w:top w:val="nil"/>
              <w:left w:val="dotted" w:sz="4" w:space="0" w:color="auto"/>
              <w:bottom w:val="nil"/>
              <w:right w:val="single" w:sz="4" w:space="0" w:color="FFFFFF"/>
            </w:tcBorders>
            <w:noWrap/>
            <w:vAlign w:val="center"/>
            <w:hideMark/>
          </w:tcPr>
          <w:p w14:paraId="2CB5EA6B"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 </w:t>
            </w:r>
          </w:p>
        </w:tc>
        <w:tc>
          <w:tcPr>
            <w:tcW w:w="1218" w:type="dxa"/>
            <w:tcBorders>
              <w:top w:val="nil"/>
              <w:left w:val="single" w:sz="4" w:space="0" w:color="FFFFFF"/>
              <w:bottom w:val="nil"/>
              <w:right w:val="dotted" w:sz="4" w:space="0" w:color="auto"/>
            </w:tcBorders>
            <w:vAlign w:val="center"/>
            <w:hideMark/>
          </w:tcPr>
          <w:p w14:paraId="59EEE190"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432" w:type="dxa"/>
            <w:tcBorders>
              <w:top w:val="dotted" w:sz="4" w:space="0" w:color="auto"/>
              <w:left w:val="nil"/>
              <w:bottom w:val="nil"/>
              <w:right w:val="dotted" w:sz="4" w:space="0" w:color="auto"/>
            </w:tcBorders>
            <w:vAlign w:val="center"/>
            <w:hideMark/>
          </w:tcPr>
          <w:p w14:paraId="3C503139"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Cuentas por cobrar diversas relacionadas no corrientes</w:t>
            </w:r>
          </w:p>
        </w:tc>
        <w:tc>
          <w:tcPr>
            <w:tcW w:w="469" w:type="dxa"/>
            <w:tcBorders>
              <w:top w:val="dotted" w:sz="4" w:space="0" w:color="auto"/>
              <w:left w:val="nil"/>
              <w:bottom w:val="nil"/>
              <w:right w:val="dotted" w:sz="4" w:space="0" w:color="auto"/>
            </w:tcBorders>
            <w:noWrap/>
            <w:vAlign w:val="center"/>
            <w:hideMark/>
          </w:tcPr>
          <w:p w14:paraId="6B7D1E5D"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140</w:t>
            </w:r>
          </w:p>
        </w:tc>
        <w:tc>
          <w:tcPr>
            <w:tcW w:w="4831" w:type="dxa"/>
            <w:tcBorders>
              <w:top w:val="dotted" w:sz="4" w:space="0" w:color="auto"/>
              <w:left w:val="nil"/>
              <w:bottom w:val="nil"/>
              <w:right w:val="dotted" w:sz="4" w:space="0" w:color="auto"/>
            </w:tcBorders>
            <w:vAlign w:val="center"/>
            <w:hideMark/>
          </w:tcPr>
          <w:p w14:paraId="3A02BAA4"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Son cuentas por cobrar a entidades relacionadas por conceptos distintos a las operaciones comerciales habituales, cuya exigibilidad es a largo plazo. Estas acreencias pueden originarse por préstamos, anticipos, reembolsos pendientes o dividendos por cobrar, entre otras transacciones no operativas.</w:t>
            </w:r>
          </w:p>
        </w:tc>
      </w:tr>
      <w:tr w:rsidR="008F221C" w:rsidRPr="008F221C" w14:paraId="7084C189" w14:textId="77777777" w:rsidTr="008F221C">
        <w:trPr>
          <w:trHeight w:val="547"/>
        </w:trPr>
        <w:tc>
          <w:tcPr>
            <w:tcW w:w="436" w:type="dxa"/>
            <w:tcBorders>
              <w:top w:val="nil"/>
              <w:left w:val="dotted" w:sz="4" w:space="0" w:color="auto"/>
              <w:bottom w:val="nil"/>
              <w:right w:val="single" w:sz="4" w:space="0" w:color="FFFFFF"/>
            </w:tcBorders>
            <w:noWrap/>
            <w:vAlign w:val="center"/>
            <w:hideMark/>
          </w:tcPr>
          <w:p w14:paraId="586E1F2B"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 </w:t>
            </w:r>
          </w:p>
        </w:tc>
        <w:tc>
          <w:tcPr>
            <w:tcW w:w="1218" w:type="dxa"/>
            <w:tcBorders>
              <w:top w:val="nil"/>
              <w:left w:val="single" w:sz="4" w:space="0" w:color="FFFFFF"/>
              <w:bottom w:val="nil"/>
              <w:right w:val="dotted" w:sz="4" w:space="0" w:color="auto"/>
            </w:tcBorders>
            <w:vAlign w:val="center"/>
            <w:hideMark/>
          </w:tcPr>
          <w:p w14:paraId="13AE8B51"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432" w:type="dxa"/>
            <w:tcBorders>
              <w:top w:val="dotted" w:sz="4" w:space="0" w:color="auto"/>
              <w:left w:val="nil"/>
              <w:bottom w:val="nil"/>
              <w:right w:val="dotted" w:sz="4" w:space="0" w:color="auto"/>
            </w:tcBorders>
            <w:vAlign w:val="center"/>
            <w:hideMark/>
          </w:tcPr>
          <w:p w14:paraId="2A235BF9"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Inversiones</w:t>
            </w:r>
          </w:p>
        </w:tc>
        <w:tc>
          <w:tcPr>
            <w:tcW w:w="469" w:type="dxa"/>
            <w:tcBorders>
              <w:top w:val="dotted" w:sz="4" w:space="0" w:color="auto"/>
              <w:left w:val="nil"/>
              <w:bottom w:val="nil"/>
              <w:right w:val="dotted" w:sz="4" w:space="0" w:color="auto"/>
            </w:tcBorders>
            <w:noWrap/>
            <w:vAlign w:val="center"/>
            <w:hideMark/>
          </w:tcPr>
          <w:p w14:paraId="298C261E"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150</w:t>
            </w:r>
          </w:p>
        </w:tc>
        <w:tc>
          <w:tcPr>
            <w:tcW w:w="4831" w:type="dxa"/>
            <w:tcBorders>
              <w:top w:val="dotted" w:sz="4" w:space="0" w:color="auto"/>
              <w:left w:val="nil"/>
              <w:bottom w:val="nil"/>
              <w:right w:val="dotted" w:sz="4" w:space="0" w:color="auto"/>
            </w:tcBorders>
            <w:vAlign w:val="center"/>
            <w:hideMark/>
          </w:tcPr>
          <w:p w14:paraId="009F0B65"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Inversiones en valores, inversiones en relacionadas, inversiones inmobiliarias y otras inversiones.</w:t>
            </w:r>
          </w:p>
        </w:tc>
      </w:tr>
      <w:tr w:rsidR="008F221C" w:rsidRPr="008F221C" w14:paraId="1EDAAFCE" w14:textId="77777777" w:rsidTr="008F221C">
        <w:trPr>
          <w:trHeight w:val="607"/>
        </w:trPr>
        <w:tc>
          <w:tcPr>
            <w:tcW w:w="436" w:type="dxa"/>
            <w:tcBorders>
              <w:top w:val="nil"/>
              <w:left w:val="dotted" w:sz="4" w:space="0" w:color="auto"/>
              <w:bottom w:val="nil"/>
              <w:right w:val="single" w:sz="4" w:space="0" w:color="FFFFFF"/>
            </w:tcBorders>
            <w:noWrap/>
            <w:vAlign w:val="center"/>
            <w:hideMark/>
          </w:tcPr>
          <w:p w14:paraId="3001862E"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 </w:t>
            </w:r>
          </w:p>
        </w:tc>
        <w:tc>
          <w:tcPr>
            <w:tcW w:w="1218" w:type="dxa"/>
            <w:tcBorders>
              <w:top w:val="nil"/>
              <w:left w:val="single" w:sz="4" w:space="0" w:color="FFFFFF"/>
              <w:bottom w:val="nil"/>
              <w:right w:val="dotted" w:sz="4" w:space="0" w:color="auto"/>
            </w:tcBorders>
            <w:vAlign w:val="center"/>
            <w:hideMark/>
          </w:tcPr>
          <w:p w14:paraId="458556D2"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432" w:type="dxa"/>
            <w:tcBorders>
              <w:top w:val="dotted" w:sz="4" w:space="0" w:color="auto"/>
              <w:left w:val="nil"/>
              <w:bottom w:val="nil"/>
              <w:right w:val="dotted" w:sz="4" w:space="0" w:color="auto"/>
            </w:tcBorders>
            <w:vAlign w:val="center"/>
            <w:hideMark/>
          </w:tcPr>
          <w:p w14:paraId="27609467"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Propiedades, planta y equipo</w:t>
            </w:r>
          </w:p>
        </w:tc>
        <w:tc>
          <w:tcPr>
            <w:tcW w:w="469" w:type="dxa"/>
            <w:tcBorders>
              <w:top w:val="dotted" w:sz="4" w:space="0" w:color="auto"/>
              <w:left w:val="nil"/>
              <w:bottom w:val="dotted" w:sz="4" w:space="0" w:color="auto"/>
              <w:right w:val="dotted" w:sz="4" w:space="0" w:color="auto"/>
            </w:tcBorders>
            <w:noWrap/>
            <w:vAlign w:val="center"/>
            <w:hideMark/>
          </w:tcPr>
          <w:p w14:paraId="3F29EC4A"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160</w:t>
            </w:r>
          </w:p>
        </w:tc>
        <w:tc>
          <w:tcPr>
            <w:tcW w:w="4831" w:type="dxa"/>
            <w:tcBorders>
              <w:top w:val="dotted" w:sz="4" w:space="0" w:color="auto"/>
              <w:left w:val="nil"/>
              <w:bottom w:val="nil"/>
              <w:right w:val="dotted" w:sz="4" w:space="0" w:color="auto"/>
            </w:tcBorders>
            <w:vAlign w:val="center"/>
            <w:hideMark/>
          </w:tcPr>
          <w:p w14:paraId="465AA78D"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Terrenos, inmuebles, maquinarias, equipos diversos, entre otros, neto de depreciación.</w:t>
            </w:r>
          </w:p>
        </w:tc>
      </w:tr>
      <w:tr w:rsidR="008F221C" w:rsidRPr="008F221C" w14:paraId="5CF3D3E3" w14:textId="77777777" w:rsidTr="008F221C">
        <w:trPr>
          <w:trHeight w:val="297"/>
        </w:trPr>
        <w:tc>
          <w:tcPr>
            <w:tcW w:w="436" w:type="dxa"/>
            <w:tcBorders>
              <w:top w:val="nil"/>
              <w:left w:val="dotted" w:sz="4" w:space="0" w:color="auto"/>
              <w:bottom w:val="nil"/>
              <w:right w:val="single" w:sz="4" w:space="0" w:color="FFFFFF"/>
            </w:tcBorders>
            <w:noWrap/>
            <w:vAlign w:val="center"/>
            <w:hideMark/>
          </w:tcPr>
          <w:p w14:paraId="469734AC"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 </w:t>
            </w:r>
          </w:p>
        </w:tc>
        <w:tc>
          <w:tcPr>
            <w:tcW w:w="1218" w:type="dxa"/>
            <w:tcBorders>
              <w:top w:val="nil"/>
              <w:left w:val="single" w:sz="4" w:space="0" w:color="FFFFFF"/>
              <w:bottom w:val="nil"/>
              <w:right w:val="dotted" w:sz="4" w:space="0" w:color="auto"/>
            </w:tcBorders>
            <w:vAlign w:val="center"/>
            <w:hideMark/>
          </w:tcPr>
          <w:p w14:paraId="31CC8539"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432" w:type="dxa"/>
            <w:tcBorders>
              <w:top w:val="dotted" w:sz="4" w:space="0" w:color="auto"/>
              <w:left w:val="nil"/>
              <w:bottom w:val="dotted" w:sz="4" w:space="0" w:color="auto"/>
              <w:right w:val="dotted" w:sz="4" w:space="0" w:color="auto"/>
            </w:tcBorders>
            <w:vAlign w:val="center"/>
            <w:hideMark/>
          </w:tcPr>
          <w:p w14:paraId="0E1FB447"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Intangibles</w:t>
            </w:r>
          </w:p>
        </w:tc>
        <w:tc>
          <w:tcPr>
            <w:tcW w:w="469" w:type="dxa"/>
            <w:tcBorders>
              <w:top w:val="nil"/>
              <w:left w:val="nil"/>
              <w:bottom w:val="nil"/>
              <w:right w:val="dotted" w:sz="4" w:space="0" w:color="auto"/>
            </w:tcBorders>
            <w:noWrap/>
            <w:vAlign w:val="center"/>
            <w:hideMark/>
          </w:tcPr>
          <w:p w14:paraId="7153AFBA"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170</w:t>
            </w:r>
          </w:p>
        </w:tc>
        <w:tc>
          <w:tcPr>
            <w:tcW w:w="4831" w:type="dxa"/>
            <w:tcBorders>
              <w:top w:val="dotted" w:sz="4" w:space="0" w:color="auto"/>
              <w:left w:val="nil"/>
              <w:bottom w:val="dotted" w:sz="4" w:space="0" w:color="auto"/>
              <w:right w:val="dotted" w:sz="4" w:space="0" w:color="auto"/>
            </w:tcBorders>
            <w:vAlign w:val="center"/>
            <w:hideMark/>
          </w:tcPr>
          <w:p w14:paraId="32896BA8"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Cuentas intangibles como “</w:t>
            </w:r>
            <w:proofErr w:type="spellStart"/>
            <w:r w:rsidRPr="008F221C">
              <w:rPr>
                <w:rFonts w:ascii="Arial Narrow" w:eastAsia="Times New Roman" w:hAnsi="Arial Narrow" w:cs="Arial"/>
                <w:i/>
                <w:iCs/>
                <w:kern w:val="0"/>
                <w:sz w:val="18"/>
                <w:szCs w:val="18"/>
                <w:lang w:eastAsia="es-PE"/>
                <w14:ligatures w14:val="none"/>
              </w:rPr>
              <w:t>goodwill</w:t>
            </w:r>
            <w:proofErr w:type="spellEnd"/>
            <w:r w:rsidRPr="008F221C">
              <w:rPr>
                <w:rFonts w:ascii="Arial Narrow" w:eastAsia="Times New Roman" w:hAnsi="Arial Narrow" w:cs="Arial"/>
                <w:kern w:val="0"/>
                <w:sz w:val="18"/>
                <w:szCs w:val="18"/>
                <w:lang w:eastAsia="es-PE"/>
                <w14:ligatures w14:val="none"/>
              </w:rPr>
              <w:t>”, plusvalías, softwares, marcas, patentes, etc.</w:t>
            </w:r>
          </w:p>
        </w:tc>
      </w:tr>
      <w:tr w:rsidR="008F221C" w:rsidRPr="008F221C" w14:paraId="27D085F5" w14:textId="77777777" w:rsidTr="008F221C">
        <w:trPr>
          <w:trHeight w:val="607"/>
        </w:trPr>
        <w:tc>
          <w:tcPr>
            <w:tcW w:w="436" w:type="dxa"/>
            <w:tcBorders>
              <w:top w:val="nil"/>
              <w:left w:val="dotted" w:sz="4" w:space="0" w:color="auto"/>
              <w:bottom w:val="nil"/>
              <w:right w:val="single" w:sz="4" w:space="0" w:color="FFFFFF"/>
            </w:tcBorders>
            <w:noWrap/>
            <w:vAlign w:val="center"/>
            <w:hideMark/>
          </w:tcPr>
          <w:p w14:paraId="11148CBA"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 </w:t>
            </w:r>
          </w:p>
        </w:tc>
        <w:tc>
          <w:tcPr>
            <w:tcW w:w="1218" w:type="dxa"/>
            <w:tcBorders>
              <w:top w:val="nil"/>
              <w:left w:val="single" w:sz="4" w:space="0" w:color="FFFFFF"/>
              <w:bottom w:val="nil"/>
              <w:right w:val="dotted" w:sz="4" w:space="0" w:color="auto"/>
            </w:tcBorders>
            <w:vAlign w:val="center"/>
            <w:hideMark/>
          </w:tcPr>
          <w:p w14:paraId="5C676634"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432" w:type="dxa"/>
            <w:tcBorders>
              <w:top w:val="nil"/>
              <w:left w:val="nil"/>
              <w:bottom w:val="nil"/>
              <w:right w:val="dotted" w:sz="4" w:space="0" w:color="auto"/>
            </w:tcBorders>
            <w:vAlign w:val="center"/>
            <w:hideMark/>
          </w:tcPr>
          <w:p w14:paraId="05C8C04C"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Otros activos no corrientes</w:t>
            </w:r>
          </w:p>
        </w:tc>
        <w:tc>
          <w:tcPr>
            <w:tcW w:w="469" w:type="dxa"/>
            <w:tcBorders>
              <w:top w:val="dotted" w:sz="4" w:space="0" w:color="auto"/>
              <w:left w:val="nil"/>
              <w:bottom w:val="dotted" w:sz="4" w:space="0" w:color="auto"/>
              <w:right w:val="dotted" w:sz="4" w:space="0" w:color="auto"/>
            </w:tcBorders>
            <w:noWrap/>
            <w:vAlign w:val="center"/>
            <w:hideMark/>
          </w:tcPr>
          <w:p w14:paraId="0185CA34"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180</w:t>
            </w:r>
          </w:p>
        </w:tc>
        <w:tc>
          <w:tcPr>
            <w:tcW w:w="4831" w:type="dxa"/>
            <w:tcBorders>
              <w:top w:val="nil"/>
              <w:left w:val="nil"/>
              <w:bottom w:val="nil"/>
              <w:right w:val="dotted" w:sz="4" w:space="0" w:color="auto"/>
            </w:tcBorders>
            <w:vAlign w:val="center"/>
            <w:hideMark/>
          </w:tcPr>
          <w:p w14:paraId="04AACEE9"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Comprende los saldos de otros rubros del activo no corriente no incluidos anteriormente, por ejemplo: las cargas diferidas, activos biológicos, activos por derecho de uso.</w:t>
            </w:r>
          </w:p>
        </w:tc>
      </w:tr>
      <w:tr w:rsidR="008F221C" w:rsidRPr="008F221C" w14:paraId="2F5690AA" w14:textId="77777777" w:rsidTr="008F221C">
        <w:trPr>
          <w:trHeight w:val="535"/>
        </w:trPr>
        <w:tc>
          <w:tcPr>
            <w:tcW w:w="436" w:type="dxa"/>
            <w:tcBorders>
              <w:top w:val="nil"/>
              <w:left w:val="dotted" w:sz="4" w:space="0" w:color="auto"/>
              <w:bottom w:val="nil"/>
              <w:right w:val="single" w:sz="4" w:space="0" w:color="FFFFFF"/>
            </w:tcBorders>
            <w:noWrap/>
            <w:vAlign w:val="center"/>
            <w:hideMark/>
          </w:tcPr>
          <w:p w14:paraId="05AFC7A8"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 </w:t>
            </w:r>
          </w:p>
        </w:tc>
        <w:tc>
          <w:tcPr>
            <w:tcW w:w="1218" w:type="dxa"/>
            <w:tcBorders>
              <w:top w:val="nil"/>
              <w:left w:val="single" w:sz="4" w:space="0" w:color="FFFFFF"/>
              <w:bottom w:val="nil"/>
              <w:right w:val="dotted" w:sz="4" w:space="0" w:color="auto"/>
            </w:tcBorders>
            <w:vAlign w:val="center"/>
            <w:hideMark/>
          </w:tcPr>
          <w:p w14:paraId="438B1C56"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432" w:type="dxa"/>
            <w:tcBorders>
              <w:top w:val="dotted" w:sz="4" w:space="0" w:color="auto"/>
              <w:left w:val="nil"/>
              <w:bottom w:val="dotted" w:sz="4" w:space="0" w:color="auto"/>
              <w:right w:val="dotted" w:sz="4" w:space="0" w:color="auto"/>
            </w:tcBorders>
            <w:vAlign w:val="center"/>
            <w:hideMark/>
          </w:tcPr>
          <w:p w14:paraId="4ACAD616"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Activo no corriente</w:t>
            </w:r>
          </w:p>
        </w:tc>
        <w:tc>
          <w:tcPr>
            <w:tcW w:w="469" w:type="dxa"/>
            <w:tcBorders>
              <w:top w:val="nil"/>
              <w:left w:val="nil"/>
              <w:bottom w:val="dotted" w:sz="4" w:space="0" w:color="auto"/>
              <w:right w:val="dotted" w:sz="4" w:space="0" w:color="auto"/>
            </w:tcBorders>
            <w:noWrap/>
            <w:vAlign w:val="center"/>
            <w:hideMark/>
          </w:tcPr>
          <w:p w14:paraId="6283ED0C"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190</w:t>
            </w:r>
          </w:p>
        </w:tc>
        <w:tc>
          <w:tcPr>
            <w:tcW w:w="4831" w:type="dxa"/>
            <w:tcBorders>
              <w:top w:val="dotted" w:sz="4" w:space="0" w:color="auto"/>
              <w:left w:val="nil"/>
              <w:bottom w:val="dotted" w:sz="4" w:space="0" w:color="auto"/>
              <w:right w:val="dotted" w:sz="4" w:space="0" w:color="auto"/>
            </w:tcBorders>
            <w:vAlign w:val="center"/>
            <w:hideMark/>
          </w:tcPr>
          <w:p w14:paraId="7A29C424"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Deberán incluirse los saldos que se consideren como activo no corriente del deudor. Debe corresponder a la suma de las columnas 130+140+150+160+170+180.</w:t>
            </w:r>
          </w:p>
        </w:tc>
      </w:tr>
      <w:tr w:rsidR="008F221C" w:rsidRPr="008F221C" w14:paraId="5FE82E83" w14:textId="77777777" w:rsidTr="008F221C">
        <w:trPr>
          <w:trHeight w:val="297"/>
        </w:trPr>
        <w:tc>
          <w:tcPr>
            <w:tcW w:w="436" w:type="dxa"/>
            <w:tcBorders>
              <w:top w:val="nil"/>
              <w:left w:val="dotted" w:sz="4" w:space="0" w:color="auto"/>
              <w:bottom w:val="dotted" w:sz="4" w:space="0" w:color="auto"/>
              <w:right w:val="single" w:sz="4" w:space="0" w:color="FFFFFF"/>
            </w:tcBorders>
            <w:noWrap/>
            <w:vAlign w:val="center"/>
            <w:hideMark/>
          </w:tcPr>
          <w:p w14:paraId="26F89FB4"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 </w:t>
            </w:r>
          </w:p>
        </w:tc>
        <w:tc>
          <w:tcPr>
            <w:tcW w:w="1218" w:type="dxa"/>
            <w:tcBorders>
              <w:top w:val="nil"/>
              <w:left w:val="single" w:sz="4" w:space="0" w:color="FFFFFF"/>
              <w:bottom w:val="dotted" w:sz="4" w:space="0" w:color="auto"/>
              <w:right w:val="dotted" w:sz="4" w:space="0" w:color="auto"/>
            </w:tcBorders>
            <w:vAlign w:val="center"/>
            <w:hideMark/>
          </w:tcPr>
          <w:p w14:paraId="2B137CFB"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432" w:type="dxa"/>
            <w:tcBorders>
              <w:top w:val="nil"/>
              <w:left w:val="nil"/>
              <w:bottom w:val="dotted" w:sz="4" w:space="0" w:color="auto"/>
              <w:right w:val="dotted" w:sz="4" w:space="0" w:color="auto"/>
            </w:tcBorders>
            <w:vAlign w:val="center"/>
            <w:hideMark/>
          </w:tcPr>
          <w:p w14:paraId="25AE72B1"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Activos totales</w:t>
            </w:r>
          </w:p>
        </w:tc>
        <w:tc>
          <w:tcPr>
            <w:tcW w:w="469" w:type="dxa"/>
            <w:tcBorders>
              <w:top w:val="nil"/>
              <w:left w:val="nil"/>
              <w:bottom w:val="dotted" w:sz="4" w:space="0" w:color="auto"/>
              <w:right w:val="dotted" w:sz="4" w:space="0" w:color="auto"/>
            </w:tcBorders>
            <w:noWrap/>
            <w:vAlign w:val="center"/>
            <w:hideMark/>
          </w:tcPr>
          <w:p w14:paraId="3072AB0C"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200</w:t>
            </w:r>
          </w:p>
        </w:tc>
        <w:tc>
          <w:tcPr>
            <w:tcW w:w="4831" w:type="dxa"/>
            <w:tcBorders>
              <w:top w:val="nil"/>
              <w:left w:val="nil"/>
              <w:bottom w:val="dotted" w:sz="4" w:space="0" w:color="auto"/>
              <w:right w:val="dotted" w:sz="4" w:space="0" w:color="auto"/>
            </w:tcBorders>
            <w:vAlign w:val="center"/>
            <w:hideMark/>
          </w:tcPr>
          <w:p w14:paraId="3A18AE6C"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Activos totales. Debe corresponder a la suma de las columnas 120+190.</w:t>
            </w:r>
          </w:p>
        </w:tc>
      </w:tr>
      <w:tr w:rsidR="008F221C" w:rsidRPr="008F221C" w14:paraId="67528B45" w14:textId="77777777" w:rsidTr="009432D4">
        <w:trPr>
          <w:trHeight w:val="297"/>
        </w:trPr>
        <w:tc>
          <w:tcPr>
            <w:tcW w:w="1654" w:type="dxa"/>
            <w:gridSpan w:val="2"/>
            <w:tcBorders>
              <w:top w:val="single" w:sz="12" w:space="0" w:color="EAEAEA"/>
              <w:left w:val="single" w:sz="12" w:space="0" w:color="EAEAEA"/>
              <w:bottom w:val="single" w:sz="12" w:space="0" w:color="EAEAEA"/>
              <w:right w:val="nil"/>
            </w:tcBorders>
            <w:shd w:val="clear" w:color="000000" w:fill="DDDDDD"/>
            <w:noWrap/>
            <w:vAlign w:val="center"/>
            <w:hideMark/>
          </w:tcPr>
          <w:p w14:paraId="694D4A27"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FORMATO SUCAVE</w:t>
            </w:r>
          </w:p>
        </w:tc>
        <w:tc>
          <w:tcPr>
            <w:tcW w:w="1432" w:type="dxa"/>
            <w:tcBorders>
              <w:top w:val="single" w:sz="12" w:space="0" w:color="EAEAEA"/>
              <w:left w:val="nil"/>
              <w:bottom w:val="single" w:sz="12" w:space="0" w:color="EAEAEA"/>
              <w:right w:val="nil"/>
            </w:tcBorders>
            <w:shd w:val="clear" w:color="000000" w:fill="DDDDDD"/>
            <w:noWrap/>
            <w:vAlign w:val="center"/>
            <w:hideMark/>
          </w:tcPr>
          <w:p w14:paraId="5522AFF4"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469" w:type="dxa"/>
            <w:tcBorders>
              <w:top w:val="single" w:sz="12" w:space="0" w:color="EAEAEA"/>
              <w:left w:val="nil"/>
              <w:bottom w:val="single" w:sz="12" w:space="0" w:color="EAEAEA"/>
              <w:right w:val="nil"/>
            </w:tcBorders>
            <w:shd w:val="clear" w:color="000000" w:fill="DDDDDD"/>
            <w:noWrap/>
            <w:vAlign w:val="center"/>
            <w:hideMark/>
          </w:tcPr>
          <w:p w14:paraId="2EC51229"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 </w:t>
            </w:r>
          </w:p>
        </w:tc>
        <w:tc>
          <w:tcPr>
            <w:tcW w:w="4831" w:type="dxa"/>
            <w:tcBorders>
              <w:top w:val="single" w:sz="12" w:space="0" w:color="EAEAEA"/>
              <w:left w:val="nil"/>
              <w:bottom w:val="single" w:sz="12" w:space="0" w:color="EAEAEA"/>
              <w:right w:val="single" w:sz="12" w:space="0" w:color="EAEAEA"/>
            </w:tcBorders>
            <w:shd w:val="clear" w:color="000000" w:fill="DDDDDD"/>
            <w:noWrap/>
            <w:vAlign w:val="center"/>
            <w:hideMark/>
          </w:tcPr>
          <w:p w14:paraId="595685A9" w14:textId="77777777" w:rsidR="008F221C" w:rsidRPr="008F221C" w:rsidRDefault="008F221C" w:rsidP="008F221C">
            <w:pPr>
              <w:spacing w:after="0" w:line="240" w:lineRule="auto"/>
              <w:jc w:val="both"/>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Descripción</w:t>
            </w:r>
          </w:p>
        </w:tc>
      </w:tr>
      <w:tr w:rsidR="008F221C" w:rsidRPr="008F221C" w14:paraId="57B85C45" w14:textId="77777777" w:rsidTr="009432D4">
        <w:trPr>
          <w:trHeight w:val="297"/>
        </w:trPr>
        <w:tc>
          <w:tcPr>
            <w:tcW w:w="1654" w:type="dxa"/>
            <w:gridSpan w:val="2"/>
            <w:tcBorders>
              <w:top w:val="single" w:sz="12" w:space="0" w:color="EAEAEA"/>
              <w:left w:val="single" w:sz="12" w:space="0" w:color="EAEAEA"/>
              <w:bottom w:val="single" w:sz="12" w:space="0" w:color="EAEAEA"/>
              <w:right w:val="nil"/>
            </w:tcBorders>
            <w:shd w:val="clear" w:color="000000" w:fill="DDDDDD"/>
            <w:noWrap/>
            <w:vAlign w:val="center"/>
          </w:tcPr>
          <w:p w14:paraId="64B5BEF7"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p>
        </w:tc>
        <w:tc>
          <w:tcPr>
            <w:tcW w:w="1432" w:type="dxa"/>
            <w:tcBorders>
              <w:top w:val="single" w:sz="12" w:space="0" w:color="EAEAEA"/>
              <w:left w:val="nil"/>
              <w:bottom w:val="single" w:sz="12" w:space="0" w:color="EAEAEA"/>
              <w:right w:val="nil"/>
            </w:tcBorders>
            <w:shd w:val="clear" w:color="000000" w:fill="DDDDDD"/>
            <w:noWrap/>
            <w:vAlign w:val="center"/>
          </w:tcPr>
          <w:p w14:paraId="2B6BEEF6"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p>
        </w:tc>
        <w:tc>
          <w:tcPr>
            <w:tcW w:w="469" w:type="dxa"/>
            <w:tcBorders>
              <w:top w:val="single" w:sz="12" w:space="0" w:color="EAEAEA"/>
              <w:left w:val="nil"/>
              <w:bottom w:val="single" w:sz="12" w:space="0" w:color="EAEAEA"/>
              <w:right w:val="nil"/>
            </w:tcBorders>
            <w:shd w:val="clear" w:color="000000" w:fill="DDDDDD"/>
            <w:noWrap/>
            <w:vAlign w:val="center"/>
          </w:tcPr>
          <w:p w14:paraId="66BB160D"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p>
        </w:tc>
        <w:tc>
          <w:tcPr>
            <w:tcW w:w="4831" w:type="dxa"/>
            <w:tcBorders>
              <w:top w:val="single" w:sz="12" w:space="0" w:color="EAEAEA"/>
              <w:left w:val="nil"/>
              <w:bottom w:val="single" w:sz="12" w:space="0" w:color="EAEAEA"/>
              <w:right w:val="single" w:sz="12" w:space="0" w:color="EAEAEA"/>
            </w:tcBorders>
            <w:shd w:val="clear" w:color="000000" w:fill="DDDDDD"/>
            <w:noWrap/>
            <w:vAlign w:val="center"/>
          </w:tcPr>
          <w:p w14:paraId="3249E3E3" w14:textId="77777777" w:rsidR="008F221C" w:rsidRPr="008F221C" w:rsidRDefault="008F221C" w:rsidP="008F221C">
            <w:pPr>
              <w:spacing w:after="0" w:line="240" w:lineRule="auto"/>
              <w:jc w:val="both"/>
              <w:rPr>
                <w:rFonts w:ascii="Arial Narrow" w:eastAsia="Times New Roman" w:hAnsi="Arial Narrow" w:cs="Arial"/>
                <w:b/>
                <w:bCs/>
                <w:kern w:val="0"/>
                <w:sz w:val="18"/>
                <w:szCs w:val="18"/>
                <w:lang w:eastAsia="es-PE"/>
                <w14:ligatures w14:val="none"/>
              </w:rPr>
            </w:pPr>
          </w:p>
        </w:tc>
      </w:tr>
      <w:tr w:rsidR="008F221C" w:rsidRPr="008F221C" w14:paraId="07D28485" w14:textId="77777777" w:rsidTr="009432D4">
        <w:trPr>
          <w:trHeight w:val="558"/>
        </w:trPr>
        <w:tc>
          <w:tcPr>
            <w:tcW w:w="1654" w:type="dxa"/>
            <w:gridSpan w:val="2"/>
            <w:tcBorders>
              <w:top w:val="dotted" w:sz="4" w:space="0" w:color="auto"/>
              <w:left w:val="dotted" w:sz="4" w:space="0" w:color="auto"/>
              <w:bottom w:val="nil"/>
              <w:right w:val="dotted" w:sz="4" w:space="0" w:color="000000"/>
            </w:tcBorders>
            <w:noWrap/>
            <w:vAlign w:val="center"/>
            <w:hideMark/>
          </w:tcPr>
          <w:p w14:paraId="56B8B6FB"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Cuentas del Pasivo</w:t>
            </w:r>
          </w:p>
        </w:tc>
        <w:tc>
          <w:tcPr>
            <w:tcW w:w="1432" w:type="dxa"/>
            <w:tcBorders>
              <w:top w:val="dotted" w:sz="4" w:space="0" w:color="auto"/>
              <w:left w:val="nil"/>
              <w:bottom w:val="nil"/>
              <w:right w:val="dotted" w:sz="4" w:space="0" w:color="auto"/>
            </w:tcBorders>
            <w:vAlign w:val="center"/>
            <w:hideMark/>
          </w:tcPr>
          <w:p w14:paraId="075094F4"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Sobregiros y deuda a corto plazo</w:t>
            </w:r>
          </w:p>
        </w:tc>
        <w:tc>
          <w:tcPr>
            <w:tcW w:w="469" w:type="dxa"/>
            <w:tcBorders>
              <w:top w:val="dotted" w:sz="4" w:space="0" w:color="auto"/>
              <w:left w:val="nil"/>
              <w:bottom w:val="nil"/>
              <w:right w:val="dotted" w:sz="4" w:space="0" w:color="auto"/>
            </w:tcBorders>
            <w:noWrap/>
            <w:vAlign w:val="center"/>
            <w:hideMark/>
          </w:tcPr>
          <w:p w14:paraId="396EF8FB"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210</w:t>
            </w:r>
          </w:p>
        </w:tc>
        <w:tc>
          <w:tcPr>
            <w:tcW w:w="4831" w:type="dxa"/>
            <w:tcBorders>
              <w:top w:val="dotted" w:sz="4" w:space="0" w:color="auto"/>
              <w:left w:val="nil"/>
              <w:bottom w:val="nil"/>
              <w:right w:val="dotted" w:sz="4" w:space="0" w:color="auto"/>
            </w:tcBorders>
            <w:vAlign w:val="center"/>
            <w:hideMark/>
          </w:tcPr>
          <w:p w14:paraId="715292B1"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Sobregiros y obligaciones financieras que vencen en menos de 1 año.</w:t>
            </w:r>
          </w:p>
        </w:tc>
      </w:tr>
      <w:tr w:rsidR="008F221C" w:rsidRPr="008F221C" w14:paraId="3F3F3609" w14:textId="77777777" w:rsidTr="008F221C">
        <w:trPr>
          <w:trHeight w:val="524"/>
        </w:trPr>
        <w:tc>
          <w:tcPr>
            <w:tcW w:w="436" w:type="dxa"/>
            <w:tcBorders>
              <w:top w:val="nil"/>
              <w:left w:val="dotted" w:sz="4" w:space="0" w:color="auto"/>
              <w:bottom w:val="nil"/>
              <w:right w:val="single" w:sz="4" w:space="0" w:color="FFFFFF"/>
            </w:tcBorders>
            <w:noWrap/>
            <w:vAlign w:val="center"/>
            <w:hideMark/>
          </w:tcPr>
          <w:p w14:paraId="32328B4E"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218" w:type="dxa"/>
            <w:tcBorders>
              <w:top w:val="nil"/>
              <w:left w:val="single" w:sz="4" w:space="0" w:color="FFFFFF"/>
              <w:bottom w:val="nil"/>
              <w:right w:val="dotted" w:sz="4" w:space="0" w:color="auto"/>
            </w:tcBorders>
            <w:vAlign w:val="center"/>
            <w:hideMark/>
          </w:tcPr>
          <w:p w14:paraId="5816F086"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432" w:type="dxa"/>
            <w:tcBorders>
              <w:top w:val="dotted" w:sz="4" w:space="0" w:color="auto"/>
              <w:left w:val="nil"/>
              <w:bottom w:val="nil"/>
              <w:right w:val="dotted" w:sz="4" w:space="0" w:color="auto"/>
            </w:tcBorders>
            <w:vAlign w:val="center"/>
            <w:hideMark/>
          </w:tcPr>
          <w:p w14:paraId="03161F92"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Porción corriente de deuda a largo plazo</w:t>
            </w:r>
          </w:p>
        </w:tc>
        <w:tc>
          <w:tcPr>
            <w:tcW w:w="469" w:type="dxa"/>
            <w:tcBorders>
              <w:top w:val="dotted" w:sz="4" w:space="0" w:color="auto"/>
              <w:left w:val="nil"/>
              <w:bottom w:val="nil"/>
              <w:right w:val="dotted" w:sz="4" w:space="0" w:color="auto"/>
            </w:tcBorders>
            <w:noWrap/>
            <w:vAlign w:val="center"/>
            <w:hideMark/>
          </w:tcPr>
          <w:p w14:paraId="02C5E42F"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220</w:t>
            </w:r>
          </w:p>
        </w:tc>
        <w:tc>
          <w:tcPr>
            <w:tcW w:w="4831" w:type="dxa"/>
            <w:tcBorders>
              <w:top w:val="dotted" w:sz="4" w:space="0" w:color="auto"/>
              <w:left w:val="nil"/>
              <w:bottom w:val="nil"/>
              <w:right w:val="dotted" w:sz="4" w:space="0" w:color="auto"/>
            </w:tcBorders>
            <w:vAlign w:val="center"/>
            <w:hideMark/>
          </w:tcPr>
          <w:p w14:paraId="7CCF7EC5"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Porción de la obligación financiera a largo plazo que vence en menos de 1 año.</w:t>
            </w:r>
          </w:p>
        </w:tc>
      </w:tr>
      <w:tr w:rsidR="008F221C" w:rsidRPr="008F221C" w14:paraId="5C233C72" w14:textId="77777777" w:rsidTr="008F221C">
        <w:trPr>
          <w:trHeight w:val="892"/>
        </w:trPr>
        <w:tc>
          <w:tcPr>
            <w:tcW w:w="436" w:type="dxa"/>
            <w:tcBorders>
              <w:top w:val="nil"/>
              <w:left w:val="dotted" w:sz="4" w:space="0" w:color="auto"/>
              <w:bottom w:val="nil"/>
              <w:right w:val="single" w:sz="4" w:space="0" w:color="FFFFFF"/>
            </w:tcBorders>
            <w:noWrap/>
            <w:vAlign w:val="center"/>
            <w:hideMark/>
          </w:tcPr>
          <w:p w14:paraId="7708CDCF"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 </w:t>
            </w:r>
          </w:p>
        </w:tc>
        <w:tc>
          <w:tcPr>
            <w:tcW w:w="1218" w:type="dxa"/>
            <w:tcBorders>
              <w:top w:val="nil"/>
              <w:left w:val="single" w:sz="4" w:space="0" w:color="FFFFFF"/>
              <w:bottom w:val="nil"/>
              <w:right w:val="dotted" w:sz="4" w:space="0" w:color="auto"/>
            </w:tcBorders>
            <w:vAlign w:val="center"/>
            <w:hideMark/>
          </w:tcPr>
          <w:p w14:paraId="27CC7689"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432" w:type="dxa"/>
            <w:tcBorders>
              <w:top w:val="dotted" w:sz="4" w:space="0" w:color="auto"/>
              <w:left w:val="nil"/>
              <w:bottom w:val="nil"/>
              <w:right w:val="dotted" w:sz="4" w:space="0" w:color="auto"/>
            </w:tcBorders>
            <w:vAlign w:val="center"/>
            <w:hideMark/>
          </w:tcPr>
          <w:p w14:paraId="69EC34D1"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Cuentas por pagar comerciales corrientes</w:t>
            </w:r>
          </w:p>
        </w:tc>
        <w:tc>
          <w:tcPr>
            <w:tcW w:w="469" w:type="dxa"/>
            <w:tcBorders>
              <w:top w:val="dotted" w:sz="4" w:space="0" w:color="auto"/>
              <w:left w:val="nil"/>
              <w:bottom w:val="nil"/>
              <w:right w:val="dotted" w:sz="4" w:space="0" w:color="auto"/>
            </w:tcBorders>
            <w:noWrap/>
            <w:vAlign w:val="center"/>
            <w:hideMark/>
          </w:tcPr>
          <w:p w14:paraId="25B327F8"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230</w:t>
            </w:r>
          </w:p>
        </w:tc>
        <w:tc>
          <w:tcPr>
            <w:tcW w:w="4831" w:type="dxa"/>
            <w:tcBorders>
              <w:top w:val="dotted" w:sz="4" w:space="0" w:color="auto"/>
              <w:left w:val="nil"/>
              <w:bottom w:val="nil"/>
              <w:right w:val="dotted" w:sz="4" w:space="0" w:color="auto"/>
            </w:tcBorders>
            <w:vAlign w:val="center"/>
            <w:hideMark/>
          </w:tcPr>
          <w:p w14:paraId="65111A1A"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Cuentas por pagar comerciales terceros y relacionados. Se refiere a las obligaciones derivadas de la compra de bienes y/o servicios y de los gastos incurridos, producto de la actividad del negocio.</w:t>
            </w:r>
          </w:p>
        </w:tc>
      </w:tr>
      <w:tr w:rsidR="008F221C" w:rsidRPr="008F221C" w14:paraId="2D4EFF64" w14:textId="77777777" w:rsidTr="008F221C">
        <w:trPr>
          <w:trHeight w:val="811"/>
        </w:trPr>
        <w:tc>
          <w:tcPr>
            <w:tcW w:w="436" w:type="dxa"/>
            <w:tcBorders>
              <w:top w:val="nil"/>
              <w:left w:val="dotted" w:sz="4" w:space="0" w:color="auto"/>
              <w:bottom w:val="nil"/>
              <w:right w:val="single" w:sz="4" w:space="0" w:color="FFFFFF"/>
            </w:tcBorders>
            <w:noWrap/>
            <w:vAlign w:val="center"/>
            <w:hideMark/>
          </w:tcPr>
          <w:p w14:paraId="4ED2DBEC"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 </w:t>
            </w:r>
          </w:p>
        </w:tc>
        <w:tc>
          <w:tcPr>
            <w:tcW w:w="1218" w:type="dxa"/>
            <w:tcBorders>
              <w:top w:val="nil"/>
              <w:left w:val="single" w:sz="4" w:space="0" w:color="FFFFFF"/>
              <w:bottom w:val="nil"/>
              <w:right w:val="dotted" w:sz="4" w:space="0" w:color="auto"/>
            </w:tcBorders>
            <w:vAlign w:val="center"/>
            <w:hideMark/>
          </w:tcPr>
          <w:p w14:paraId="0A4BC5E7"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432" w:type="dxa"/>
            <w:tcBorders>
              <w:top w:val="dotted" w:sz="4" w:space="0" w:color="auto"/>
              <w:left w:val="nil"/>
              <w:bottom w:val="nil"/>
              <w:right w:val="dotted" w:sz="4" w:space="0" w:color="auto"/>
            </w:tcBorders>
            <w:vAlign w:val="center"/>
            <w:hideMark/>
          </w:tcPr>
          <w:p w14:paraId="17F3E83E"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Cuentas por pagar diversas relacionadas corrientes</w:t>
            </w:r>
          </w:p>
        </w:tc>
        <w:tc>
          <w:tcPr>
            <w:tcW w:w="469" w:type="dxa"/>
            <w:tcBorders>
              <w:top w:val="dotted" w:sz="4" w:space="0" w:color="auto"/>
              <w:left w:val="nil"/>
              <w:bottom w:val="nil"/>
              <w:right w:val="dotted" w:sz="4" w:space="0" w:color="auto"/>
            </w:tcBorders>
            <w:noWrap/>
            <w:vAlign w:val="center"/>
            <w:hideMark/>
          </w:tcPr>
          <w:p w14:paraId="03214448"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240</w:t>
            </w:r>
          </w:p>
        </w:tc>
        <w:tc>
          <w:tcPr>
            <w:tcW w:w="4831" w:type="dxa"/>
            <w:tcBorders>
              <w:top w:val="dotted" w:sz="4" w:space="0" w:color="auto"/>
              <w:left w:val="nil"/>
              <w:bottom w:val="nil"/>
              <w:right w:val="dotted" w:sz="4" w:space="0" w:color="auto"/>
            </w:tcBorders>
            <w:vAlign w:val="center"/>
            <w:hideMark/>
          </w:tcPr>
          <w:p w14:paraId="2E4522A6"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Cuentas por pagar no comerciales relacionadas.</w:t>
            </w:r>
          </w:p>
        </w:tc>
      </w:tr>
      <w:tr w:rsidR="008F221C" w:rsidRPr="008F221C" w14:paraId="71516159" w14:textId="77777777" w:rsidTr="008F221C">
        <w:trPr>
          <w:trHeight w:val="758"/>
        </w:trPr>
        <w:tc>
          <w:tcPr>
            <w:tcW w:w="436" w:type="dxa"/>
            <w:tcBorders>
              <w:top w:val="nil"/>
              <w:left w:val="dotted" w:sz="4" w:space="0" w:color="auto"/>
              <w:bottom w:val="nil"/>
              <w:right w:val="single" w:sz="4" w:space="0" w:color="FFFFFF"/>
            </w:tcBorders>
            <w:noWrap/>
            <w:vAlign w:val="center"/>
            <w:hideMark/>
          </w:tcPr>
          <w:p w14:paraId="4AA87BF0"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 </w:t>
            </w:r>
          </w:p>
        </w:tc>
        <w:tc>
          <w:tcPr>
            <w:tcW w:w="1218" w:type="dxa"/>
            <w:tcBorders>
              <w:top w:val="nil"/>
              <w:left w:val="single" w:sz="4" w:space="0" w:color="FFFFFF"/>
              <w:bottom w:val="nil"/>
              <w:right w:val="dotted" w:sz="4" w:space="0" w:color="auto"/>
            </w:tcBorders>
            <w:vAlign w:val="center"/>
            <w:hideMark/>
          </w:tcPr>
          <w:p w14:paraId="3CA79382"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432" w:type="dxa"/>
            <w:tcBorders>
              <w:top w:val="dotted" w:sz="4" w:space="0" w:color="auto"/>
              <w:left w:val="nil"/>
              <w:bottom w:val="nil"/>
              <w:right w:val="dotted" w:sz="4" w:space="0" w:color="auto"/>
            </w:tcBorders>
            <w:vAlign w:val="center"/>
            <w:hideMark/>
          </w:tcPr>
          <w:p w14:paraId="03D2BC98"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Otras cuentas por pagar corrientes</w:t>
            </w:r>
          </w:p>
        </w:tc>
        <w:tc>
          <w:tcPr>
            <w:tcW w:w="469" w:type="dxa"/>
            <w:tcBorders>
              <w:top w:val="dotted" w:sz="4" w:space="0" w:color="auto"/>
              <w:left w:val="nil"/>
              <w:bottom w:val="nil"/>
              <w:right w:val="dotted" w:sz="4" w:space="0" w:color="auto"/>
            </w:tcBorders>
            <w:noWrap/>
            <w:vAlign w:val="center"/>
            <w:hideMark/>
          </w:tcPr>
          <w:p w14:paraId="4699C8F1"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250</w:t>
            </w:r>
          </w:p>
        </w:tc>
        <w:tc>
          <w:tcPr>
            <w:tcW w:w="4831" w:type="dxa"/>
            <w:tcBorders>
              <w:top w:val="dotted" w:sz="4" w:space="0" w:color="auto"/>
              <w:left w:val="nil"/>
              <w:bottom w:val="nil"/>
              <w:right w:val="dotted" w:sz="4" w:space="0" w:color="auto"/>
            </w:tcBorders>
            <w:vAlign w:val="center"/>
            <w:hideMark/>
          </w:tcPr>
          <w:p w14:paraId="14BEA876"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Cuentas por pagar diversas a terceros, cuentas por pagar al personal, socio, accionista y directores, remuneraciones y participaciones por pagar, tributos y aportes al sistema de pensiones y otras cuentas por pagar no relacionadas al giro propio del negocio.</w:t>
            </w:r>
          </w:p>
        </w:tc>
      </w:tr>
      <w:tr w:rsidR="008F221C" w:rsidRPr="008F221C" w14:paraId="1E6D870B" w14:textId="77777777" w:rsidTr="008F221C">
        <w:trPr>
          <w:trHeight w:val="505"/>
        </w:trPr>
        <w:tc>
          <w:tcPr>
            <w:tcW w:w="436" w:type="dxa"/>
            <w:tcBorders>
              <w:top w:val="nil"/>
              <w:left w:val="dotted" w:sz="4" w:space="0" w:color="auto"/>
              <w:bottom w:val="nil"/>
              <w:right w:val="single" w:sz="4" w:space="0" w:color="FFFFFF"/>
            </w:tcBorders>
            <w:noWrap/>
            <w:vAlign w:val="center"/>
            <w:hideMark/>
          </w:tcPr>
          <w:p w14:paraId="5A109329"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 </w:t>
            </w:r>
          </w:p>
        </w:tc>
        <w:tc>
          <w:tcPr>
            <w:tcW w:w="1218" w:type="dxa"/>
            <w:tcBorders>
              <w:top w:val="nil"/>
              <w:left w:val="single" w:sz="4" w:space="0" w:color="FFFFFF"/>
              <w:bottom w:val="nil"/>
              <w:right w:val="dotted" w:sz="4" w:space="0" w:color="auto"/>
            </w:tcBorders>
            <w:vAlign w:val="center"/>
            <w:hideMark/>
          </w:tcPr>
          <w:p w14:paraId="48EA613D"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432" w:type="dxa"/>
            <w:tcBorders>
              <w:top w:val="dotted" w:sz="4" w:space="0" w:color="auto"/>
              <w:left w:val="nil"/>
              <w:bottom w:val="dotted" w:sz="4" w:space="0" w:color="auto"/>
              <w:right w:val="dotted" w:sz="4" w:space="0" w:color="auto"/>
            </w:tcBorders>
            <w:vAlign w:val="center"/>
            <w:hideMark/>
          </w:tcPr>
          <w:p w14:paraId="62A136BA"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Otros pasivos corrientes</w:t>
            </w:r>
          </w:p>
        </w:tc>
        <w:tc>
          <w:tcPr>
            <w:tcW w:w="469" w:type="dxa"/>
            <w:tcBorders>
              <w:top w:val="dotted" w:sz="4" w:space="0" w:color="auto"/>
              <w:left w:val="nil"/>
              <w:bottom w:val="dotted" w:sz="4" w:space="0" w:color="auto"/>
              <w:right w:val="dotted" w:sz="4" w:space="0" w:color="auto"/>
            </w:tcBorders>
            <w:noWrap/>
            <w:vAlign w:val="center"/>
            <w:hideMark/>
          </w:tcPr>
          <w:p w14:paraId="5DBD680B"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260</w:t>
            </w:r>
          </w:p>
        </w:tc>
        <w:tc>
          <w:tcPr>
            <w:tcW w:w="4831" w:type="dxa"/>
            <w:tcBorders>
              <w:top w:val="dotted" w:sz="4" w:space="0" w:color="auto"/>
              <w:left w:val="nil"/>
              <w:bottom w:val="dotted" w:sz="4" w:space="0" w:color="auto"/>
              <w:right w:val="dotted" w:sz="4" w:space="0" w:color="auto"/>
            </w:tcBorders>
            <w:vAlign w:val="center"/>
            <w:hideMark/>
          </w:tcPr>
          <w:p w14:paraId="464D4C1B"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 xml:space="preserve">Comprende los saldos de otros rubros del pasivo corriente no incluidos anteriormente.  </w:t>
            </w:r>
          </w:p>
        </w:tc>
      </w:tr>
      <w:tr w:rsidR="008F221C" w:rsidRPr="008F221C" w14:paraId="623BECDA" w14:textId="77777777" w:rsidTr="008F221C">
        <w:trPr>
          <w:trHeight w:val="524"/>
        </w:trPr>
        <w:tc>
          <w:tcPr>
            <w:tcW w:w="436" w:type="dxa"/>
            <w:tcBorders>
              <w:top w:val="nil"/>
              <w:left w:val="dotted" w:sz="4" w:space="0" w:color="auto"/>
              <w:bottom w:val="nil"/>
              <w:right w:val="single" w:sz="4" w:space="0" w:color="FFFFFF"/>
            </w:tcBorders>
            <w:noWrap/>
            <w:vAlign w:val="center"/>
            <w:hideMark/>
          </w:tcPr>
          <w:p w14:paraId="6AE285AA"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 </w:t>
            </w:r>
          </w:p>
        </w:tc>
        <w:tc>
          <w:tcPr>
            <w:tcW w:w="1218" w:type="dxa"/>
            <w:tcBorders>
              <w:top w:val="nil"/>
              <w:left w:val="single" w:sz="4" w:space="0" w:color="FFFFFF"/>
              <w:bottom w:val="nil"/>
              <w:right w:val="dotted" w:sz="4" w:space="0" w:color="auto"/>
            </w:tcBorders>
            <w:vAlign w:val="center"/>
            <w:hideMark/>
          </w:tcPr>
          <w:p w14:paraId="0F2EAE57"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432" w:type="dxa"/>
            <w:tcBorders>
              <w:top w:val="nil"/>
              <w:left w:val="nil"/>
              <w:bottom w:val="dotted" w:sz="4" w:space="0" w:color="auto"/>
              <w:right w:val="dotted" w:sz="4" w:space="0" w:color="auto"/>
            </w:tcBorders>
            <w:vAlign w:val="center"/>
            <w:hideMark/>
          </w:tcPr>
          <w:p w14:paraId="0CE30285"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Pasivo corriente</w:t>
            </w:r>
          </w:p>
        </w:tc>
        <w:tc>
          <w:tcPr>
            <w:tcW w:w="469" w:type="dxa"/>
            <w:tcBorders>
              <w:top w:val="nil"/>
              <w:left w:val="nil"/>
              <w:bottom w:val="dotted" w:sz="4" w:space="0" w:color="auto"/>
              <w:right w:val="dotted" w:sz="4" w:space="0" w:color="auto"/>
            </w:tcBorders>
            <w:noWrap/>
            <w:vAlign w:val="center"/>
            <w:hideMark/>
          </w:tcPr>
          <w:p w14:paraId="7BE463A8"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270</w:t>
            </w:r>
          </w:p>
        </w:tc>
        <w:tc>
          <w:tcPr>
            <w:tcW w:w="4831" w:type="dxa"/>
            <w:tcBorders>
              <w:top w:val="nil"/>
              <w:left w:val="nil"/>
              <w:bottom w:val="dotted" w:sz="4" w:space="0" w:color="auto"/>
              <w:right w:val="dotted" w:sz="4" w:space="0" w:color="auto"/>
            </w:tcBorders>
            <w:vAlign w:val="center"/>
            <w:hideMark/>
          </w:tcPr>
          <w:p w14:paraId="03D01ED8"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Deberán incluirse los saldos que se consideren como pasivo corriente del deudor. Debe corresponder a la suma de las columnas 210+220+230+240+250+260.</w:t>
            </w:r>
          </w:p>
        </w:tc>
      </w:tr>
      <w:tr w:rsidR="008F221C" w:rsidRPr="008F221C" w14:paraId="7DDDC804" w14:textId="77777777" w:rsidTr="008F221C">
        <w:trPr>
          <w:trHeight w:val="297"/>
        </w:trPr>
        <w:tc>
          <w:tcPr>
            <w:tcW w:w="436" w:type="dxa"/>
            <w:tcBorders>
              <w:top w:val="nil"/>
              <w:left w:val="dotted" w:sz="4" w:space="0" w:color="auto"/>
              <w:bottom w:val="nil"/>
              <w:right w:val="single" w:sz="4" w:space="0" w:color="FFFFFF"/>
            </w:tcBorders>
            <w:noWrap/>
            <w:vAlign w:val="center"/>
            <w:hideMark/>
          </w:tcPr>
          <w:p w14:paraId="2FFA63BA"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 </w:t>
            </w:r>
          </w:p>
        </w:tc>
        <w:tc>
          <w:tcPr>
            <w:tcW w:w="1218" w:type="dxa"/>
            <w:tcBorders>
              <w:top w:val="nil"/>
              <w:left w:val="single" w:sz="4" w:space="0" w:color="FFFFFF"/>
              <w:bottom w:val="nil"/>
              <w:right w:val="dotted" w:sz="4" w:space="0" w:color="auto"/>
            </w:tcBorders>
            <w:vAlign w:val="center"/>
            <w:hideMark/>
          </w:tcPr>
          <w:p w14:paraId="33D0AC11"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432" w:type="dxa"/>
            <w:tcBorders>
              <w:top w:val="nil"/>
              <w:left w:val="nil"/>
              <w:bottom w:val="dotted" w:sz="4" w:space="0" w:color="auto"/>
              <w:right w:val="dotted" w:sz="4" w:space="0" w:color="auto"/>
            </w:tcBorders>
            <w:vAlign w:val="center"/>
            <w:hideMark/>
          </w:tcPr>
          <w:p w14:paraId="6765C551"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Deuda a largo plazo</w:t>
            </w:r>
          </w:p>
        </w:tc>
        <w:tc>
          <w:tcPr>
            <w:tcW w:w="469" w:type="dxa"/>
            <w:tcBorders>
              <w:top w:val="nil"/>
              <w:left w:val="nil"/>
              <w:bottom w:val="dotted" w:sz="4" w:space="0" w:color="auto"/>
              <w:right w:val="dotted" w:sz="4" w:space="0" w:color="auto"/>
            </w:tcBorders>
            <w:noWrap/>
            <w:vAlign w:val="center"/>
            <w:hideMark/>
          </w:tcPr>
          <w:p w14:paraId="464F96A8"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280</w:t>
            </w:r>
          </w:p>
        </w:tc>
        <w:tc>
          <w:tcPr>
            <w:tcW w:w="4831" w:type="dxa"/>
            <w:tcBorders>
              <w:top w:val="nil"/>
              <w:left w:val="nil"/>
              <w:bottom w:val="dotted" w:sz="4" w:space="0" w:color="auto"/>
              <w:right w:val="dotted" w:sz="4" w:space="0" w:color="auto"/>
            </w:tcBorders>
            <w:vAlign w:val="center"/>
            <w:hideMark/>
          </w:tcPr>
          <w:p w14:paraId="765389E3"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Deuda a largo plazo.</w:t>
            </w:r>
          </w:p>
        </w:tc>
      </w:tr>
      <w:tr w:rsidR="008F221C" w:rsidRPr="008F221C" w14:paraId="6F6F20B1" w14:textId="77777777" w:rsidTr="008F221C">
        <w:trPr>
          <w:trHeight w:val="811"/>
        </w:trPr>
        <w:tc>
          <w:tcPr>
            <w:tcW w:w="436" w:type="dxa"/>
            <w:tcBorders>
              <w:top w:val="nil"/>
              <w:left w:val="dotted" w:sz="4" w:space="0" w:color="auto"/>
              <w:bottom w:val="nil"/>
              <w:right w:val="single" w:sz="4" w:space="0" w:color="FFFFFF"/>
            </w:tcBorders>
            <w:noWrap/>
            <w:vAlign w:val="center"/>
            <w:hideMark/>
          </w:tcPr>
          <w:p w14:paraId="404F39B7"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 </w:t>
            </w:r>
          </w:p>
        </w:tc>
        <w:tc>
          <w:tcPr>
            <w:tcW w:w="1218" w:type="dxa"/>
            <w:tcBorders>
              <w:top w:val="nil"/>
              <w:left w:val="single" w:sz="4" w:space="0" w:color="FFFFFF"/>
              <w:bottom w:val="nil"/>
              <w:right w:val="dotted" w:sz="4" w:space="0" w:color="auto"/>
            </w:tcBorders>
            <w:vAlign w:val="center"/>
            <w:hideMark/>
          </w:tcPr>
          <w:p w14:paraId="3A65E97D"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432" w:type="dxa"/>
            <w:tcBorders>
              <w:top w:val="nil"/>
              <w:left w:val="nil"/>
              <w:bottom w:val="nil"/>
              <w:right w:val="dotted" w:sz="4" w:space="0" w:color="auto"/>
            </w:tcBorders>
            <w:vAlign w:val="center"/>
            <w:hideMark/>
          </w:tcPr>
          <w:p w14:paraId="72BB293D"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Cuentas por pagar comerciales no corrientes</w:t>
            </w:r>
          </w:p>
        </w:tc>
        <w:tc>
          <w:tcPr>
            <w:tcW w:w="469" w:type="dxa"/>
            <w:tcBorders>
              <w:top w:val="nil"/>
              <w:left w:val="nil"/>
              <w:bottom w:val="nil"/>
              <w:right w:val="dotted" w:sz="4" w:space="0" w:color="auto"/>
            </w:tcBorders>
            <w:noWrap/>
            <w:vAlign w:val="center"/>
            <w:hideMark/>
          </w:tcPr>
          <w:p w14:paraId="1129F848"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290</w:t>
            </w:r>
          </w:p>
        </w:tc>
        <w:tc>
          <w:tcPr>
            <w:tcW w:w="4831" w:type="dxa"/>
            <w:tcBorders>
              <w:top w:val="nil"/>
              <w:left w:val="nil"/>
              <w:bottom w:val="nil"/>
              <w:right w:val="dotted" w:sz="4" w:space="0" w:color="auto"/>
            </w:tcBorders>
            <w:vAlign w:val="center"/>
            <w:hideMark/>
          </w:tcPr>
          <w:p w14:paraId="1226A405"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Cuentas por pagar comerciales terceros y relacionados, a largo plazo. Se refiere a las obligaciones derivadas de la compra de bienes y/o servicios y de los gastos incurridos, producto de la actividad del negocio.</w:t>
            </w:r>
          </w:p>
        </w:tc>
      </w:tr>
      <w:tr w:rsidR="008F221C" w:rsidRPr="008F221C" w14:paraId="54A9FA4C" w14:textId="77777777" w:rsidTr="008F221C">
        <w:trPr>
          <w:trHeight w:val="811"/>
        </w:trPr>
        <w:tc>
          <w:tcPr>
            <w:tcW w:w="436" w:type="dxa"/>
            <w:tcBorders>
              <w:top w:val="nil"/>
              <w:left w:val="dotted" w:sz="4" w:space="0" w:color="auto"/>
              <w:bottom w:val="nil"/>
              <w:right w:val="single" w:sz="4" w:space="0" w:color="FFFFFF"/>
            </w:tcBorders>
            <w:noWrap/>
            <w:vAlign w:val="center"/>
            <w:hideMark/>
          </w:tcPr>
          <w:p w14:paraId="15460E14"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 </w:t>
            </w:r>
          </w:p>
        </w:tc>
        <w:tc>
          <w:tcPr>
            <w:tcW w:w="1218" w:type="dxa"/>
            <w:tcBorders>
              <w:top w:val="nil"/>
              <w:left w:val="single" w:sz="4" w:space="0" w:color="FFFFFF"/>
              <w:bottom w:val="nil"/>
              <w:right w:val="dotted" w:sz="4" w:space="0" w:color="auto"/>
            </w:tcBorders>
            <w:vAlign w:val="center"/>
            <w:hideMark/>
          </w:tcPr>
          <w:p w14:paraId="3B96DEC5"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432" w:type="dxa"/>
            <w:tcBorders>
              <w:top w:val="dotted" w:sz="4" w:space="0" w:color="auto"/>
              <w:left w:val="nil"/>
              <w:bottom w:val="nil"/>
              <w:right w:val="dotted" w:sz="4" w:space="0" w:color="auto"/>
            </w:tcBorders>
            <w:vAlign w:val="center"/>
            <w:hideMark/>
          </w:tcPr>
          <w:p w14:paraId="25ED0CAD"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Cuentas por pagar diversas relacionadas no corrientes</w:t>
            </w:r>
          </w:p>
        </w:tc>
        <w:tc>
          <w:tcPr>
            <w:tcW w:w="469" w:type="dxa"/>
            <w:tcBorders>
              <w:top w:val="dotted" w:sz="4" w:space="0" w:color="auto"/>
              <w:left w:val="nil"/>
              <w:bottom w:val="nil"/>
              <w:right w:val="dotted" w:sz="4" w:space="0" w:color="auto"/>
            </w:tcBorders>
            <w:noWrap/>
            <w:vAlign w:val="center"/>
            <w:hideMark/>
          </w:tcPr>
          <w:p w14:paraId="120C0BE9"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300</w:t>
            </w:r>
          </w:p>
        </w:tc>
        <w:tc>
          <w:tcPr>
            <w:tcW w:w="4831" w:type="dxa"/>
            <w:tcBorders>
              <w:top w:val="dotted" w:sz="4" w:space="0" w:color="auto"/>
              <w:left w:val="nil"/>
              <w:bottom w:val="nil"/>
              <w:right w:val="dotted" w:sz="4" w:space="0" w:color="auto"/>
            </w:tcBorders>
            <w:vAlign w:val="center"/>
            <w:hideMark/>
          </w:tcPr>
          <w:p w14:paraId="7331B2EC"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Cuentas por pagar no comerciales relacionadas, a largo plazo.</w:t>
            </w:r>
          </w:p>
        </w:tc>
      </w:tr>
      <w:tr w:rsidR="008F221C" w:rsidRPr="008F221C" w14:paraId="3E36758E" w14:textId="77777777" w:rsidTr="008F221C">
        <w:trPr>
          <w:trHeight w:val="499"/>
        </w:trPr>
        <w:tc>
          <w:tcPr>
            <w:tcW w:w="436" w:type="dxa"/>
            <w:tcBorders>
              <w:top w:val="nil"/>
              <w:left w:val="dotted" w:sz="4" w:space="0" w:color="auto"/>
              <w:bottom w:val="nil"/>
              <w:right w:val="single" w:sz="4" w:space="0" w:color="FFFFFF"/>
            </w:tcBorders>
            <w:noWrap/>
            <w:vAlign w:val="center"/>
            <w:hideMark/>
          </w:tcPr>
          <w:p w14:paraId="17F42B79"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 </w:t>
            </w:r>
          </w:p>
        </w:tc>
        <w:tc>
          <w:tcPr>
            <w:tcW w:w="1218" w:type="dxa"/>
            <w:tcBorders>
              <w:top w:val="nil"/>
              <w:left w:val="single" w:sz="4" w:space="0" w:color="FFFFFF"/>
              <w:bottom w:val="nil"/>
              <w:right w:val="dotted" w:sz="4" w:space="0" w:color="auto"/>
            </w:tcBorders>
            <w:vAlign w:val="center"/>
            <w:hideMark/>
          </w:tcPr>
          <w:p w14:paraId="0D349016"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432" w:type="dxa"/>
            <w:tcBorders>
              <w:top w:val="dotted" w:sz="4" w:space="0" w:color="auto"/>
              <w:left w:val="nil"/>
              <w:bottom w:val="nil"/>
              <w:right w:val="dotted" w:sz="4" w:space="0" w:color="auto"/>
            </w:tcBorders>
            <w:vAlign w:val="center"/>
            <w:hideMark/>
          </w:tcPr>
          <w:p w14:paraId="34884847"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Otros pasivos no corrientes</w:t>
            </w:r>
          </w:p>
        </w:tc>
        <w:tc>
          <w:tcPr>
            <w:tcW w:w="469" w:type="dxa"/>
            <w:tcBorders>
              <w:top w:val="dotted" w:sz="4" w:space="0" w:color="auto"/>
              <w:left w:val="nil"/>
              <w:bottom w:val="nil"/>
              <w:right w:val="dotted" w:sz="4" w:space="0" w:color="auto"/>
            </w:tcBorders>
            <w:noWrap/>
            <w:vAlign w:val="center"/>
            <w:hideMark/>
          </w:tcPr>
          <w:p w14:paraId="6B498CAE"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310</w:t>
            </w:r>
          </w:p>
        </w:tc>
        <w:tc>
          <w:tcPr>
            <w:tcW w:w="4831" w:type="dxa"/>
            <w:tcBorders>
              <w:top w:val="dotted" w:sz="4" w:space="0" w:color="auto"/>
              <w:left w:val="nil"/>
              <w:bottom w:val="nil"/>
              <w:right w:val="dotted" w:sz="4" w:space="0" w:color="auto"/>
            </w:tcBorders>
            <w:vAlign w:val="center"/>
            <w:hideMark/>
          </w:tcPr>
          <w:p w14:paraId="7FA6D496"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Comprende los saldos de otros rubros del pasivo no corriente no mencionados anteriormente.</w:t>
            </w:r>
          </w:p>
        </w:tc>
      </w:tr>
      <w:tr w:rsidR="008F221C" w:rsidRPr="008F221C" w14:paraId="5112B7B1" w14:textId="77777777" w:rsidTr="008F221C">
        <w:trPr>
          <w:trHeight w:val="499"/>
        </w:trPr>
        <w:tc>
          <w:tcPr>
            <w:tcW w:w="436" w:type="dxa"/>
            <w:tcBorders>
              <w:top w:val="nil"/>
              <w:left w:val="dotted" w:sz="4" w:space="0" w:color="auto"/>
              <w:bottom w:val="nil"/>
              <w:right w:val="single" w:sz="4" w:space="0" w:color="FFFFFF"/>
            </w:tcBorders>
            <w:noWrap/>
            <w:vAlign w:val="center"/>
            <w:hideMark/>
          </w:tcPr>
          <w:p w14:paraId="4A489430"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lastRenderedPageBreak/>
              <w:t> </w:t>
            </w:r>
          </w:p>
        </w:tc>
        <w:tc>
          <w:tcPr>
            <w:tcW w:w="1218" w:type="dxa"/>
            <w:tcBorders>
              <w:top w:val="nil"/>
              <w:left w:val="single" w:sz="4" w:space="0" w:color="FFFFFF"/>
              <w:bottom w:val="nil"/>
              <w:right w:val="dotted" w:sz="4" w:space="0" w:color="auto"/>
            </w:tcBorders>
            <w:vAlign w:val="center"/>
            <w:hideMark/>
          </w:tcPr>
          <w:p w14:paraId="5D69D9D7"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432" w:type="dxa"/>
            <w:tcBorders>
              <w:top w:val="dotted" w:sz="4" w:space="0" w:color="auto"/>
              <w:left w:val="nil"/>
              <w:bottom w:val="dotted" w:sz="4" w:space="0" w:color="auto"/>
              <w:right w:val="dotted" w:sz="4" w:space="0" w:color="auto"/>
            </w:tcBorders>
            <w:vAlign w:val="center"/>
            <w:hideMark/>
          </w:tcPr>
          <w:p w14:paraId="40D6F63B"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Pasivo no corriente</w:t>
            </w:r>
          </w:p>
        </w:tc>
        <w:tc>
          <w:tcPr>
            <w:tcW w:w="469" w:type="dxa"/>
            <w:tcBorders>
              <w:top w:val="dotted" w:sz="4" w:space="0" w:color="auto"/>
              <w:left w:val="nil"/>
              <w:bottom w:val="dotted" w:sz="4" w:space="0" w:color="auto"/>
              <w:right w:val="dotted" w:sz="4" w:space="0" w:color="auto"/>
            </w:tcBorders>
            <w:noWrap/>
            <w:vAlign w:val="center"/>
            <w:hideMark/>
          </w:tcPr>
          <w:p w14:paraId="11B10935"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320</w:t>
            </w:r>
          </w:p>
        </w:tc>
        <w:tc>
          <w:tcPr>
            <w:tcW w:w="4831" w:type="dxa"/>
            <w:tcBorders>
              <w:top w:val="dotted" w:sz="4" w:space="0" w:color="auto"/>
              <w:left w:val="nil"/>
              <w:bottom w:val="dotted" w:sz="4" w:space="0" w:color="auto"/>
              <w:right w:val="dotted" w:sz="4" w:space="0" w:color="auto"/>
            </w:tcBorders>
            <w:vAlign w:val="center"/>
            <w:hideMark/>
          </w:tcPr>
          <w:p w14:paraId="4FBAEC94"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Deberá incluirse los saldos que se consideren como pasivo no corriente del deudor. Debe corresponder a la suma de las columnas 280+290+300+310.</w:t>
            </w:r>
          </w:p>
        </w:tc>
      </w:tr>
      <w:tr w:rsidR="008F221C" w:rsidRPr="008F221C" w14:paraId="0739B9D4" w14:textId="77777777" w:rsidTr="008F221C">
        <w:trPr>
          <w:trHeight w:val="297"/>
        </w:trPr>
        <w:tc>
          <w:tcPr>
            <w:tcW w:w="436" w:type="dxa"/>
            <w:tcBorders>
              <w:top w:val="nil"/>
              <w:left w:val="dotted" w:sz="4" w:space="0" w:color="auto"/>
              <w:bottom w:val="dotted" w:sz="4" w:space="0" w:color="auto"/>
              <w:right w:val="single" w:sz="4" w:space="0" w:color="FFFFFF"/>
            </w:tcBorders>
            <w:noWrap/>
            <w:vAlign w:val="center"/>
            <w:hideMark/>
          </w:tcPr>
          <w:p w14:paraId="561DD78B"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 </w:t>
            </w:r>
          </w:p>
        </w:tc>
        <w:tc>
          <w:tcPr>
            <w:tcW w:w="1218" w:type="dxa"/>
            <w:tcBorders>
              <w:top w:val="nil"/>
              <w:left w:val="single" w:sz="4" w:space="0" w:color="FFFFFF"/>
              <w:bottom w:val="dotted" w:sz="4" w:space="0" w:color="auto"/>
              <w:right w:val="dotted" w:sz="4" w:space="0" w:color="auto"/>
            </w:tcBorders>
            <w:vAlign w:val="center"/>
            <w:hideMark/>
          </w:tcPr>
          <w:p w14:paraId="51E2CBF5"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432" w:type="dxa"/>
            <w:tcBorders>
              <w:top w:val="nil"/>
              <w:left w:val="nil"/>
              <w:bottom w:val="dotted" w:sz="4" w:space="0" w:color="auto"/>
              <w:right w:val="dotted" w:sz="4" w:space="0" w:color="auto"/>
            </w:tcBorders>
            <w:vAlign w:val="center"/>
            <w:hideMark/>
          </w:tcPr>
          <w:p w14:paraId="04B75564"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Pasivos totales</w:t>
            </w:r>
          </w:p>
        </w:tc>
        <w:tc>
          <w:tcPr>
            <w:tcW w:w="469" w:type="dxa"/>
            <w:tcBorders>
              <w:top w:val="nil"/>
              <w:left w:val="nil"/>
              <w:bottom w:val="dotted" w:sz="4" w:space="0" w:color="auto"/>
              <w:right w:val="dotted" w:sz="4" w:space="0" w:color="auto"/>
            </w:tcBorders>
            <w:noWrap/>
            <w:vAlign w:val="center"/>
            <w:hideMark/>
          </w:tcPr>
          <w:p w14:paraId="08539993"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330</w:t>
            </w:r>
          </w:p>
        </w:tc>
        <w:tc>
          <w:tcPr>
            <w:tcW w:w="4831" w:type="dxa"/>
            <w:tcBorders>
              <w:top w:val="nil"/>
              <w:left w:val="nil"/>
              <w:bottom w:val="dotted" w:sz="4" w:space="0" w:color="auto"/>
              <w:right w:val="dotted" w:sz="4" w:space="0" w:color="auto"/>
            </w:tcBorders>
            <w:vAlign w:val="center"/>
            <w:hideMark/>
          </w:tcPr>
          <w:p w14:paraId="0A375161"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Pasivos totales. Debe corresponder a la suma de las columnas 270+320.</w:t>
            </w:r>
          </w:p>
        </w:tc>
      </w:tr>
      <w:tr w:rsidR="008F221C" w:rsidRPr="008F221C" w14:paraId="05A4A850" w14:textId="77777777" w:rsidTr="009432D4">
        <w:trPr>
          <w:trHeight w:val="558"/>
        </w:trPr>
        <w:tc>
          <w:tcPr>
            <w:tcW w:w="1654" w:type="dxa"/>
            <w:gridSpan w:val="2"/>
            <w:tcBorders>
              <w:top w:val="dotted" w:sz="4" w:space="0" w:color="auto"/>
              <w:left w:val="dotted" w:sz="4" w:space="0" w:color="auto"/>
              <w:bottom w:val="nil"/>
              <w:right w:val="dotted" w:sz="4" w:space="0" w:color="000000"/>
            </w:tcBorders>
            <w:vAlign w:val="center"/>
            <w:hideMark/>
          </w:tcPr>
          <w:p w14:paraId="4C9AA759"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Cuentas del Patrimonio</w:t>
            </w:r>
          </w:p>
        </w:tc>
        <w:tc>
          <w:tcPr>
            <w:tcW w:w="1432" w:type="dxa"/>
            <w:tcBorders>
              <w:top w:val="nil"/>
              <w:left w:val="nil"/>
              <w:bottom w:val="nil"/>
              <w:right w:val="dotted" w:sz="4" w:space="0" w:color="auto"/>
            </w:tcBorders>
            <w:vAlign w:val="center"/>
            <w:hideMark/>
          </w:tcPr>
          <w:p w14:paraId="6412D70C"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Capital social</w:t>
            </w:r>
          </w:p>
        </w:tc>
        <w:tc>
          <w:tcPr>
            <w:tcW w:w="469" w:type="dxa"/>
            <w:tcBorders>
              <w:top w:val="nil"/>
              <w:left w:val="nil"/>
              <w:bottom w:val="nil"/>
              <w:right w:val="dotted" w:sz="4" w:space="0" w:color="auto"/>
            </w:tcBorders>
            <w:noWrap/>
            <w:vAlign w:val="center"/>
            <w:hideMark/>
          </w:tcPr>
          <w:p w14:paraId="41D0DFC5"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340</w:t>
            </w:r>
          </w:p>
        </w:tc>
        <w:tc>
          <w:tcPr>
            <w:tcW w:w="4831" w:type="dxa"/>
            <w:tcBorders>
              <w:top w:val="nil"/>
              <w:left w:val="nil"/>
              <w:bottom w:val="nil"/>
              <w:right w:val="dotted" w:sz="4" w:space="0" w:color="auto"/>
            </w:tcBorders>
            <w:vAlign w:val="center"/>
            <w:hideMark/>
          </w:tcPr>
          <w:p w14:paraId="05255E70"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Capital social.</w:t>
            </w:r>
          </w:p>
        </w:tc>
      </w:tr>
      <w:tr w:rsidR="008F221C" w:rsidRPr="008F221C" w14:paraId="7DAD5ECA" w14:textId="77777777" w:rsidTr="009432D4">
        <w:trPr>
          <w:trHeight w:val="558"/>
        </w:trPr>
        <w:tc>
          <w:tcPr>
            <w:tcW w:w="436" w:type="dxa"/>
            <w:tcBorders>
              <w:top w:val="nil"/>
              <w:left w:val="dotted" w:sz="4" w:space="0" w:color="auto"/>
              <w:bottom w:val="nil"/>
              <w:right w:val="single" w:sz="4" w:space="0" w:color="FFFFFF"/>
            </w:tcBorders>
            <w:vAlign w:val="center"/>
            <w:hideMark/>
          </w:tcPr>
          <w:p w14:paraId="18D9AC54"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218" w:type="dxa"/>
            <w:tcBorders>
              <w:top w:val="nil"/>
              <w:left w:val="single" w:sz="4" w:space="0" w:color="FFFFFF"/>
              <w:bottom w:val="nil"/>
              <w:right w:val="dotted" w:sz="4" w:space="0" w:color="auto"/>
            </w:tcBorders>
            <w:vAlign w:val="center"/>
            <w:hideMark/>
          </w:tcPr>
          <w:p w14:paraId="71B4CCE2"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432" w:type="dxa"/>
            <w:tcBorders>
              <w:top w:val="dotted" w:sz="4" w:space="0" w:color="auto"/>
              <w:left w:val="nil"/>
              <w:bottom w:val="dotted" w:sz="4" w:space="0" w:color="auto"/>
              <w:right w:val="dotted" w:sz="4" w:space="0" w:color="auto"/>
            </w:tcBorders>
            <w:vAlign w:val="center"/>
            <w:hideMark/>
          </w:tcPr>
          <w:p w14:paraId="4024E70C"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Capital adicional y reservas</w:t>
            </w:r>
          </w:p>
        </w:tc>
        <w:tc>
          <w:tcPr>
            <w:tcW w:w="469" w:type="dxa"/>
            <w:tcBorders>
              <w:top w:val="dotted" w:sz="4" w:space="0" w:color="auto"/>
              <w:left w:val="nil"/>
              <w:bottom w:val="dotted" w:sz="4" w:space="0" w:color="auto"/>
              <w:right w:val="dotted" w:sz="4" w:space="0" w:color="auto"/>
            </w:tcBorders>
            <w:vAlign w:val="center"/>
            <w:hideMark/>
          </w:tcPr>
          <w:p w14:paraId="62C09565"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350</w:t>
            </w:r>
          </w:p>
        </w:tc>
        <w:tc>
          <w:tcPr>
            <w:tcW w:w="4831" w:type="dxa"/>
            <w:tcBorders>
              <w:top w:val="dotted" w:sz="4" w:space="0" w:color="auto"/>
              <w:left w:val="nil"/>
              <w:bottom w:val="dotted" w:sz="4" w:space="0" w:color="auto"/>
              <w:right w:val="dotted" w:sz="4" w:space="0" w:color="auto"/>
            </w:tcBorders>
            <w:vAlign w:val="center"/>
            <w:hideMark/>
          </w:tcPr>
          <w:p w14:paraId="11301BF6"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 xml:space="preserve">Capital adicional y las reservas. </w:t>
            </w:r>
          </w:p>
        </w:tc>
      </w:tr>
      <w:tr w:rsidR="008F221C" w:rsidRPr="008F221C" w14:paraId="0302B262" w14:textId="77777777" w:rsidTr="009432D4">
        <w:trPr>
          <w:trHeight w:val="573"/>
        </w:trPr>
        <w:tc>
          <w:tcPr>
            <w:tcW w:w="436" w:type="dxa"/>
            <w:tcBorders>
              <w:top w:val="nil"/>
              <w:left w:val="dotted" w:sz="4" w:space="0" w:color="auto"/>
              <w:bottom w:val="nil"/>
              <w:right w:val="single" w:sz="4" w:space="0" w:color="FFFFFF"/>
            </w:tcBorders>
            <w:noWrap/>
            <w:vAlign w:val="center"/>
            <w:hideMark/>
          </w:tcPr>
          <w:p w14:paraId="7F1A74F3"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218" w:type="dxa"/>
            <w:tcBorders>
              <w:top w:val="nil"/>
              <w:left w:val="single" w:sz="4" w:space="0" w:color="FFFFFF"/>
              <w:bottom w:val="nil"/>
              <w:right w:val="dotted" w:sz="4" w:space="0" w:color="auto"/>
            </w:tcBorders>
            <w:vAlign w:val="center"/>
            <w:hideMark/>
          </w:tcPr>
          <w:p w14:paraId="35057B00"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432" w:type="dxa"/>
            <w:tcBorders>
              <w:top w:val="nil"/>
              <w:left w:val="nil"/>
              <w:bottom w:val="dotted" w:sz="4" w:space="0" w:color="auto"/>
              <w:right w:val="dotted" w:sz="4" w:space="0" w:color="auto"/>
            </w:tcBorders>
            <w:vAlign w:val="center"/>
            <w:hideMark/>
          </w:tcPr>
          <w:p w14:paraId="2E4C780E"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Excedentes de reevaluación</w:t>
            </w:r>
          </w:p>
        </w:tc>
        <w:tc>
          <w:tcPr>
            <w:tcW w:w="469" w:type="dxa"/>
            <w:tcBorders>
              <w:top w:val="nil"/>
              <w:left w:val="nil"/>
              <w:bottom w:val="dotted" w:sz="4" w:space="0" w:color="auto"/>
              <w:right w:val="dotted" w:sz="4" w:space="0" w:color="auto"/>
            </w:tcBorders>
            <w:noWrap/>
            <w:vAlign w:val="center"/>
            <w:hideMark/>
          </w:tcPr>
          <w:p w14:paraId="46A68EBF"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360</w:t>
            </w:r>
          </w:p>
        </w:tc>
        <w:tc>
          <w:tcPr>
            <w:tcW w:w="4831" w:type="dxa"/>
            <w:tcBorders>
              <w:top w:val="nil"/>
              <w:left w:val="nil"/>
              <w:bottom w:val="dotted" w:sz="4" w:space="0" w:color="auto"/>
              <w:right w:val="dotted" w:sz="4" w:space="0" w:color="auto"/>
            </w:tcBorders>
            <w:vAlign w:val="center"/>
            <w:hideMark/>
          </w:tcPr>
          <w:p w14:paraId="7EBF112C"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 xml:space="preserve">Excedentes de revaluación. </w:t>
            </w:r>
          </w:p>
        </w:tc>
      </w:tr>
      <w:tr w:rsidR="008F221C" w:rsidRPr="008F221C" w14:paraId="306B1191" w14:textId="77777777" w:rsidTr="009432D4">
        <w:trPr>
          <w:trHeight w:val="573"/>
        </w:trPr>
        <w:tc>
          <w:tcPr>
            <w:tcW w:w="436" w:type="dxa"/>
            <w:tcBorders>
              <w:top w:val="nil"/>
              <w:left w:val="dotted" w:sz="4" w:space="0" w:color="auto"/>
              <w:bottom w:val="nil"/>
              <w:right w:val="single" w:sz="4" w:space="0" w:color="FFFFFF"/>
            </w:tcBorders>
            <w:noWrap/>
            <w:vAlign w:val="center"/>
            <w:hideMark/>
          </w:tcPr>
          <w:p w14:paraId="19821493"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218" w:type="dxa"/>
            <w:tcBorders>
              <w:top w:val="nil"/>
              <w:left w:val="single" w:sz="4" w:space="0" w:color="FFFFFF"/>
              <w:bottom w:val="nil"/>
              <w:right w:val="dotted" w:sz="4" w:space="0" w:color="auto"/>
            </w:tcBorders>
            <w:vAlign w:val="center"/>
            <w:hideMark/>
          </w:tcPr>
          <w:p w14:paraId="2E5BFD02"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432" w:type="dxa"/>
            <w:tcBorders>
              <w:top w:val="nil"/>
              <w:left w:val="nil"/>
              <w:bottom w:val="dotted" w:sz="4" w:space="0" w:color="auto"/>
              <w:right w:val="dotted" w:sz="4" w:space="0" w:color="auto"/>
            </w:tcBorders>
            <w:vAlign w:val="center"/>
            <w:hideMark/>
          </w:tcPr>
          <w:p w14:paraId="1A0609A6"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Resultados acumulados</w:t>
            </w:r>
          </w:p>
        </w:tc>
        <w:tc>
          <w:tcPr>
            <w:tcW w:w="469" w:type="dxa"/>
            <w:tcBorders>
              <w:top w:val="nil"/>
              <w:left w:val="nil"/>
              <w:bottom w:val="dotted" w:sz="4" w:space="0" w:color="auto"/>
              <w:right w:val="dotted" w:sz="4" w:space="0" w:color="auto"/>
            </w:tcBorders>
            <w:noWrap/>
            <w:vAlign w:val="center"/>
            <w:hideMark/>
          </w:tcPr>
          <w:p w14:paraId="74ACE990"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370</w:t>
            </w:r>
          </w:p>
        </w:tc>
        <w:tc>
          <w:tcPr>
            <w:tcW w:w="4831" w:type="dxa"/>
            <w:tcBorders>
              <w:top w:val="nil"/>
              <w:left w:val="nil"/>
              <w:bottom w:val="dotted" w:sz="4" w:space="0" w:color="auto"/>
              <w:right w:val="dotted" w:sz="4" w:space="0" w:color="auto"/>
            </w:tcBorders>
            <w:vAlign w:val="center"/>
            <w:hideMark/>
          </w:tcPr>
          <w:p w14:paraId="2889255C"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Resultados acumulados.</w:t>
            </w:r>
          </w:p>
        </w:tc>
      </w:tr>
      <w:tr w:rsidR="008F221C" w:rsidRPr="008F221C" w14:paraId="02A26D3B" w14:textId="77777777" w:rsidTr="009432D4">
        <w:trPr>
          <w:trHeight w:val="573"/>
        </w:trPr>
        <w:tc>
          <w:tcPr>
            <w:tcW w:w="436" w:type="dxa"/>
            <w:tcBorders>
              <w:top w:val="nil"/>
              <w:left w:val="dotted" w:sz="4" w:space="0" w:color="auto"/>
              <w:bottom w:val="nil"/>
              <w:right w:val="single" w:sz="4" w:space="0" w:color="FFFFFF"/>
            </w:tcBorders>
            <w:noWrap/>
            <w:vAlign w:val="center"/>
            <w:hideMark/>
          </w:tcPr>
          <w:p w14:paraId="168DA4AC"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218" w:type="dxa"/>
            <w:tcBorders>
              <w:top w:val="nil"/>
              <w:left w:val="single" w:sz="4" w:space="0" w:color="FFFFFF"/>
              <w:bottom w:val="nil"/>
              <w:right w:val="dotted" w:sz="4" w:space="0" w:color="auto"/>
            </w:tcBorders>
            <w:vAlign w:val="center"/>
            <w:hideMark/>
          </w:tcPr>
          <w:p w14:paraId="52F3086A"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432" w:type="dxa"/>
            <w:tcBorders>
              <w:top w:val="nil"/>
              <w:left w:val="nil"/>
              <w:bottom w:val="dotted" w:sz="4" w:space="0" w:color="auto"/>
              <w:right w:val="dotted" w:sz="4" w:space="0" w:color="auto"/>
            </w:tcBorders>
            <w:vAlign w:val="center"/>
            <w:hideMark/>
          </w:tcPr>
          <w:p w14:paraId="5096B19C"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Resultados del ejercicio</w:t>
            </w:r>
          </w:p>
        </w:tc>
        <w:tc>
          <w:tcPr>
            <w:tcW w:w="469" w:type="dxa"/>
            <w:tcBorders>
              <w:top w:val="nil"/>
              <w:left w:val="nil"/>
              <w:bottom w:val="dotted" w:sz="4" w:space="0" w:color="auto"/>
              <w:right w:val="dotted" w:sz="4" w:space="0" w:color="auto"/>
            </w:tcBorders>
            <w:noWrap/>
            <w:vAlign w:val="center"/>
            <w:hideMark/>
          </w:tcPr>
          <w:p w14:paraId="4028851D"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380</w:t>
            </w:r>
          </w:p>
        </w:tc>
        <w:tc>
          <w:tcPr>
            <w:tcW w:w="4831" w:type="dxa"/>
            <w:tcBorders>
              <w:top w:val="nil"/>
              <w:left w:val="nil"/>
              <w:bottom w:val="dotted" w:sz="4" w:space="0" w:color="auto"/>
              <w:right w:val="dotted" w:sz="4" w:space="0" w:color="auto"/>
            </w:tcBorders>
            <w:vAlign w:val="center"/>
            <w:hideMark/>
          </w:tcPr>
          <w:p w14:paraId="6D878266"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Resultados del ejercicio.</w:t>
            </w:r>
          </w:p>
        </w:tc>
      </w:tr>
      <w:tr w:rsidR="008F221C" w:rsidRPr="008F221C" w14:paraId="01441139" w14:textId="77777777" w:rsidTr="009432D4">
        <w:trPr>
          <w:trHeight w:val="573"/>
        </w:trPr>
        <w:tc>
          <w:tcPr>
            <w:tcW w:w="436" w:type="dxa"/>
            <w:tcBorders>
              <w:top w:val="nil"/>
              <w:left w:val="dotted" w:sz="4" w:space="0" w:color="auto"/>
              <w:bottom w:val="nil"/>
              <w:right w:val="single" w:sz="4" w:space="0" w:color="FFFFFF"/>
            </w:tcBorders>
            <w:noWrap/>
            <w:vAlign w:val="center"/>
            <w:hideMark/>
          </w:tcPr>
          <w:p w14:paraId="2C4532BF"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218" w:type="dxa"/>
            <w:tcBorders>
              <w:top w:val="nil"/>
              <w:left w:val="single" w:sz="4" w:space="0" w:color="FFFFFF"/>
              <w:bottom w:val="nil"/>
              <w:right w:val="dotted" w:sz="4" w:space="0" w:color="auto"/>
            </w:tcBorders>
            <w:vAlign w:val="center"/>
            <w:hideMark/>
          </w:tcPr>
          <w:p w14:paraId="75B899B6"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432" w:type="dxa"/>
            <w:tcBorders>
              <w:top w:val="nil"/>
              <w:left w:val="nil"/>
              <w:bottom w:val="dotted" w:sz="4" w:space="0" w:color="auto"/>
              <w:right w:val="dotted" w:sz="4" w:space="0" w:color="auto"/>
            </w:tcBorders>
            <w:vAlign w:val="center"/>
            <w:hideMark/>
          </w:tcPr>
          <w:p w14:paraId="45EDC12B"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Otros componentes del patrimonio</w:t>
            </w:r>
          </w:p>
        </w:tc>
        <w:tc>
          <w:tcPr>
            <w:tcW w:w="469" w:type="dxa"/>
            <w:tcBorders>
              <w:top w:val="nil"/>
              <w:left w:val="nil"/>
              <w:bottom w:val="dotted" w:sz="4" w:space="0" w:color="auto"/>
              <w:right w:val="dotted" w:sz="4" w:space="0" w:color="auto"/>
            </w:tcBorders>
            <w:noWrap/>
            <w:vAlign w:val="center"/>
            <w:hideMark/>
          </w:tcPr>
          <w:p w14:paraId="4D1877BF"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390</w:t>
            </w:r>
          </w:p>
        </w:tc>
        <w:tc>
          <w:tcPr>
            <w:tcW w:w="4831" w:type="dxa"/>
            <w:tcBorders>
              <w:top w:val="nil"/>
              <w:left w:val="nil"/>
              <w:bottom w:val="dotted" w:sz="4" w:space="0" w:color="auto"/>
              <w:right w:val="dotted" w:sz="4" w:space="0" w:color="auto"/>
            </w:tcBorders>
            <w:vAlign w:val="center"/>
            <w:hideMark/>
          </w:tcPr>
          <w:p w14:paraId="3EB6AE28"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Comprende los saldos de otros rubros del patrimonio no incluidos anteriormente (ej. acciones de inversión, resultados no realizados e intereses minoritarios).</w:t>
            </w:r>
          </w:p>
        </w:tc>
      </w:tr>
      <w:tr w:rsidR="008F221C" w:rsidRPr="008F221C" w14:paraId="41D8AC9A" w14:textId="77777777" w:rsidTr="009432D4">
        <w:trPr>
          <w:trHeight w:val="677"/>
        </w:trPr>
        <w:tc>
          <w:tcPr>
            <w:tcW w:w="436" w:type="dxa"/>
            <w:tcBorders>
              <w:top w:val="nil"/>
              <w:left w:val="dotted" w:sz="4" w:space="0" w:color="auto"/>
              <w:bottom w:val="nil"/>
              <w:right w:val="single" w:sz="4" w:space="0" w:color="FFFFFF"/>
            </w:tcBorders>
            <w:noWrap/>
            <w:vAlign w:val="center"/>
            <w:hideMark/>
          </w:tcPr>
          <w:p w14:paraId="2B555F45"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 </w:t>
            </w:r>
          </w:p>
        </w:tc>
        <w:tc>
          <w:tcPr>
            <w:tcW w:w="1218" w:type="dxa"/>
            <w:tcBorders>
              <w:top w:val="nil"/>
              <w:left w:val="single" w:sz="4" w:space="0" w:color="FFFFFF"/>
              <w:bottom w:val="nil"/>
              <w:right w:val="dotted" w:sz="4" w:space="0" w:color="auto"/>
            </w:tcBorders>
            <w:vAlign w:val="center"/>
            <w:hideMark/>
          </w:tcPr>
          <w:p w14:paraId="0534B050"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432" w:type="dxa"/>
            <w:tcBorders>
              <w:top w:val="nil"/>
              <w:left w:val="nil"/>
              <w:bottom w:val="dotted" w:sz="4" w:space="0" w:color="auto"/>
              <w:right w:val="dotted" w:sz="4" w:space="0" w:color="auto"/>
            </w:tcBorders>
            <w:vAlign w:val="center"/>
            <w:hideMark/>
          </w:tcPr>
          <w:p w14:paraId="515CAEA9"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Patrimonio neto</w:t>
            </w:r>
          </w:p>
        </w:tc>
        <w:tc>
          <w:tcPr>
            <w:tcW w:w="469" w:type="dxa"/>
            <w:tcBorders>
              <w:top w:val="nil"/>
              <w:left w:val="nil"/>
              <w:bottom w:val="dotted" w:sz="4" w:space="0" w:color="auto"/>
              <w:right w:val="dotted" w:sz="4" w:space="0" w:color="auto"/>
            </w:tcBorders>
            <w:noWrap/>
            <w:vAlign w:val="center"/>
            <w:hideMark/>
          </w:tcPr>
          <w:p w14:paraId="6BA5776D"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400</w:t>
            </w:r>
          </w:p>
        </w:tc>
        <w:tc>
          <w:tcPr>
            <w:tcW w:w="4831" w:type="dxa"/>
            <w:tcBorders>
              <w:top w:val="nil"/>
              <w:left w:val="nil"/>
              <w:bottom w:val="dotted" w:sz="4" w:space="0" w:color="auto"/>
              <w:right w:val="dotted" w:sz="4" w:space="0" w:color="auto"/>
            </w:tcBorders>
            <w:vAlign w:val="center"/>
            <w:hideMark/>
          </w:tcPr>
          <w:p w14:paraId="45E373A7"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Corresponde a los activos netos de los pasivos, es decir, a la resta de las columnas 200-330. Este resultado debe ser igual a la suma de las columnas 340+350+360+370+380+390.</w:t>
            </w:r>
          </w:p>
        </w:tc>
      </w:tr>
      <w:tr w:rsidR="008F221C" w:rsidRPr="008F221C" w14:paraId="05784600" w14:textId="77777777" w:rsidTr="009432D4">
        <w:trPr>
          <w:trHeight w:val="335"/>
        </w:trPr>
        <w:tc>
          <w:tcPr>
            <w:tcW w:w="1654" w:type="dxa"/>
            <w:gridSpan w:val="2"/>
            <w:vMerge w:val="restart"/>
            <w:tcBorders>
              <w:top w:val="dotted" w:sz="4" w:space="0" w:color="auto"/>
              <w:left w:val="dotted" w:sz="4" w:space="0" w:color="auto"/>
              <w:bottom w:val="nil"/>
              <w:right w:val="dotted" w:sz="4" w:space="0" w:color="000000"/>
            </w:tcBorders>
            <w:vAlign w:val="center"/>
            <w:hideMark/>
          </w:tcPr>
          <w:p w14:paraId="30626F1B"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Cuentas de Resultado</w:t>
            </w:r>
          </w:p>
        </w:tc>
        <w:tc>
          <w:tcPr>
            <w:tcW w:w="1432" w:type="dxa"/>
            <w:tcBorders>
              <w:top w:val="nil"/>
              <w:left w:val="nil"/>
              <w:bottom w:val="nil"/>
              <w:right w:val="dotted" w:sz="4" w:space="0" w:color="auto"/>
            </w:tcBorders>
            <w:vAlign w:val="center"/>
            <w:hideMark/>
          </w:tcPr>
          <w:p w14:paraId="4B4D2C82"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Ventas</w:t>
            </w:r>
          </w:p>
        </w:tc>
        <w:tc>
          <w:tcPr>
            <w:tcW w:w="469" w:type="dxa"/>
            <w:tcBorders>
              <w:top w:val="nil"/>
              <w:left w:val="nil"/>
              <w:bottom w:val="nil"/>
              <w:right w:val="dotted" w:sz="4" w:space="0" w:color="auto"/>
            </w:tcBorders>
            <w:noWrap/>
            <w:vAlign w:val="center"/>
            <w:hideMark/>
          </w:tcPr>
          <w:p w14:paraId="6AB15EED"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410</w:t>
            </w:r>
          </w:p>
        </w:tc>
        <w:tc>
          <w:tcPr>
            <w:tcW w:w="4831" w:type="dxa"/>
            <w:tcBorders>
              <w:top w:val="nil"/>
              <w:left w:val="nil"/>
              <w:bottom w:val="nil"/>
              <w:right w:val="dotted" w:sz="4" w:space="0" w:color="auto"/>
            </w:tcBorders>
            <w:vAlign w:val="center"/>
            <w:hideMark/>
          </w:tcPr>
          <w:p w14:paraId="319392EC"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Ventas netas y/o ingresos por servicios.</w:t>
            </w:r>
          </w:p>
        </w:tc>
      </w:tr>
      <w:tr w:rsidR="008F221C" w:rsidRPr="008F221C" w14:paraId="52540993" w14:textId="77777777" w:rsidTr="009432D4">
        <w:trPr>
          <w:trHeight w:val="558"/>
        </w:trPr>
        <w:tc>
          <w:tcPr>
            <w:tcW w:w="1654" w:type="dxa"/>
            <w:gridSpan w:val="2"/>
            <w:vMerge/>
            <w:tcBorders>
              <w:top w:val="dotted" w:sz="4" w:space="0" w:color="auto"/>
              <w:left w:val="dotted" w:sz="4" w:space="0" w:color="auto"/>
              <w:bottom w:val="nil"/>
              <w:right w:val="dotted" w:sz="4" w:space="0" w:color="000000"/>
            </w:tcBorders>
            <w:vAlign w:val="center"/>
            <w:hideMark/>
          </w:tcPr>
          <w:p w14:paraId="72220E71"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p>
        </w:tc>
        <w:tc>
          <w:tcPr>
            <w:tcW w:w="1432" w:type="dxa"/>
            <w:tcBorders>
              <w:top w:val="dotted" w:sz="4" w:space="0" w:color="auto"/>
              <w:left w:val="nil"/>
              <w:bottom w:val="dotted" w:sz="4" w:space="0" w:color="auto"/>
              <w:right w:val="dotted" w:sz="4" w:space="0" w:color="auto"/>
            </w:tcBorders>
            <w:vAlign w:val="center"/>
            <w:hideMark/>
          </w:tcPr>
          <w:p w14:paraId="1F90F7D8"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Costo de ventas</w:t>
            </w:r>
          </w:p>
        </w:tc>
        <w:tc>
          <w:tcPr>
            <w:tcW w:w="469" w:type="dxa"/>
            <w:tcBorders>
              <w:top w:val="dotted" w:sz="4" w:space="0" w:color="auto"/>
              <w:left w:val="nil"/>
              <w:bottom w:val="dotted" w:sz="4" w:space="0" w:color="auto"/>
              <w:right w:val="dotted" w:sz="4" w:space="0" w:color="auto"/>
            </w:tcBorders>
            <w:noWrap/>
            <w:vAlign w:val="center"/>
            <w:hideMark/>
          </w:tcPr>
          <w:p w14:paraId="1780D770"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420</w:t>
            </w:r>
          </w:p>
        </w:tc>
        <w:tc>
          <w:tcPr>
            <w:tcW w:w="4831" w:type="dxa"/>
            <w:tcBorders>
              <w:top w:val="dotted" w:sz="4" w:space="0" w:color="auto"/>
              <w:left w:val="nil"/>
              <w:bottom w:val="dotted" w:sz="4" w:space="0" w:color="auto"/>
              <w:right w:val="dotted" w:sz="4" w:space="0" w:color="auto"/>
            </w:tcBorders>
            <w:vAlign w:val="center"/>
            <w:hideMark/>
          </w:tcPr>
          <w:p w14:paraId="44D59F7B"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Costo de ventas y/o servicios.</w:t>
            </w:r>
          </w:p>
        </w:tc>
      </w:tr>
      <w:tr w:rsidR="008F221C" w:rsidRPr="008F221C" w14:paraId="4733D485" w14:textId="77777777" w:rsidTr="009432D4">
        <w:trPr>
          <w:trHeight w:val="833"/>
        </w:trPr>
        <w:tc>
          <w:tcPr>
            <w:tcW w:w="436" w:type="dxa"/>
            <w:tcBorders>
              <w:top w:val="nil"/>
              <w:left w:val="dotted" w:sz="4" w:space="0" w:color="auto"/>
              <w:bottom w:val="nil"/>
              <w:right w:val="single" w:sz="4" w:space="0" w:color="FFFFFF"/>
            </w:tcBorders>
            <w:noWrap/>
            <w:vAlign w:val="center"/>
            <w:hideMark/>
          </w:tcPr>
          <w:p w14:paraId="7D0028B6"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 </w:t>
            </w:r>
          </w:p>
        </w:tc>
        <w:tc>
          <w:tcPr>
            <w:tcW w:w="1218" w:type="dxa"/>
            <w:tcBorders>
              <w:top w:val="nil"/>
              <w:left w:val="single" w:sz="4" w:space="0" w:color="FFFFFF"/>
              <w:bottom w:val="nil"/>
              <w:right w:val="dotted" w:sz="4" w:space="0" w:color="auto"/>
            </w:tcBorders>
            <w:vAlign w:val="center"/>
            <w:hideMark/>
          </w:tcPr>
          <w:p w14:paraId="0A26C5EE"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432" w:type="dxa"/>
            <w:tcBorders>
              <w:top w:val="nil"/>
              <w:left w:val="nil"/>
              <w:bottom w:val="nil"/>
              <w:right w:val="dotted" w:sz="4" w:space="0" w:color="auto"/>
            </w:tcBorders>
            <w:vAlign w:val="center"/>
            <w:hideMark/>
          </w:tcPr>
          <w:p w14:paraId="0C840006"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Gastos de operación administrativos y de ventas</w:t>
            </w:r>
          </w:p>
        </w:tc>
        <w:tc>
          <w:tcPr>
            <w:tcW w:w="469" w:type="dxa"/>
            <w:tcBorders>
              <w:top w:val="nil"/>
              <w:left w:val="nil"/>
              <w:bottom w:val="nil"/>
              <w:right w:val="dotted" w:sz="4" w:space="0" w:color="auto"/>
            </w:tcBorders>
            <w:noWrap/>
            <w:vAlign w:val="center"/>
            <w:hideMark/>
          </w:tcPr>
          <w:p w14:paraId="3F01A160"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430</w:t>
            </w:r>
          </w:p>
        </w:tc>
        <w:tc>
          <w:tcPr>
            <w:tcW w:w="4831" w:type="dxa"/>
            <w:tcBorders>
              <w:top w:val="nil"/>
              <w:left w:val="nil"/>
              <w:bottom w:val="nil"/>
              <w:right w:val="dotted" w:sz="4" w:space="0" w:color="auto"/>
            </w:tcBorders>
            <w:vAlign w:val="center"/>
            <w:hideMark/>
          </w:tcPr>
          <w:p w14:paraId="3C98A662"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Gastos de Operación: Administrativos, de Ventas y Otros gastos operativos.</w:t>
            </w:r>
          </w:p>
        </w:tc>
      </w:tr>
      <w:tr w:rsidR="008F221C" w:rsidRPr="008F221C" w14:paraId="787A9C41" w14:textId="77777777" w:rsidTr="009432D4">
        <w:trPr>
          <w:trHeight w:val="833"/>
        </w:trPr>
        <w:tc>
          <w:tcPr>
            <w:tcW w:w="436" w:type="dxa"/>
            <w:tcBorders>
              <w:top w:val="nil"/>
              <w:left w:val="dotted" w:sz="4" w:space="0" w:color="auto"/>
              <w:bottom w:val="nil"/>
              <w:right w:val="single" w:sz="4" w:space="0" w:color="FFFFFF"/>
            </w:tcBorders>
            <w:noWrap/>
            <w:vAlign w:val="center"/>
            <w:hideMark/>
          </w:tcPr>
          <w:p w14:paraId="2A6CC0C5"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 </w:t>
            </w:r>
          </w:p>
        </w:tc>
        <w:tc>
          <w:tcPr>
            <w:tcW w:w="1218" w:type="dxa"/>
            <w:tcBorders>
              <w:top w:val="nil"/>
              <w:left w:val="single" w:sz="4" w:space="0" w:color="FFFFFF"/>
              <w:bottom w:val="nil"/>
              <w:right w:val="dotted" w:sz="4" w:space="0" w:color="auto"/>
            </w:tcBorders>
            <w:vAlign w:val="center"/>
            <w:hideMark/>
          </w:tcPr>
          <w:p w14:paraId="292BFFDD"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432" w:type="dxa"/>
            <w:tcBorders>
              <w:top w:val="dotted" w:sz="4" w:space="0" w:color="auto"/>
              <w:left w:val="nil"/>
              <w:bottom w:val="nil"/>
              <w:right w:val="dotted" w:sz="4" w:space="0" w:color="auto"/>
            </w:tcBorders>
            <w:vAlign w:val="center"/>
            <w:hideMark/>
          </w:tcPr>
          <w:p w14:paraId="180380E7"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Otros ingresos operativos netos</w:t>
            </w:r>
          </w:p>
        </w:tc>
        <w:tc>
          <w:tcPr>
            <w:tcW w:w="469" w:type="dxa"/>
            <w:tcBorders>
              <w:top w:val="dotted" w:sz="4" w:space="0" w:color="auto"/>
              <w:left w:val="nil"/>
              <w:bottom w:val="nil"/>
              <w:right w:val="dotted" w:sz="4" w:space="0" w:color="auto"/>
            </w:tcBorders>
            <w:noWrap/>
            <w:vAlign w:val="center"/>
            <w:hideMark/>
          </w:tcPr>
          <w:p w14:paraId="5974D98F"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440</w:t>
            </w:r>
          </w:p>
        </w:tc>
        <w:tc>
          <w:tcPr>
            <w:tcW w:w="4831" w:type="dxa"/>
            <w:tcBorders>
              <w:top w:val="dotted" w:sz="4" w:space="0" w:color="auto"/>
              <w:left w:val="nil"/>
              <w:bottom w:val="nil"/>
              <w:right w:val="dotted" w:sz="4" w:space="0" w:color="auto"/>
            </w:tcBorders>
            <w:vAlign w:val="center"/>
            <w:hideMark/>
          </w:tcPr>
          <w:p w14:paraId="72CB3344"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Otros ingresos operativos netos: otros ingresos menos otros gastos operativos.</w:t>
            </w:r>
          </w:p>
        </w:tc>
      </w:tr>
      <w:tr w:rsidR="008F221C" w:rsidRPr="008F221C" w14:paraId="3F47E217" w14:textId="77777777" w:rsidTr="009432D4">
        <w:trPr>
          <w:trHeight w:val="833"/>
        </w:trPr>
        <w:tc>
          <w:tcPr>
            <w:tcW w:w="436" w:type="dxa"/>
            <w:tcBorders>
              <w:top w:val="nil"/>
              <w:left w:val="dotted" w:sz="4" w:space="0" w:color="auto"/>
              <w:bottom w:val="nil"/>
              <w:right w:val="single" w:sz="4" w:space="0" w:color="FFFFFF"/>
            </w:tcBorders>
            <w:noWrap/>
            <w:vAlign w:val="center"/>
            <w:hideMark/>
          </w:tcPr>
          <w:p w14:paraId="12C960D4"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 </w:t>
            </w:r>
          </w:p>
        </w:tc>
        <w:tc>
          <w:tcPr>
            <w:tcW w:w="1218" w:type="dxa"/>
            <w:tcBorders>
              <w:top w:val="nil"/>
              <w:left w:val="single" w:sz="4" w:space="0" w:color="FFFFFF"/>
              <w:bottom w:val="nil"/>
              <w:right w:val="dotted" w:sz="4" w:space="0" w:color="auto"/>
            </w:tcBorders>
            <w:vAlign w:val="center"/>
            <w:hideMark/>
          </w:tcPr>
          <w:p w14:paraId="52945831"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432" w:type="dxa"/>
            <w:tcBorders>
              <w:top w:val="dotted" w:sz="4" w:space="0" w:color="auto"/>
              <w:left w:val="nil"/>
              <w:bottom w:val="nil"/>
              <w:right w:val="dotted" w:sz="4" w:space="0" w:color="auto"/>
            </w:tcBorders>
            <w:vAlign w:val="center"/>
            <w:hideMark/>
          </w:tcPr>
          <w:p w14:paraId="20082BF7"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Depreciación y Amortización</w:t>
            </w:r>
          </w:p>
        </w:tc>
        <w:tc>
          <w:tcPr>
            <w:tcW w:w="469" w:type="dxa"/>
            <w:tcBorders>
              <w:top w:val="dotted" w:sz="4" w:space="0" w:color="auto"/>
              <w:left w:val="nil"/>
              <w:bottom w:val="nil"/>
              <w:right w:val="dotted" w:sz="4" w:space="0" w:color="auto"/>
            </w:tcBorders>
            <w:noWrap/>
            <w:vAlign w:val="center"/>
            <w:hideMark/>
          </w:tcPr>
          <w:p w14:paraId="748B663D"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450</w:t>
            </w:r>
          </w:p>
        </w:tc>
        <w:tc>
          <w:tcPr>
            <w:tcW w:w="4831" w:type="dxa"/>
            <w:tcBorders>
              <w:top w:val="dotted" w:sz="4" w:space="0" w:color="auto"/>
              <w:left w:val="nil"/>
              <w:bottom w:val="nil"/>
              <w:right w:val="dotted" w:sz="4" w:space="0" w:color="auto"/>
            </w:tcBorders>
            <w:vAlign w:val="center"/>
            <w:hideMark/>
          </w:tcPr>
          <w:p w14:paraId="22DE2541"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Gasto por depreciación y amortización. Solo se debe completar en caso el gasto de Depreciación y Amortización no está incluido en el rubro de Costo de ventas y/o Gastos de operación administrativos y de ventas.</w:t>
            </w:r>
          </w:p>
        </w:tc>
      </w:tr>
      <w:tr w:rsidR="008F221C" w:rsidRPr="008F221C" w14:paraId="0B7DCC7F" w14:textId="77777777" w:rsidTr="009432D4">
        <w:trPr>
          <w:trHeight w:val="297"/>
        </w:trPr>
        <w:tc>
          <w:tcPr>
            <w:tcW w:w="436" w:type="dxa"/>
            <w:tcBorders>
              <w:top w:val="nil"/>
              <w:left w:val="dotted" w:sz="4" w:space="0" w:color="auto"/>
              <w:bottom w:val="nil"/>
              <w:right w:val="single" w:sz="4" w:space="0" w:color="FFFFFF"/>
            </w:tcBorders>
            <w:noWrap/>
            <w:vAlign w:val="center"/>
            <w:hideMark/>
          </w:tcPr>
          <w:p w14:paraId="43B95E07"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 </w:t>
            </w:r>
          </w:p>
        </w:tc>
        <w:tc>
          <w:tcPr>
            <w:tcW w:w="1218" w:type="dxa"/>
            <w:tcBorders>
              <w:top w:val="nil"/>
              <w:left w:val="single" w:sz="4" w:space="0" w:color="FFFFFF"/>
              <w:bottom w:val="nil"/>
              <w:right w:val="dotted" w:sz="4" w:space="0" w:color="auto"/>
            </w:tcBorders>
            <w:vAlign w:val="center"/>
            <w:hideMark/>
          </w:tcPr>
          <w:p w14:paraId="39590BEF"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432" w:type="dxa"/>
            <w:tcBorders>
              <w:top w:val="dotted" w:sz="4" w:space="0" w:color="auto"/>
              <w:left w:val="nil"/>
              <w:bottom w:val="dotted" w:sz="4" w:space="0" w:color="auto"/>
              <w:right w:val="dotted" w:sz="4" w:space="0" w:color="auto"/>
            </w:tcBorders>
            <w:vAlign w:val="center"/>
            <w:hideMark/>
          </w:tcPr>
          <w:p w14:paraId="282B9E0D"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Ingresos financieros</w:t>
            </w:r>
          </w:p>
        </w:tc>
        <w:tc>
          <w:tcPr>
            <w:tcW w:w="469" w:type="dxa"/>
            <w:tcBorders>
              <w:top w:val="dotted" w:sz="4" w:space="0" w:color="auto"/>
              <w:left w:val="nil"/>
              <w:bottom w:val="dotted" w:sz="4" w:space="0" w:color="auto"/>
              <w:right w:val="dotted" w:sz="4" w:space="0" w:color="auto"/>
            </w:tcBorders>
            <w:noWrap/>
            <w:vAlign w:val="center"/>
            <w:hideMark/>
          </w:tcPr>
          <w:p w14:paraId="2C5B247A"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460</w:t>
            </w:r>
          </w:p>
        </w:tc>
        <w:tc>
          <w:tcPr>
            <w:tcW w:w="4831" w:type="dxa"/>
            <w:tcBorders>
              <w:top w:val="dotted" w:sz="4" w:space="0" w:color="auto"/>
              <w:left w:val="nil"/>
              <w:bottom w:val="dotted" w:sz="4" w:space="0" w:color="auto"/>
              <w:right w:val="dotted" w:sz="4" w:space="0" w:color="auto"/>
            </w:tcBorders>
            <w:vAlign w:val="center"/>
            <w:hideMark/>
          </w:tcPr>
          <w:p w14:paraId="3F93284C"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Ingresos financieros. No considerar ganancias por tipo de cambio.</w:t>
            </w:r>
          </w:p>
        </w:tc>
      </w:tr>
      <w:tr w:rsidR="008F221C" w:rsidRPr="008F221C" w14:paraId="69329F32" w14:textId="77777777" w:rsidTr="009432D4">
        <w:trPr>
          <w:trHeight w:val="297"/>
        </w:trPr>
        <w:tc>
          <w:tcPr>
            <w:tcW w:w="436" w:type="dxa"/>
            <w:tcBorders>
              <w:top w:val="nil"/>
              <w:left w:val="dotted" w:sz="4" w:space="0" w:color="auto"/>
              <w:bottom w:val="nil"/>
              <w:right w:val="single" w:sz="4" w:space="0" w:color="FFFFFF"/>
            </w:tcBorders>
            <w:noWrap/>
            <w:vAlign w:val="center"/>
            <w:hideMark/>
          </w:tcPr>
          <w:p w14:paraId="741AD24A"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 </w:t>
            </w:r>
          </w:p>
        </w:tc>
        <w:tc>
          <w:tcPr>
            <w:tcW w:w="1218" w:type="dxa"/>
            <w:tcBorders>
              <w:top w:val="nil"/>
              <w:left w:val="single" w:sz="4" w:space="0" w:color="FFFFFF"/>
              <w:bottom w:val="nil"/>
              <w:right w:val="dotted" w:sz="4" w:space="0" w:color="auto"/>
            </w:tcBorders>
            <w:vAlign w:val="center"/>
            <w:hideMark/>
          </w:tcPr>
          <w:p w14:paraId="44025CE4"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432" w:type="dxa"/>
            <w:tcBorders>
              <w:top w:val="nil"/>
              <w:left w:val="nil"/>
              <w:bottom w:val="dotted" w:sz="4" w:space="0" w:color="auto"/>
              <w:right w:val="dotted" w:sz="4" w:space="0" w:color="auto"/>
            </w:tcBorders>
            <w:vAlign w:val="center"/>
            <w:hideMark/>
          </w:tcPr>
          <w:p w14:paraId="29B261FC"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Gastos financieros</w:t>
            </w:r>
          </w:p>
        </w:tc>
        <w:tc>
          <w:tcPr>
            <w:tcW w:w="469" w:type="dxa"/>
            <w:tcBorders>
              <w:top w:val="nil"/>
              <w:left w:val="nil"/>
              <w:bottom w:val="dotted" w:sz="4" w:space="0" w:color="auto"/>
              <w:right w:val="dotted" w:sz="4" w:space="0" w:color="auto"/>
            </w:tcBorders>
            <w:noWrap/>
            <w:vAlign w:val="center"/>
            <w:hideMark/>
          </w:tcPr>
          <w:p w14:paraId="3B65BB24"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470</w:t>
            </w:r>
          </w:p>
        </w:tc>
        <w:tc>
          <w:tcPr>
            <w:tcW w:w="4831" w:type="dxa"/>
            <w:tcBorders>
              <w:top w:val="nil"/>
              <w:left w:val="nil"/>
              <w:bottom w:val="dotted" w:sz="4" w:space="0" w:color="auto"/>
              <w:right w:val="dotted" w:sz="4" w:space="0" w:color="auto"/>
            </w:tcBorders>
            <w:vAlign w:val="center"/>
            <w:hideMark/>
          </w:tcPr>
          <w:p w14:paraId="48C92F91"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Gastos financieros. No considerar pérdidas por tipo de cambio.</w:t>
            </w:r>
          </w:p>
        </w:tc>
      </w:tr>
      <w:tr w:rsidR="008F221C" w:rsidRPr="008F221C" w14:paraId="737552FD" w14:textId="77777777" w:rsidTr="009432D4">
        <w:trPr>
          <w:trHeight w:val="845"/>
        </w:trPr>
        <w:tc>
          <w:tcPr>
            <w:tcW w:w="436" w:type="dxa"/>
            <w:tcBorders>
              <w:top w:val="nil"/>
              <w:left w:val="dotted" w:sz="4" w:space="0" w:color="auto"/>
              <w:bottom w:val="nil"/>
              <w:right w:val="single" w:sz="4" w:space="0" w:color="FFFFFF"/>
            </w:tcBorders>
            <w:noWrap/>
            <w:vAlign w:val="center"/>
            <w:hideMark/>
          </w:tcPr>
          <w:p w14:paraId="561232FB"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 </w:t>
            </w:r>
          </w:p>
        </w:tc>
        <w:tc>
          <w:tcPr>
            <w:tcW w:w="1218" w:type="dxa"/>
            <w:tcBorders>
              <w:top w:val="nil"/>
              <w:left w:val="single" w:sz="4" w:space="0" w:color="FFFFFF"/>
              <w:bottom w:val="nil"/>
              <w:right w:val="dotted" w:sz="4" w:space="0" w:color="auto"/>
            </w:tcBorders>
            <w:vAlign w:val="center"/>
            <w:hideMark/>
          </w:tcPr>
          <w:p w14:paraId="133A9DA7"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432" w:type="dxa"/>
            <w:tcBorders>
              <w:top w:val="nil"/>
              <w:left w:val="nil"/>
              <w:bottom w:val="dotted" w:sz="4" w:space="0" w:color="auto"/>
              <w:right w:val="dotted" w:sz="4" w:space="0" w:color="auto"/>
            </w:tcBorders>
            <w:vAlign w:val="center"/>
            <w:hideMark/>
          </w:tcPr>
          <w:p w14:paraId="4ABEDAAC"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Otros Ingresos netos</w:t>
            </w:r>
          </w:p>
        </w:tc>
        <w:tc>
          <w:tcPr>
            <w:tcW w:w="469" w:type="dxa"/>
            <w:tcBorders>
              <w:top w:val="nil"/>
              <w:left w:val="nil"/>
              <w:bottom w:val="dotted" w:sz="4" w:space="0" w:color="auto"/>
              <w:right w:val="dotted" w:sz="4" w:space="0" w:color="auto"/>
            </w:tcBorders>
            <w:noWrap/>
            <w:vAlign w:val="center"/>
            <w:hideMark/>
          </w:tcPr>
          <w:p w14:paraId="16D7CB82"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480</w:t>
            </w:r>
          </w:p>
        </w:tc>
        <w:tc>
          <w:tcPr>
            <w:tcW w:w="4831" w:type="dxa"/>
            <w:tcBorders>
              <w:top w:val="nil"/>
              <w:left w:val="nil"/>
              <w:bottom w:val="dotted" w:sz="4" w:space="0" w:color="auto"/>
              <w:right w:val="dotted" w:sz="4" w:space="0" w:color="auto"/>
            </w:tcBorders>
            <w:vAlign w:val="center"/>
            <w:hideMark/>
          </w:tcPr>
          <w:p w14:paraId="6FA6F797"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Otros ingresos netos: otros ingresos menos otros gastos, sin considerar los ingresos y gastos operativos. Incluye los ingresos netos extraordinarios, así como los ingresos netos por tipo de cambio, de existir.</w:t>
            </w:r>
          </w:p>
        </w:tc>
      </w:tr>
      <w:tr w:rsidR="008F221C" w:rsidRPr="008F221C" w14:paraId="71117A4B" w14:textId="77777777" w:rsidTr="009432D4">
        <w:trPr>
          <w:trHeight w:val="297"/>
        </w:trPr>
        <w:tc>
          <w:tcPr>
            <w:tcW w:w="436" w:type="dxa"/>
            <w:tcBorders>
              <w:top w:val="nil"/>
              <w:left w:val="dotted" w:sz="4" w:space="0" w:color="auto"/>
              <w:bottom w:val="nil"/>
              <w:right w:val="single" w:sz="4" w:space="0" w:color="FFFFFF"/>
            </w:tcBorders>
            <w:noWrap/>
            <w:vAlign w:val="center"/>
            <w:hideMark/>
          </w:tcPr>
          <w:p w14:paraId="76FDACEB"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 </w:t>
            </w:r>
          </w:p>
        </w:tc>
        <w:tc>
          <w:tcPr>
            <w:tcW w:w="1218" w:type="dxa"/>
            <w:tcBorders>
              <w:top w:val="nil"/>
              <w:left w:val="single" w:sz="4" w:space="0" w:color="FFFFFF"/>
              <w:bottom w:val="nil"/>
              <w:right w:val="dotted" w:sz="4" w:space="0" w:color="auto"/>
            </w:tcBorders>
            <w:vAlign w:val="center"/>
            <w:hideMark/>
          </w:tcPr>
          <w:p w14:paraId="7CDF9AB2"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432" w:type="dxa"/>
            <w:tcBorders>
              <w:top w:val="nil"/>
              <w:left w:val="nil"/>
              <w:bottom w:val="dotted" w:sz="4" w:space="0" w:color="auto"/>
              <w:right w:val="dotted" w:sz="4" w:space="0" w:color="auto"/>
            </w:tcBorders>
            <w:vAlign w:val="center"/>
            <w:hideMark/>
          </w:tcPr>
          <w:p w14:paraId="293E8B16"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Impuesto a la renta</w:t>
            </w:r>
          </w:p>
        </w:tc>
        <w:tc>
          <w:tcPr>
            <w:tcW w:w="469" w:type="dxa"/>
            <w:tcBorders>
              <w:top w:val="nil"/>
              <w:left w:val="nil"/>
              <w:bottom w:val="nil"/>
              <w:right w:val="dotted" w:sz="4" w:space="0" w:color="auto"/>
            </w:tcBorders>
            <w:noWrap/>
            <w:vAlign w:val="center"/>
            <w:hideMark/>
          </w:tcPr>
          <w:p w14:paraId="5F6A9E89"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490</w:t>
            </w:r>
          </w:p>
        </w:tc>
        <w:tc>
          <w:tcPr>
            <w:tcW w:w="4831" w:type="dxa"/>
            <w:tcBorders>
              <w:top w:val="nil"/>
              <w:left w:val="nil"/>
              <w:bottom w:val="dotted" w:sz="4" w:space="0" w:color="auto"/>
              <w:right w:val="dotted" w:sz="4" w:space="0" w:color="auto"/>
            </w:tcBorders>
            <w:vAlign w:val="center"/>
            <w:hideMark/>
          </w:tcPr>
          <w:p w14:paraId="1850DBEB"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Impuesto a la renta.</w:t>
            </w:r>
          </w:p>
        </w:tc>
      </w:tr>
      <w:tr w:rsidR="008F221C" w:rsidRPr="008F221C" w14:paraId="05C1BF5E" w14:textId="77777777" w:rsidTr="009432D4">
        <w:trPr>
          <w:trHeight w:val="547"/>
        </w:trPr>
        <w:tc>
          <w:tcPr>
            <w:tcW w:w="436" w:type="dxa"/>
            <w:tcBorders>
              <w:top w:val="nil"/>
              <w:left w:val="dotted" w:sz="4" w:space="0" w:color="auto"/>
              <w:bottom w:val="nil"/>
              <w:right w:val="single" w:sz="4" w:space="0" w:color="FFFFFF"/>
            </w:tcBorders>
            <w:noWrap/>
            <w:vAlign w:val="center"/>
            <w:hideMark/>
          </w:tcPr>
          <w:p w14:paraId="468D8ABA" w14:textId="77777777" w:rsidR="008F221C" w:rsidRPr="008F221C" w:rsidRDefault="008F221C" w:rsidP="008F221C">
            <w:pPr>
              <w:spacing w:after="0" w:line="240" w:lineRule="auto"/>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 </w:t>
            </w:r>
          </w:p>
        </w:tc>
        <w:tc>
          <w:tcPr>
            <w:tcW w:w="1218" w:type="dxa"/>
            <w:tcBorders>
              <w:top w:val="nil"/>
              <w:left w:val="single" w:sz="4" w:space="0" w:color="FFFFFF"/>
              <w:bottom w:val="nil"/>
              <w:right w:val="dotted" w:sz="4" w:space="0" w:color="auto"/>
            </w:tcBorders>
            <w:vAlign w:val="center"/>
            <w:hideMark/>
          </w:tcPr>
          <w:p w14:paraId="3F0FE899"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1432" w:type="dxa"/>
            <w:tcBorders>
              <w:top w:val="nil"/>
              <w:left w:val="nil"/>
              <w:bottom w:val="nil"/>
              <w:right w:val="dotted" w:sz="4" w:space="0" w:color="auto"/>
            </w:tcBorders>
            <w:vAlign w:val="center"/>
            <w:hideMark/>
          </w:tcPr>
          <w:p w14:paraId="605B060E"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Utilidad (Pérdida) neta</w:t>
            </w:r>
          </w:p>
        </w:tc>
        <w:tc>
          <w:tcPr>
            <w:tcW w:w="469" w:type="dxa"/>
            <w:tcBorders>
              <w:top w:val="dotted" w:sz="4" w:space="0" w:color="auto"/>
              <w:left w:val="nil"/>
              <w:bottom w:val="nil"/>
              <w:right w:val="dotted" w:sz="4" w:space="0" w:color="auto"/>
            </w:tcBorders>
            <w:noWrap/>
            <w:vAlign w:val="center"/>
            <w:hideMark/>
          </w:tcPr>
          <w:p w14:paraId="1F042413"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500</w:t>
            </w:r>
          </w:p>
        </w:tc>
        <w:tc>
          <w:tcPr>
            <w:tcW w:w="4831" w:type="dxa"/>
            <w:tcBorders>
              <w:top w:val="nil"/>
              <w:left w:val="nil"/>
              <w:bottom w:val="nil"/>
              <w:right w:val="dotted" w:sz="4" w:space="0" w:color="auto"/>
            </w:tcBorders>
            <w:vAlign w:val="center"/>
            <w:hideMark/>
          </w:tcPr>
          <w:p w14:paraId="7CE8B056"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Utilidad o pérdida neta. Debe corresponder a la suma de las columnas 410+420+430+440+450+460+470+480+490.</w:t>
            </w:r>
          </w:p>
        </w:tc>
      </w:tr>
      <w:tr w:rsidR="008F221C" w:rsidRPr="008F221C" w14:paraId="4AB2EDB7" w14:textId="77777777" w:rsidTr="009432D4">
        <w:trPr>
          <w:trHeight w:val="758"/>
        </w:trPr>
        <w:tc>
          <w:tcPr>
            <w:tcW w:w="1654" w:type="dxa"/>
            <w:gridSpan w:val="2"/>
            <w:tcBorders>
              <w:top w:val="dotted" w:sz="4" w:space="0" w:color="auto"/>
              <w:left w:val="dotted" w:sz="4" w:space="0" w:color="auto"/>
              <w:bottom w:val="dotted" w:sz="4" w:space="0" w:color="auto"/>
              <w:right w:val="dotted" w:sz="4" w:space="0" w:color="000000"/>
            </w:tcBorders>
            <w:vAlign w:val="center"/>
            <w:hideMark/>
          </w:tcPr>
          <w:p w14:paraId="74D730D1"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Depreciación y Amortización</w:t>
            </w:r>
          </w:p>
        </w:tc>
        <w:tc>
          <w:tcPr>
            <w:tcW w:w="1432" w:type="dxa"/>
            <w:tcBorders>
              <w:top w:val="dotted" w:sz="4" w:space="0" w:color="auto"/>
              <w:left w:val="nil"/>
              <w:bottom w:val="nil"/>
              <w:right w:val="dotted" w:sz="4" w:space="0" w:color="auto"/>
            </w:tcBorders>
            <w:vAlign w:val="center"/>
            <w:hideMark/>
          </w:tcPr>
          <w:p w14:paraId="7E78C08D"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469" w:type="dxa"/>
            <w:tcBorders>
              <w:top w:val="dotted" w:sz="4" w:space="0" w:color="auto"/>
              <w:left w:val="nil"/>
              <w:bottom w:val="nil"/>
              <w:right w:val="dotted" w:sz="4" w:space="0" w:color="auto"/>
            </w:tcBorders>
            <w:noWrap/>
            <w:vAlign w:val="center"/>
            <w:hideMark/>
          </w:tcPr>
          <w:p w14:paraId="797FE086"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510</w:t>
            </w:r>
          </w:p>
        </w:tc>
        <w:tc>
          <w:tcPr>
            <w:tcW w:w="4831" w:type="dxa"/>
            <w:tcBorders>
              <w:top w:val="dotted" w:sz="4" w:space="0" w:color="auto"/>
              <w:left w:val="nil"/>
              <w:bottom w:val="nil"/>
              <w:right w:val="dotted" w:sz="4" w:space="0" w:color="auto"/>
            </w:tcBorders>
            <w:vAlign w:val="center"/>
            <w:hideMark/>
          </w:tcPr>
          <w:p w14:paraId="39D565E6"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Gasto por depreciación y amortización. Solo se debe completar cuando el gasto de Depreciación y Amortización está incluido como parte de los rubros de Costo de ventas y/o Gastos de operación administrativos y de ventas.</w:t>
            </w:r>
          </w:p>
        </w:tc>
      </w:tr>
      <w:tr w:rsidR="008F221C" w:rsidRPr="008F221C" w14:paraId="323D3655" w14:textId="77777777" w:rsidTr="009432D4">
        <w:trPr>
          <w:trHeight w:val="267"/>
        </w:trPr>
        <w:tc>
          <w:tcPr>
            <w:tcW w:w="1654" w:type="dxa"/>
            <w:gridSpan w:val="2"/>
            <w:tcBorders>
              <w:top w:val="dotted" w:sz="4" w:space="0" w:color="auto"/>
              <w:left w:val="dotted" w:sz="4" w:space="0" w:color="auto"/>
              <w:bottom w:val="dotted" w:sz="4" w:space="0" w:color="auto"/>
              <w:right w:val="dotted" w:sz="4" w:space="0" w:color="000000"/>
            </w:tcBorders>
            <w:vAlign w:val="center"/>
            <w:hideMark/>
          </w:tcPr>
          <w:p w14:paraId="4D56520F"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Utilidad Bruta</w:t>
            </w:r>
          </w:p>
        </w:tc>
        <w:tc>
          <w:tcPr>
            <w:tcW w:w="1432" w:type="dxa"/>
            <w:tcBorders>
              <w:top w:val="dotted" w:sz="4" w:space="0" w:color="auto"/>
              <w:left w:val="nil"/>
              <w:bottom w:val="nil"/>
              <w:right w:val="dotted" w:sz="4" w:space="0" w:color="auto"/>
            </w:tcBorders>
            <w:vAlign w:val="center"/>
            <w:hideMark/>
          </w:tcPr>
          <w:p w14:paraId="0396D55B"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469" w:type="dxa"/>
            <w:tcBorders>
              <w:top w:val="dotted" w:sz="4" w:space="0" w:color="auto"/>
              <w:left w:val="nil"/>
              <w:bottom w:val="nil"/>
              <w:right w:val="dotted" w:sz="4" w:space="0" w:color="auto"/>
            </w:tcBorders>
            <w:noWrap/>
            <w:vAlign w:val="center"/>
            <w:hideMark/>
          </w:tcPr>
          <w:p w14:paraId="4C83B79C"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520</w:t>
            </w:r>
          </w:p>
        </w:tc>
        <w:tc>
          <w:tcPr>
            <w:tcW w:w="4831" w:type="dxa"/>
            <w:tcBorders>
              <w:top w:val="dotted" w:sz="4" w:space="0" w:color="auto"/>
              <w:left w:val="nil"/>
              <w:bottom w:val="nil"/>
              <w:right w:val="dotted" w:sz="4" w:space="0" w:color="auto"/>
            </w:tcBorders>
            <w:vAlign w:val="center"/>
            <w:hideMark/>
          </w:tcPr>
          <w:p w14:paraId="7427B44F"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Utilidad bruta. Corresponde al calculado y utilizado por la entidad supervisada.</w:t>
            </w:r>
          </w:p>
        </w:tc>
      </w:tr>
      <w:tr w:rsidR="008F221C" w:rsidRPr="008F221C" w14:paraId="30BFB216" w14:textId="77777777" w:rsidTr="009432D4">
        <w:trPr>
          <w:trHeight w:val="547"/>
        </w:trPr>
        <w:tc>
          <w:tcPr>
            <w:tcW w:w="1654" w:type="dxa"/>
            <w:gridSpan w:val="2"/>
            <w:tcBorders>
              <w:top w:val="dotted" w:sz="4" w:space="0" w:color="auto"/>
              <w:left w:val="dotted" w:sz="4" w:space="0" w:color="auto"/>
              <w:bottom w:val="dotted" w:sz="4" w:space="0" w:color="auto"/>
              <w:right w:val="dotted" w:sz="4" w:space="0" w:color="000000"/>
            </w:tcBorders>
            <w:noWrap/>
            <w:vAlign w:val="center"/>
            <w:hideMark/>
          </w:tcPr>
          <w:p w14:paraId="715A29A0"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Utilidad Operativa</w:t>
            </w:r>
          </w:p>
        </w:tc>
        <w:tc>
          <w:tcPr>
            <w:tcW w:w="1432" w:type="dxa"/>
            <w:tcBorders>
              <w:top w:val="dotted" w:sz="4" w:space="0" w:color="auto"/>
              <w:left w:val="nil"/>
              <w:bottom w:val="nil"/>
              <w:right w:val="dotted" w:sz="4" w:space="0" w:color="auto"/>
            </w:tcBorders>
            <w:vAlign w:val="center"/>
            <w:hideMark/>
          </w:tcPr>
          <w:p w14:paraId="2AFBDBA8"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469" w:type="dxa"/>
            <w:tcBorders>
              <w:top w:val="dotted" w:sz="4" w:space="0" w:color="auto"/>
              <w:left w:val="nil"/>
              <w:bottom w:val="nil"/>
              <w:right w:val="dotted" w:sz="4" w:space="0" w:color="auto"/>
            </w:tcBorders>
            <w:noWrap/>
            <w:vAlign w:val="center"/>
            <w:hideMark/>
          </w:tcPr>
          <w:p w14:paraId="1B2691AD"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530</w:t>
            </w:r>
          </w:p>
        </w:tc>
        <w:tc>
          <w:tcPr>
            <w:tcW w:w="4831" w:type="dxa"/>
            <w:tcBorders>
              <w:top w:val="dotted" w:sz="4" w:space="0" w:color="auto"/>
              <w:left w:val="nil"/>
              <w:bottom w:val="nil"/>
              <w:right w:val="dotted" w:sz="4" w:space="0" w:color="auto"/>
            </w:tcBorders>
            <w:vAlign w:val="center"/>
            <w:hideMark/>
          </w:tcPr>
          <w:p w14:paraId="31AF64ED"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Utilidad operativa. Corresponde al calculado y utilizado por la entidad supervisada.</w:t>
            </w:r>
          </w:p>
        </w:tc>
      </w:tr>
      <w:tr w:rsidR="008F221C" w:rsidRPr="008F221C" w14:paraId="377235D2" w14:textId="77777777" w:rsidTr="009432D4">
        <w:trPr>
          <w:trHeight w:val="547"/>
        </w:trPr>
        <w:tc>
          <w:tcPr>
            <w:tcW w:w="1654" w:type="dxa"/>
            <w:gridSpan w:val="2"/>
            <w:tcBorders>
              <w:top w:val="dotted" w:sz="4" w:space="0" w:color="auto"/>
              <w:left w:val="dotted" w:sz="4" w:space="0" w:color="auto"/>
              <w:bottom w:val="dotted" w:sz="4" w:space="0" w:color="auto"/>
              <w:right w:val="dotted" w:sz="4" w:space="0" w:color="000000"/>
            </w:tcBorders>
            <w:vAlign w:val="center"/>
            <w:hideMark/>
          </w:tcPr>
          <w:p w14:paraId="451FD59A"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EBITDA</w:t>
            </w:r>
          </w:p>
        </w:tc>
        <w:tc>
          <w:tcPr>
            <w:tcW w:w="1432" w:type="dxa"/>
            <w:tcBorders>
              <w:top w:val="dotted" w:sz="4" w:space="0" w:color="auto"/>
              <w:left w:val="nil"/>
              <w:bottom w:val="nil"/>
              <w:right w:val="dotted" w:sz="4" w:space="0" w:color="auto"/>
            </w:tcBorders>
            <w:vAlign w:val="center"/>
            <w:hideMark/>
          </w:tcPr>
          <w:p w14:paraId="71524617"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469" w:type="dxa"/>
            <w:tcBorders>
              <w:top w:val="dotted" w:sz="4" w:space="0" w:color="auto"/>
              <w:left w:val="nil"/>
              <w:bottom w:val="nil"/>
              <w:right w:val="dotted" w:sz="4" w:space="0" w:color="auto"/>
            </w:tcBorders>
            <w:noWrap/>
            <w:vAlign w:val="center"/>
            <w:hideMark/>
          </w:tcPr>
          <w:p w14:paraId="7C57D5B1"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540</w:t>
            </w:r>
          </w:p>
        </w:tc>
        <w:tc>
          <w:tcPr>
            <w:tcW w:w="4831" w:type="dxa"/>
            <w:tcBorders>
              <w:top w:val="dotted" w:sz="4" w:space="0" w:color="auto"/>
              <w:left w:val="nil"/>
              <w:bottom w:val="nil"/>
              <w:right w:val="dotted" w:sz="4" w:space="0" w:color="auto"/>
            </w:tcBorders>
            <w:vAlign w:val="center"/>
            <w:hideMark/>
          </w:tcPr>
          <w:p w14:paraId="50ADD286"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Utilidad antes de intereses, impuestos, depreciación y amortización. Corresponde al calculado y utilizado por la entidad supervisada.</w:t>
            </w:r>
          </w:p>
        </w:tc>
      </w:tr>
      <w:tr w:rsidR="008F221C" w:rsidRPr="008F221C" w14:paraId="14A08B82" w14:textId="77777777" w:rsidTr="009432D4">
        <w:trPr>
          <w:trHeight w:val="297"/>
        </w:trPr>
        <w:tc>
          <w:tcPr>
            <w:tcW w:w="1654" w:type="dxa"/>
            <w:gridSpan w:val="2"/>
            <w:tcBorders>
              <w:top w:val="dotted" w:sz="4" w:space="0" w:color="auto"/>
              <w:left w:val="dotted" w:sz="4" w:space="0" w:color="auto"/>
              <w:bottom w:val="dotted" w:sz="4" w:space="0" w:color="auto"/>
              <w:right w:val="dotted" w:sz="4" w:space="0" w:color="000000"/>
            </w:tcBorders>
            <w:noWrap/>
            <w:vAlign w:val="center"/>
            <w:hideMark/>
          </w:tcPr>
          <w:p w14:paraId="33879CA5"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Dividendos</w:t>
            </w:r>
          </w:p>
        </w:tc>
        <w:tc>
          <w:tcPr>
            <w:tcW w:w="1432" w:type="dxa"/>
            <w:tcBorders>
              <w:top w:val="dotted" w:sz="4" w:space="0" w:color="auto"/>
              <w:left w:val="nil"/>
              <w:bottom w:val="nil"/>
              <w:right w:val="dotted" w:sz="4" w:space="0" w:color="auto"/>
            </w:tcBorders>
            <w:vAlign w:val="center"/>
            <w:hideMark/>
          </w:tcPr>
          <w:p w14:paraId="74913A3C"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469" w:type="dxa"/>
            <w:tcBorders>
              <w:top w:val="dotted" w:sz="4" w:space="0" w:color="auto"/>
              <w:left w:val="nil"/>
              <w:bottom w:val="nil"/>
              <w:right w:val="dotted" w:sz="4" w:space="0" w:color="auto"/>
            </w:tcBorders>
            <w:noWrap/>
            <w:vAlign w:val="center"/>
            <w:hideMark/>
          </w:tcPr>
          <w:p w14:paraId="0273F6E7"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550</w:t>
            </w:r>
          </w:p>
        </w:tc>
        <w:tc>
          <w:tcPr>
            <w:tcW w:w="4831" w:type="dxa"/>
            <w:tcBorders>
              <w:top w:val="dotted" w:sz="4" w:space="0" w:color="auto"/>
              <w:left w:val="nil"/>
              <w:bottom w:val="nil"/>
              <w:right w:val="dotted" w:sz="4" w:space="0" w:color="auto"/>
            </w:tcBorders>
            <w:vAlign w:val="center"/>
            <w:hideMark/>
          </w:tcPr>
          <w:p w14:paraId="35D3ACFF"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En este campo deberá reflejarse el reparto de dividendos del ejercicio.</w:t>
            </w:r>
          </w:p>
        </w:tc>
      </w:tr>
      <w:tr w:rsidR="008F221C" w:rsidRPr="008F221C" w14:paraId="060AE458" w14:textId="77777777" w:rsidTr="009432D4">
        <w:trPr>
          <w:trHeight w:val="584"/>
        </w:trPr>
        <w:tc>
          <w:tcPr>
            <w:tcW w:w="1654" w:type="dxa"/>
            <w:gridSpan w:val="2"/>
            <w:tcBorders>
              <w:top w:val="dotted" w:sz="4" w:space="0" w:color="auto"/>
              <w:left w:val="dotted" w:sz="4" w:space="0" w:color="auto"/>
              <w:bottom w:val="dotted" w:sz="4" w:space="0" w:color="auto"/>
              <w:right w:val="dotted" w:sz="4" w:space="0" w:color="000000"/>
            </w:tcBorders>
            <w:vAlign w:val="center"/>
            <w:hideMark/>
          </w:tcPr>
          <w:p w14:paraId="6E14AEAD"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lastRenderedPageBreak/>
              <w:t>% de Ingreso en moneda extranjera</w:t>
            </w:r>
          </w:p>
        </w:tc>
        <w:tc>
          <w:tcPr>
            <w:tcW w:w="1432" w:type="dxa"/>
            <w:tcBorders>
              <w:top w:val="dotted" w:sz="4" w:space="0" w:color="auto"/>
              <w:left w:val="nil"/>
              <w:bottom w:val="nil"/>
              <w:right w:val="dotted" w:sz="4" w:space="0" w:color="auto"/>
            </w:tcBorders>
            <w:vAlign w:val="center"/>
            <w:hideMark/>
          </w:tcPr>
          <w:p w14:paraId="2A7E0262"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p>
        </w:tc>
        <w:tc>
          <w:tcPr>
            <w:tcW w:w="469" w:type="dxa"/>
            <w:tcBorders>
              <w:top w:val="dotted" w:sz="4" w:space="0" w:color="auto"/>
              <w:left w:val="nil"/>
              <w:bottom w:val="nil"/>
              <w:right w:val="dotted" w:sz="4" w:space="0" w:color="auto"/>
            </w:tcBorders>
            <w:noWrap/>
            <w:vAlign w:val="center"/>
            <w:hideMark/>
          </w:tcPr>
          <w:p w14:paraId="3F2E33DB"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560</w:t>
            </w:r>
          </w:p>
        </w:tc>
        <w:tc>
          <w:tcPr>
            <w:tcW w:w="4831" w:type="dxa"/>
            <w:tcBorders>
              <w:top w:val="dotted" w:sz="4" w:space="0" w:color="auto"/>
              <w:left w:val="nil"/>
              <w:bottom w:val="nil"/>
              <w:right w:val="dotted" w:sz="4" w:space="0" w:color="auto"/>
            </w:tcBorders>
            <w:vAlign w:val="center"/>
            <w:hideMark/>
          </w:tcPr>
          <w:p w14:paraId="6A88329F"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Se refiere al porcentaje de las ventas o ingresos generados por la actividad propia del negocio que hayan sido realizados en moneda extranjera, respecto al monto total de dichos conceptos. Debe reportarse en formato decimal con 4 dígitos (ejemplo: Porcentaje de 32.65% debe reportarse como 0.3265).</w:t>
            </w:r>
          </w:p>
        </w:tc>
      </w:tr>
      <w:tr w:rsidR="008F221C" w:rsidRPr="008F221C" w14:paraId="07662658" w14:textId="77777777" w:rsidTr="009432D4">
        <w:trPr>
          <w:trHeight w:val="1381"/>
        </w:trPr>
        <w:tc>
          <w:tcPr>
            <w:tcW w:w="1654" w:type="dxa"/>
            <w:gridSpan w:val="2"/>
            <w:tcBorders>
              <w:top w:val="dotted" w:sz="4" w:space="0" w:color="auto"/>
              <w:left w:val="dotted" w:sz="4" w:space="0" w:color="auto"/>
              <w:bottom w:val="dotted" w:sz="4" w:space="0" w:color="auto"/>
              <w:right w:val="dotted" w:sz="4" w:space="0" w:color="000000"/>
            </w:tcBorders>
            <w:vAlign w:val="center"/>
            <w:hideMark/>
          </w:tcPr>
          <w:p w14:paraId="6AE6AAA1"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xml:space="preserve">Indicador de estados financieros utilizados en la identificación de deudores expuestos al RCC      </w:t>
            </w:r>
          </w:p>
        </w:tc>
        <w:tc>
          <w:tcPr>
            <w:tcW w:w="1432" w:type="dxa"/>
            <w:tcBorders>
              <w:top w:val="dotted" w:sz="4" w:space="0" w:color="auto"/>
              <w:left w:val="nil"/>
              <w:bottom w:val="nil"/>
              <w:right w:val="dotted" w:sz="4" w:space="0" w:color="auto"/>
            </w:tcBorders>
            <w:vAlign w:val="center"/>
            <w:hideMark/>
          </w:tcPr>
          <w:p w14:paraId="2E2CD834"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469" w:type="dxa"/>
            <w:tcBorders>
              <w:top w:val="dotted" w:sz="4" w:space="0" w:color="auto"/>
              <w:left w:val="nil"/>
              <w:bottom w:val="nil"/>
              <w:right w:val="dotted" w:sz="4" w:space="0" w:color="auto"/>
            </w:tcBorders>
            <w:noWrap/>
            <w:vAlign w:val="center"/>
            <w:hideMark/>
          </w:tcPr>
          <w:p w14:paraId="096F0428"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570</w:t>
            </w:r>
          </w:p>
        </w:tc>
        <w:tc>
          <w:tcPr>
            <w:tcW w:w="4831" w:type="dxa"/>
            <w:tcBorders>
              <w:top w:val="dotted" w:sz="4" w:space="0" w:color="auto"/>
              <w:left w:val="nil"/>
              <w:bottom w:val="nil"/>
              <w:right w:val="dotted" w:sz="4" w:space="0" w:color="auto"/>
            </w:tcBorders>
            <w:vAlign w:val="center"/>
            <w:hideMark/>
          </w:tcPr>
          <w:p w14:paraId="02FF2E07"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Indicar si la información financiera ha sido utilizada para la identificación de exposición a riesgo cambiario crediticio:</w:t>
            </w:r>
            <w:r w:rsidRPr="008F221C">
              <w:rPr>
                <w:rFonts w:ascii="Arial Narrow" w:eastAsia="Times New Roman" w:hAnsi="Arial Narrow" w:cs="Arial"/>
                <w:kern w:val="0"/>
                <w:sz w:val="18"/>
                <w:szCs w:val="18"/>
                <w:lang w:eastAsia="es-PE"/>
                <w14:ligatures w14:val="none"/>
              </w:rPr>
              <w:br/>
              <w:t>1: No aplica: Porcentaje de Ingreso en moneda extranjera mayor al 70% (Generador de divisas)</w:t>
            </w:r>
          </w:p>
          <w:p w14:paraId="12957E90"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2: Información financiera no utilizada en la identificación.</w:t>
            </w:r>
          </w:p>
          <w:p w14:paraId="0C2520C0"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3: Información financiera utilizada en la identificación.</w:t>
            </w:r>
          </w:p>
        </w:tc>
      </w:tr>
      <w:tr w:rsidR="008F221C" w:rsidRPr="008F221C" w14:paraId="0EBBA455" w14:textId="77777777" w:rsidTr="009432D4">
        <w:trPr>
          <w:trHeight w:val="643"/>
        </w:trPr>
        <w:tc>
          <w:tcPr>
            <w:tcW w:w="1654" w:type="dxa"/>
            <w:gridSpan w:val="2"/>
            <w:tcBorders>
              <w:top w:val="dotted" w:sz="4" w:space="0" w:color="auto"/>
              <w:left w:val="dotted" w:sz="4" w:space="0" w:color="auto"/>
              <w:bottom w:val="dotted" w:sz="4" w:space="0" w:color="auto"/>
              <w:right w:val="dotted" w:sz="4" w:space="0" w:color="000000"/>
            </w:tcBorders>
            <w:noWrap/>
            <w:vAlign w:val="center"/>
            <w:hideMark/>
          </w:tcPr>
          <w:p w14:paraId="74D9A11B"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Mes</w:t>
            </w:r>
          </w:p>
        </w:tc>
        <w:tc>
          <w:tcPr>
            <w:tcW w:w="1432" w:type="dxa"/>
            <w:tcBorders>
              <w:top w:val="dotted" w:sz="4" w:space="0" w:color="auto"/>
              <w:left w:val="nil"/>
              <w:bottom w:val="dotted" w:sz="4" w:space="0" w:color="auto"/>
              <w:right w:val="dotted" w:sz="4" w:space="0" w:color="auto"/>
            </w:tcBorders>
            <w:vAlign w:val="center"/>
            <w:hideMark/>
          </w:tcPr>
          <w:p w14:paraId="5C069047" w14:textId="77777777" w:rsidR="008F221C" w:rsidRPr="008F221C" w:rsidRDefault="008F221C" w:rsidP="008F221C">
            <w:pPr>
              <w:spacing w:after="0" w:line="240" w:lineRule="auto"/>
              <w:rPr>
                <w:rFonts w:ascii="Arial Narrow" w:eastAsia="Times New Roman" w:hAnsi="Arial Narrow" w:cs="Arial"/>
                <w:b/>
                <w:bCs/>
                <w:kern w:val="0"/>
                <w:sz w:val="18"/>
                <w:szCs w:val="18"/>
                <w:lang w:eastAsia="es-PE"/>
                <w14:ligatures w14:val="none"/>
              </w:rPr>
            </w:pPr>
            <w:r w:rsidRPr="008F221C">
              <w:rPr>
                <w:rFonts w:ascii="Arial Narrow" w:eastAsia="Times New Roman" w:hAnsi="Arial Narrow" w:cs="Arial"/>
                <w:b/>
                <w:bCs/>
                <w:kern w:val="0"/>
                <w:sz w:val="18"/>
                <w:szCs w:val="18"/>
                <w:lang w:eastAsia="es-PE"/>
                <w14:ligatures w14:val="none"/>
              </w:rPr>
              <w:t> </w:t>
            </w:r>
          </w:p>
        </w:tc>
        <w:tc>
          <w:tcPr>
            <w:tcW w:w="469" w:type="dxa"/>
            <w:tcBorders>
              <w:top w:val="dotted" w:sz="4" w:space="0" w:color="auto"/>
              <w:left w:val="nil"/>
              <w:bottom w:val="dotted" w:sz="4" w:space="0" w:color="auto"/>
              <w:right w:val="dotted" w:sz="4" w:space="0" w:color="auto"/>
            </w:tcBorders>
            <w:noWrap/>
            <w:vAlign w:val="center"/>
            <w:hideMark/>
          </w:tcPr>
          <w:p w14:paraId="02D9DD39" w14:textId="77777777" w:rsidR="008F221C" w:rsidRPr="008F221C" w:rsidRDefault="008F221C" w:rsidP="008F221C">
            <w:pPr>
              <w:spacing w:after="0" w:line="240" w:lineRule="auto"/>
              <w:jc w:val="center"/>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580</w:t>
            </w:r>
          </w:p>
        </w:tc>
        <w:tc>
          <w:tcPr>
            <w:tcW w:w="4831" w:type="dxa"/>
            <w:tcBorders>
              <w:top w:val="dotted" w:sz="4" w:space="0" w:color="auto"/>
              <w:left w:val="nil"/>
              <w:bottom w:val="dotted" w:sz="4" w:space="0" w:color="auto"/>
              <w:right w:val="dotted" w:sz="4" w:space="0" w:color="auto"/>
            </w:tcBorders>
            <w:vAlign w:val="center"/>
            <w:hideMark/>
          </w:tcPr>
          <w:p w14:paraId="7B08769F" w14:textId="77777777" w:rsidR="008F221C" w:rsidRPr="008F221C" w:rsidRDefault="008F221C" w:rsidP="008F221C">
            <w:pPr>
              <w:spacing w:after="0" w:line="240" w:lineRule="auto"/>
              <w:jc w:val="both"/>
              <w:rPr>
                <w:rFonts w:ascii="Arial Narrow" w:eastAsia="Times New Roman" w:hAnsi="Arial Narrow" w:cs="Arial"/>
                <w:kern w:val="0"/>
                <w:sz w:val="18"/>
                <w:szCs w:val="18"/>
                <w:lang w:eastAsia="es-PE"/>
                <w14:ligatures w14:val="none"/>
              </w:rPr>
            </w:pPr>
            <w:r w:rsidRPr="008F221C">
              <w:rPr>
                <w:rFonts w:ascii="Arial Narrow" w:eastAsia="Times New Roman" w:hAnsi="Arial Narrow" w:cs="Arial"/>
                <w:kern w:val="0"/>
                <w:sz w:val="18"/>
                <w:szCs w:val="18"/>
                <w:lang w:eastAsia="es-PE"/>
                <w14:ligatures w14:val="none"/>
              </w:rPr>
              <w:t>Se refiere al mes que corresponde a la información financiera reportada.</w:t>
            </w:r>
            <w:r w:rsidRPr="008F221C">
              <w:rPr>
                <w:rFonts w:ascii="Arial Narrow" w:eastAsia="Times New Roman" w:hAnsi="Arial Narrow" w:cs="Arial"/>
                <w:kern w:val="0"/>
                <w:sz w:val="18"/>
                <w:szCs w:val="18"/>
                <w:lang w:eastAsia="es-PE"/>
                <w14:ligatures w14:val="none"/>
              </w:rPr>
              <w:br/>
              <w:t>Utilizar el formato AAAAMMDD, no debiendo existir campos vacíos.</w:t>
            </w:r>
          </w:p>
        </w:tc>
      </w:tr>
    </w:tbl>
    <w:p w14:paraId="4F9C10F1" w14:textId="77777777" w:rsidR="008F221C" w:rsidRPr="008F221C" w:rsidRDefault="008F221C" w:rsidP="008F221C">
      <w:pPr>
        <w:spacing w:after="0" w:line="240" w:lineRule="auto"/>
        <w:ind w:right="-1"/>
        <w:jc w:val="both"/>
        <w:rPr>
          <w:rFonts w:ascii="Arial Narrow" w:eastAsia="Times New Roman" w:hAnsi="Arial Narrow" w:cs="Times New Roman"/>
          <w:kern w:val="0"/>
          <w:sz w:val="22"/>
          <w:lang w:val="es-ES" w:eastAsia="es-ES"/>
          <w14:ligatures w14:val="none"/>
        </w:rPr>
      </w:pPr>
    </w:p>
    <w:p w14:paraId="3142D301" w14:textId="77777777" w:rsidR="008F221C" w:rsidRPr="008F221C" w:rsidRDefault="008F221C" w:rsidP="008F221C">
      <w:pPr>
        <w:spacing w:after="0" w:line="240" w:lineRule="auto"/>
        <w:ind w:right="-1" w:firstLine="2835"/>
        <w:jc w:val="both"/>
        <w:rPr>
          <w:rFonts w:ascii="Arial Narrow" w:eastAsia="Times New Roman" w:hAnsi="Arial Narrow" w:cs="Times New Roman"/>
          <w:kern w:val="0"/>
          <w:sz w:val="22"/>
          <w:lang w:val="es-ES" w:eastAsia="es-ES"/>
          <w14:ligatures w14:val="none"/>
        </w:rPr>
      </w:pPr>
    </w:p>
    <w:p w14:paraId="3AA9E0C0" w14:textId="77777777" w:rsidR="008F221C" w:rsidRDefault="008F221C"/>
    <w:sectPr w:rsidR="008F22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21C"/>
    <w:rsid w:val="008F221C"/>
    <w:rsid w:val="00C67C0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979AE"/>
  <w15:chartTrackingRefBased/>
  <w15:docId w15:val="{1F54EC5A-86D7-4335-9F0E-EAFF32343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F22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F22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F22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F22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F22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F221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F221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F221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F221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F22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F22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F22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F22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F22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F22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F22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F22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F221C"/>
    <w:rPr>
      <w:rFonts w:eastAsiaTheme="majorEastAsia" w:cstheme="majorBidi"/>
      <w:color w:val="272727" w:themeColor="text1" w:themeTint="D8"/>
    </w:rPr>
  </w:style>
  <w:style w:type="paragraph" w:styleId="Ttulo">
    <w:name w:val="Title"/>
    <w:basedOn w:val="Normal"/>
    <w:next w:val="Normal"/>
    <w:link w:val="TtuloCar"/>
    <w:uiPriority w:val="10"/>
    <w:qFormat/>
    <w:rsid w:val="008F22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F22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F22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F22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F221C"/>
    <w:pPr>
      <w:spacing w:before="160"/>
      <w:jc w:val="center"/>
    </w:pPr>
    <w:rPr>
      <w:i/>
      <w:iCs/>
      <w:color w:val="404040" w:themeColor="text1" w:themeTint="BF"/>
    </w:rPr>
  </w:style>
  <w:style w:type="character" w:customStyle="1" w:styleId="CitaCar">
    <w:name w:val="Cita Car"/>
    <w:basedOn w:val="Fuentedeprrafopredeter"/>
    <w:link w:val="Cita"/>
    <w:uiPriority w:val="29"/>
    <w:rsid w:val="008F221C"/>
    <w:rPr>
      <w:i/>
      <w:iCs/>
      <w:color w:val="404040" w:themeColor="text1" w:themeTint="BF"/>
    </w:rPr>
  </w:style>
  <w:style w:type="paragraph" w:styleId="Prrafodelista">
    <w:name w:val="List Paragraph"/>
    <w:basedOn w:val="Normal"/>
    <w:uiPriority w:val="34"/>
    <w:qFormat/>
    <w:rsid w:val="008F221C"/>
    <w:pPr>
      <w:ind w:left="720"/>
      <w:contextualSpacing/>
    </w:pPr>
  </w:style>
  <w:style w:type="character" w:styleId="nfasisintenso">
    <w:name w:val="Intense Emphasis"/>
    <w:basedOn w:val="Fuentedeprrafopredeter"/>
    <w:uiPriority w:val="21"/>
    <w:qFormat/>
    <w:rsid w:val="008F221C"/>
    <w:rPr>
      <w:i/>
      <w:iCs/>
      <w:color w:val="0F4761" w:themeColor="accent1" w:themeShade="BF"/>
    </w:rPr>
  </w:style>
  <w:style w:type="paragraph" w:styleId="Citadestacada">
    <w:name w:val="Intense Quote"/>
    <w:basedOn w:val="Normal"/>
    <w:next w:val="Normal"/>
    <w:link w:val="CitadestacadaCar"/>
    <w:uiPriority w:val="30"/>
    <w:qFormat/>
    <w:rsid w:val="008F22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F221C"/>
    <w:rPr>
      <w:i/>
      <w:iCs/>
      <w:color w:val="0F4761" w:themeColor="accent1" w:themeShade="BF"/>
    </w:rPr>
  </w:style>
  <w:style w:type="character" w:styleId="Referenciaintensa">
    <w:name w:val="Intense Reference"/>
    <w:basedOn w:val="Fuentedeprrafopredeter"/>
    <w:uiPriority w:val="32"/>
    <w:qFormat/>
    <w:rsid w:val="008F22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e8a6108-5506-4bcf-982f-4494d6f3f825}" enabled="0" method="" siteId="{5e8a6108-5506-4bcf-982f-4494d6f3f825}"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2363</Words>
  <Characters>13309</Characters>
  <Application>Microsoft Office Word</Application>
  <DocSecurity>0</DocSecurity>
  <Lines>550</Lines>
  <Paragraphs>217</Paragraphs>
  <ScaleCrop>false</ScaleCrop>
  <Company/>
  <LinksUpToDate>false</LinksUpToDate>
  <CharactersWithSpaces>15587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Milagros Jesus Tito Cama</dc:creator>
  <cp:keywords/>
  <dc:description/>
  <cp:lastModifiedBy>Milagros Jesus Tito Cama</cp:lastModifiedBy>
  <cp:revision>2</cp:revision>
  <dcterms:created xsi:type="dcterms:W3CDTF">2025-10-22T14:20:00Z</dcterms:created>
  <dcterms:modified xsi:type="dcterms:W3CDTF">2025-10-22T14:22:00Z</dcterms:modified>
</cp:coreProperties>
</file>