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1015" w14:textId="3EA6E774" w:rsidR="008C20EB" w:rsidRDefault="008D25BE">
      <w:pPr>
        <w:pStyle w:val="Textoindependiente"/>
        <w:jc w:val="center"/>
        <w:rPr>
          <w:b/>
          <w:bCs/>
          <w:sz w:val="28"/>
          <w:szCs w:val="28"/>
        </w:rPr>
      </w:pPr>
      <w:r>
        <w:rPr>
          <w:b/>
          <w:bCs/>
          <w:sz w:val="28"/>
          <w:szCs w:val="28"/>
        </w:rPr>
        <w:t>MODIFICACIONES AL MANUAL DE CONTABILIDAD</w:t>
      </w:r>
      <w:bookmarkStart w:id="0" w:name="NORMAS_PUBLICADAS_DEL__01.01.2007_AL_31."/>
      <w:bookmarkEnd w:id="0"/>
      <w:r>
        <w:rPr>
          <w:b/>
          <w:bCs/>
          <w:sz w:val="28"/>
          <w:szCs w:val="28"/>
        </w:rPr>
        <w:t xml:space="preserve"> NORMAS PUBLICADAS DEL 01.01.2007 AL </w:t>
      </w:r>
      <w:r>
        <w:rPr>
          <w:b/>
          <w:bCs/>
          <w:sz w:val="28"/>
          <w:szCs w:val="28"/>
          <w:lang w:val="es-PE"/>
        </w:rPr>
        <w:t>20</w:t>
      </w:r>
      <w:r>
        <w:rPr>
          <w:b/>
          <w:bCs/>
          <w:sz w:val="28"/>
          <w:szCs w:val="28"/>
        </w:rPr>
        <w:t>.08.2025</w:t>
      </w:r>
    </w:p>
    <w:p w14:paraId="40FE1016" w14:textId="77777777" w:rsidR="008C20EB" w:rsidRDefault="008C20EB">
      <w:pPr>
        <w:pStyle w:val="Textoindependiente"/>
        <w:shd w:val="clear" w:color="auto" w:fill="FFFFFF" w:themeFill="background1"/>
        <w:jc w:val="both"/>
        <w:rPr>
          <w:rFonts w:ascii="Arial"/>
          <w:b/>
        </w:rPr>
      </w:pPr>
    </w:p>
    <w:p w14:paraId="40FE1017" w14:textId="77777777" w:rsidR="008C20EB" w:rsidRDefault="008C20EB">
      <w:pPr>
        <w:pStyle w:val="Textoindependiente"/>
        <w:shd w:val="clear" w:color="auto" w:fill="FFFFFF" w:themeFill="background1"/>
        <w:spacing w:before="6"/>
        <w:jc w:val="both"/>
        <w:rPr>
          <w:rFonts w:ascii="Arial"/>
          <w:b/>
          <w:sz w:val="24"/>
        </w:rPr>
      </w:pPr>
    </w:p>
    <w:tbl>
      <w:tblPr>
        <w:tblStyle w:val="TableNormal"/>
        <w:tblW w:w="1523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4"/>
        <w:gridCol w:w="1560"/>
        <w:gridCol w:w="3935"/>
        <w:gridCol w:w="8162"/>
      </w:tblGrid>
      <w:tr w:rsidR="008C20EB" w14:paraId="40FE101C" w14:textId="77777777">
        <w:trPr>
          <w:trHeight w:val="290"/>
        </w:trPr>
        <w:tc>
          <w:tcPr>
            <w:tcW w:w="1574" w:type="dxa"/>
            <w:tcBorders>
              <w:bottom w:val="single" w:sz="4" w:space="0" w:color="auto"/>
            </w:tcBorders>
            <w:vAlign w:val="bottom"/>
          </w:tcPr>
          <w:p w14:paraId="40FE1018" w14:textId="77777777" w:rsidR="008C20EB" w:rsidRDefault="008D25BE">
            <w:pPr>
              <w:pStyle w:val="TableParagraph"/>
              <w:shd w:val="clear" w:color="auto" w:fill="FFFFFF" w:themeFill="background1"/>
              <w:spacing w:line="234" w:lineRule="exact"/>
              <w:ind w:left="383"/>
              <w:jc w:val="both"/>
              <w:rPr>
                <w:b/>
              </w:rPr>
            </w:pPr>
            <w:r>
              <w:rPr>
                <w:b/>
              </w:rPr>
              <w:t>NORMA</w:t>
            </w:r>
          </w:p>
        </w:tc>
        <w:tc>
          <w:tcPr>
            <w:tcW w:w="1560" w:type="dxa"/>
            <w:tcBorders>
              <w:bottom w:val="single" w:sz="4" w:space="0" w:color="auto"/>
            </w:tcBorders>
            <w:vAlign w:val="bottom"/>
          </w:tcPr>
          <w:p w14:paraId="40FE1019" w14:textId="77777777" w:rsidR="008C20EB" w:rsidRDefault="008D25BE">
            <w:pPr>
              <w:pStyle w:val="TableParagraph"/>
              <w:shd w:val="clear" w:color="auto" w:fill="FFFFFF" w:themeFill="background1"/>
              <w:spacing w:line="234" w:lineRule="exact"/>
              <w:ind w:left="556"/>
              <w:jc w:val="both"/>
              <w:rPr>
                <w:b/>
              </w:rPr>
            </w:pPr>
            <w:r>
              <w:rPr>
                <w:b/>
              </w:rPr>
              <w:t>FECHA</w:t>
            </w:r>
          </w:p>
        </w:tc>
        <w:tc>
          <w:tcPr>
            <w:tcW w:w="3935" w:type="dxa"/>
            <w:tcBorders>
              <w:bottom w:val="single" w:sz="4" w:space="0" w:color="auto"/>
            </w:tcBorders>
            <w:vAlign w:val="bottom"/>
          </w:tcPr>
          <w:p w14:paraId="40FE101A" w14:textId="77777777" w:rsidR="008C20EB" w:rsidRDefault="008D25BE">
            <w:pPr>
              <w:pStyle w:val="TableParagraph"/>
              <w:shd w:val="clear" w:color="auto" w:fill="FFFFFF" w:themeFill="background1"/>
              <w:spacing w:line="234" w:lineRule="exact"/>
              <w:ind w:left="1118"/>
              <w:jc w:val="both"/>
              <w:rPr>
                <w:b/>
              </w:rPr>
            </w:pPr>
            <w:r>
              <w:rPr>
                <w:b/>
              </w:rPr>
              <w:t>DESCRIPCIÓN</w:t>
            </w:r>
          </w:p>
        </w:tc>
        <w:tc>
          <w:tcPr>
            <w:tcW w:w="8162" w:type="dxa"/>
            <w:tcBorders>
              <w:bottom w:val="single" w:sz="4" w:space="0" w:color="auto"/>
            </w:tcBorders>
            <w:vAlign w:val="bottom"/>
          </w:tcPr>
          <w:p w14:paraId="40FE101B" w14:textId="77777777" w:rsidR="008C20EB" w:rsidRDefault="008D25BE">
            <w:pPr>
              <w:pStyle w:val="TableParagraph"/>
              <w:shd w:val="clear" w:color="auto" w:fill="FFFFFF" w:themeFill="background1"/>
              <w:spacing w:line="234" w:lineRule="exact"/>
              <w:ind w:left="3271" w:right="3265"/>
              <w:jc w:val="both"/>
              <w:rPr>
                <w:b/>
              </w:rPr>
            </w:pPr>
            <w:r>
              <w:rPr>
                <w:b/>
              </w:rPr>
              <w:t>MODIFICATORIAS</w:t>
            </w:r>
          </w:p>
        </w:tc>
      </w:tr>
      <w:tr w:rsidR="008C20EB" w14:paraId="40FE104F" w14:textId="77777777">
        <w:trPr>
          <w:trHeight w:val="290"/>
        </w:trPr>
        <w:tc>
          <w:tcPr>
            <w:tcW w:w="1574" w:type="dxa"/>
            <w:tcBorders>
              <w:bottom w:val="single" w:sz="4" w:space="0" w:color="auto"/>
            </w:tcBorders>
            <w:vAlign w:val="bottom"/>
          </w:tcPr>
          <w:p w14:paraId="40FE101D" w14:textId="77777777" w:rsidR="008C20EB" w:rsidRDefault="008D25BE" w:rsidP="008D25BE">
            <w:pPr>
              <w:pStyle w:val="TableParagraph"/>
              <w:shd w:val="clear" w:color="auto" w:fill="FFFFFF" w:themeFill="background1"/>
              <w:spacing w:line="234" w:lineRule="exact"/>
              <w:jc w:val="both"/>
              <w:rPr>
                <w:b/>
                <w:lang w:val="es-PE"/>
              </w:rPr>
            </w:pPr>
            <w:r>
              <w:rPr>
                <w:b/>
                <w:lang w:val="es-PE"/>
              </w:rPr>
              <w:t>Oficio Múltiple N° 43923-2025-SBS</w:t>
            </w:r>
          </w:p>
          <w:p w14:paraId="40FE101E" w14:textId="77777777" w:rsidR="008C20EB" w:rsidRDefault="008C20EB" w:rsidP="008D25BE">
            <w:pPr>
              <w:pStyle w:val="TableParagraph"/>
              <w:shd w:val="clear" w:color="auto" w:fill="FFFFFF" w:themeFill="background1"/>
              <w:spacing w:line="234" w:lineRule="exact"/>
              <w:jc w:val="both"/>
              <w:rPr>
                <w:b/>
                <w:lang w:val="es-PE"/>
              </w:rPr>
            </w:pPr>
          </w:p>
          <w:p w14:paraId="40FE101F" w14:textId="77777777" w:rsidR="008C20EB" w:rsidRDefault="008C20EB" w:rsidP="008D25BE">
            <w:pPr>
              <w:pStyle w:val="TableParagraph"/>
              <w:shd w:val="clear" w:color="auto" w:fill="FFFFFF" w:themeFill="background1"/>
              <w:spacing w:line="234" w:lineRule="exact"/>
              <w:jc w:val="both"/>
              <w:rPr>
                <w:b/>
                <w:lang w:val="es-PE"/>
              </w:rPr>
            </w:pPr>
          </w:p>
          <w:p w14:paraId="40FE1020" w14:textId="77777777" w:rsidR="008C20EB" w:rsidRDefault="008C20EB" w:rsidP="008D25BE">
            <w:pPr>
              <w:pStyle w:val="TableParagraph"/>
              <w:shd w:val="clear" w:color="auto" w:fill="FFFFFF" w:themeFill="background1"/>
              <w:spacing w:line="234" w:lineRule="exact"/>
              <w:jc w:val="both"/>
              <w:rPr>
                <w:b/>
                <w:lang w:val="es-PE"/>
              </w:rPr>
            </w:pPr>
          </w:p>
          <w:p w14:paraId="40FE1021" w14:textId="77777777" w:rsidR="008C20EB" w:rsidRDefault="008C20EB" w:rsidP="008D25BE">
            <w:pPr>
              <w:pStyle w:val="TableParagraph"/>
              <w:shd w:val="clear" w:color="auto" w:fill="FFFFFF" w:themeFill="background1"/>
              <w:spacing w:line="234" w:lineRule="exact"/>
              <w:jc w:val="both"/>
              <w:rPr>
                <w:b/>
                <w:lang w:val="es-PE"/>
              </w:rPr>
            </w:pPr>
          </w:p>
          <w:p w14:paraId="40FE1022" w14:textId="77777777" w:rsidR="008C20EB" w:rsidRDefault="008C20EB" w:rsidP="008D25BE">
            <w:pPr>
              <w:pStyle w:val="TableParagraph"/>
              <w:shd w:val="clear" w:color="auto" w:fill="FFFFFF" w:themeFill="background1"/>
              <w:spacing w:line="234" w:lineRule="exact"/>
              <w:jc w:val="both"/>
              <w:rPr>
                <w:b/>
                <w:lang w:val="es-PE"/>
              </w:rPr>
            </w:pPr>
          </w:p>
          <w:p w14:paraId="40FE1023" w14:textId="77777777" w:rsidR="008C20EB" w:rsidRDefault="008C20EB" w:rsidP="008D25BE">
            <w:pPr>
              <w:pStyle w:val="TableParagraph"/>
              <w:shd w:val="clear" w:color="auto" w:fill="FFFFFF" w:themeFill="background1"/>
              <w:spacing w:line="234" w:lineRule="exact"/>
              <w:jc w:val="both"/>
              <w:rPr>
                <w:b/>
                <w:lang w:val="es-PE"/>
              </w:rPr>
            </w:pPr>
          </w:p>
          <w:p w14:paraId="40FE1024" w14:textId="77777777" w:rsidR="008C20EB" w:rsidRDefault="008C20EB" w:rsidP="008D25BE">
            <w:pPr>
              <w:pStyle w:val="TableParagraph"/>
              <w:shd w:val="clear" w:color="auto" w:fill="FFFFFF" w:themeFill="background1"/>
              <w:spacing w:line="234" w:lineRule="exact"/>
              <w:jc w:val="both"/>
              <w:rPr>
                <w:b/>
                <w:lang w:val="es-PE"/>
              </w:rPr>
            </w:pPr>
          </w:p>
          <w:p w14:paraId="40FE1025" w14:textId="77777777" w:rsidR="008C20EB" w:rsidRDefault="008C20EB" w:rsidP="008D25BE">
            <w:pPr>
              <w:pStyle w:val="TableParagraph"/>
              <w:shd w:val="clear" w:color="auto" w:fill="FFFFFF" w:themeFill="background1"/>
              <w:spacing w:line="234" w:lineRule="exact"/>
              <w:jc w:val="both"/>
              <w:rPr>
                <w:b/>
                <w:lang w:val="es-PE"/>
              </w:rPr>
            </w:pPr>
          </w:p>
          <w:p w14:paraId="40FE1026" w14:textId="77777777" w:rsidR="008C20EB" w:rsidRDefault="008C20EB" w:rsidP="008D25BE">
            <w:pPr>
              <w:pStyle w:val="TableParagraph"/>
              <w:shd w:val="clear" w:color="auto" w:fill="FFFFFF" w:themeFill="background1"/>
              <w:spacing w:line="234" w:lineRule="exact"/>
              <w:jc w:val="both"/>
              <w:rPr>
                <w:b/>
                <w:lang w:val="es-PE"/>
              </w:rPr>
            </w:pPr>
          </w:p>
          <w:p w14:paraId="40FE1027" w14:textId="77777777" w:rsidR="008C20EB" w:rsidRDefault="008C20EB" w:rsidP="008D25BE">
            <w:pPr>
              <w:pStyle w:val="TableParagraph"/>
              <w:shd w:val="clear" w:color="auto" w:fill="FFFFFF" w:themeFill="background1"/>
              <w:spacing w:line="234" w:lineRule="exact"/>
              <w:jc w:val="both"/>
              <w:rPr>
                <w:b/>
                <w:lang w:val="es-PE"/>
              </w:rPr>
            </w:pPr>
          </w:p>
          <w:p w14:paraId="40FE1028" w14:textId="77777777" w:rsidR="008C20EB" w:rsidRDefault="008C20EB" w:rsidP="008D25BE">
            <w:pPr>
              <w:pStyle w:val="TableParagraph"/>
              <w:shd w:val="clear" w:color="auto" w:fill="FFFFFF" w:themeFill="background1"/>
              <w:spacing w:line="234" w:lineRule="exact"/>
              <w:jc w:val="both"/>
              <w:rPr>
                <w:b/>
                <w:lang w:val="es-PE"/>
              </w:rPr>
            </w:pPr>
          </w:p>
          <w:p w14:paraId="40FE1029" w14:textId="77777777" w:rsidR="008C20EB" w:rsidRDefault="008C20EB" w:rsidP="008D25BE">
            <w:pPr>
              <w:pStyle w:val="TableParagraph"/>
              <w:shd w:val="clear" w:color="auto" w:fill="FFFFFF" w:themeFill="background1"/>
              <w:spacing w:line="234" w:lineRule="exact"/>
              <w:jc w:val="both"/>
              <w:rPr>
                <w:b/>
                <w:lang w:val="es-PE"/>
              </w:rPr>
            </w:pPr>
          </w:p>
          <w:p w14:paraId="40FE102A" w14:textId="77777777" w:rsidR="008C20EB" w:rsidRDefault="008C20EB" w:rsidP="008D25BE">
            <w:pPr>
              <w:pStyle w:val="TableParagraph"/>
              <w:shd w:val="clear" w:color="auto" w:fill="FFFFFF" w:themeFill="background1"/>
              <w:spacing w:line="234" w:lineRule="exact"/>
              <w:jc w:val="both"/>
              <w:rPr>
                <w:b/>
                <w:lang w:val="es-PE"/>
              </w:rPr>
            </w:pPr>
          </w:p>
        </w:tc>
        <w:tc>
          <w:tcPr>
            <w:tcW w:w="1560" w:type="dxa"/>
            <w:tcBorders>
              <w:bottom w:val="single" w:sz="4" w:space="0" w:color="auto"/>
            </w:tcBorders>
            <w:vAlign w:val="bottom"/>
          </w:tcPr>
          <w:p w14:paraId="40FE102B" w14:textId="77777777" w:rsidR="008C20EB" w:rsidRDefault="008D25BE" w:rsidP="008D25BE">
            <w:pPr>
              <w:pStyle w:val="TableParagraph"/>
              <w:shd w:val="clear" w:color="auto" w:fill="FFFFFF" w:themeFill="background1"/>
              <w:spacing w:line="234" w:lineRule="exact"/>
              <w:jc w:val="both"/>
              <w:rPr>
                <w:b/>
                <w:lang w:val="es-PE"/>
              </w:rPr>
            </w:pPr>
            <w:r>
              <w:rPr>
                <w:b/>
                <w:lang w:val="es-PE"/>
              </w:rPr>
              <w:t>Pr. 20.08.2025</w:t>
            </w:r>
          </w:p>
          <w:p w14:paraId="40FE102C" w14:textId="77777777" w:rsidR="008C20EB" w:rsidRDefault="008C20EB" w:rsidP="008D25BE">
            <w:pPr>
              <w:pStyle w:val="TableParagraph"/>
              <w:shd w:val="clear" w:color="auto" w:fill="FFFFFF" w:themeFill="background1"/>
              <w:spacing w:line="234" w:lineRule="exact"/>
              <w:jc w:val="both"/>
              <w:rPr>
                <w:b/>
                <w:lang w:val="es-PE"/>
              </w:rPr>
            </w:pPr>
          </w:p>
          <w:p w14:paraId="40FE102D" w14:textId="77777777" w:rsidR="008C20EB" w:rsidRDefault="008C20EB" w:rsidP="008D25BE">
            <w:pPr>
              <w:pStyle w:val="TableParagraph"/>
              <w:shd w:val="clear" w:color="auto" w:fill="FFFFFF" w:themeFill="background1"/>
              <w:spacing w:line="234" w:lineRule="exact"/>
              <w:jc w:val="both"/>
              <w:rPr>
                <w:b/>
                <w:lang w:val="es-PE"/>
              </w:rPr>
            </w:pPr>
          </w:p>
          <w:p w14:paraId="40FE102E" w14:textId="77777777" w:rsidR="008C20EB" w:rsidRDefault="008C20EB" w:rsidP="008D25BE">
            <w:pPr>
              <w:pStyle w:val="TableParagraph"/>
              <w:shd w:val="clear" w:color="auto" w:fill="FFFFFF" w:themeFill="background1"/>
              <w:spacing w:line="234" w:lineRule="exact"/>
              <w:jc w:val="both"/>
              <w:rPr>
                <w:b/>
                <w:lang w:val="es-PE"/>
              </w:rPr>
            </w:pPr>
          </w:p>
          <w:p w14:paraId="40FE102F" w14:textId="77777777" w:rsidR="008C20EB" w:rsidRDefault="008C20EB" w:rsidP="008D25BE">
            <w:pPr>
              <w:pStyle w:val="TableParagraph"/>
              <w:shd w:val="clear" w:color="auto" w:fill="FFFFFF" w:themeFill="background1"/>
              <w:spacing w:line="234" w:lineRule="exact"/>
              <w:jc w:val="both"/>
              <w:rPr>
                <w:b/>
                <w:lang w:val="es-PE"/>
              </w:rPr>
            </w:pPr>
          </w:p>
          <w:p w14:paraId="40FE1030" w14:textId="77777777" w:rsidR="008C20EB" w:rsidRDefault="008C20EB" w:rsidP="008D25BE">
            <w:pPr>
              <w:pStyle w:val="TableParagraph"/>
              <w:shd w:val="clear" w:color="auto" w:fill="FFFFFF" w:themeFill="background1"/>
              <w:spacing w:line="234" w:lineRule="exact"/>
              <w:jc w:val="both"/>
              <w:rPr>
                <w:b/>
                <w:lang w:val="es-PE"/>
              </w:rPr>
            </w:pPr>
          </w:p>
          <w:p w14:paraId="40FE1031" w14:textId="77777777" w:rsidR="008C20EB" w:rsidRDefault="008C20EB" w:rsidP="008D25BE">
            <w:pPr>
              <w:pStyle w:val="TableParagraph"/>
              <w:shd w:val="clear" w:color="auto" w:fill="FFFFFF" w:themeFill="background1"/>
              <w:spacing w:line="234" w:lineRule="exact"/>
              <w:jc w:val="both"/>
              <w:rPr>
                <w:b/>
                <w:lang w:val="es-PE"/>
              </w:rPr>
            </w:pPr>
          </w:p>
          <w:p w14:paraId="40FE1032" w14:textId="77777777" w:rsidR="008C20EB" w:rsidRDefault="008C20EB" w:rsidP="008D25BE">
            <w:pPr>
              <w:pStyle w:val="TableParagraph"/>
              <w:shd w:val="clear" w:color="auto" w:fill="FFFFFF" w:themeFill="background1"/>
              <w:spacing w:line="234" w:lineRule="exact"/>
              <w:jc w:val="both"/>
              <w:rPr>
                <w:b/>
                <w:lang w:val="es-PE"/>
              </w:rPr>
            </w:pPr>
          </w:p>
          <w:p w14:paraId="40FE1033" w14:textId="77777777" w:rsidR="008C20EB" w:rsidRDefault="008C20EB" w:rsidP="008D25BE">
            <w:pPr>
              <w:pStyle w:val="TableParagraph"/>
              <w:shd w:val="clear" w:color="auto" w:fill="FFFFFF" w:themeFill="background1"/>
              <w:spacing w:line="234" w:lineRule="exact"/>
              <w:jc w:val="both"/>
              <w:rPr>
                <w:b/>
                <w:lang w:val="es-PE"/>
              </w:rPr>
            </w:pPr>
          </w:p>
          <w:p w14:paraId="40FE1034" w14:textId="77777777" w:rsidR="008C20EB" w:rsidRDefault="008C20EB" w:rsidP="008D25BE">
            <w:pPr>
              <w:pStyle w:val="TableParagraph"/>
              <w:shd w:val="clear" w:color="auto" w:fill="FFFFFF" w:themeFill="background1"/>
              <w:spacing w:line="234" w:lineRule="exact"/>
              <w:jc w:val="both"/>
              <w:rPr>
                <w:b/>
                <w:lang w:val="es-PE"/>
              </w:rPr>
            </w:pPr>
          </w:p>
          <w:p w14:paraId="40FE1035" w14:textId="77777777" w:rsidR="008C20EB" w:rsidRDefault="008C20EB" w:rsidP="008D25BE">
            <w:pPr>
              <w:pStyle w:val="TableParagraph"/>
              <w:shd w:val="clear" w:color="auto" w:fill="FFFFFF" w:themeFill="background1"/>
              <w:spacing w:line="234" w:lineRule="exact"/>
              <w:jc w:val="both"/>
              <w:rPr>
                <w:b/>
                <w:lang w:val="es-PE"/>
              </w:rPr>
            </w:pPr>
          </w:p>
          <w:p w14:paraId="40FE1036" w14:textId="77777777" w:rsidR="008C20EB" w:rsidRDefault="008C20EB" w:rsidP="008D25BE">
            <w:pPr>
              <w:pStyle w:val="TableParagraph"/>
              <w:shd w:val="clear" w:color="auto" w:fill="FFFFFF" w:themeFill="background1"/>
              <w:spacing w:line="234" w:lineRule="exact"/>
              <w:jc w:val="both"/>
              <w:rPr>
                <w:b/>
                <w:lang w:val="es-PE"/>
              </w:rPr>
            </w:pPr>
          </w:p>
          <w:p w14:paraId="40FE1037" w14:textId="77777777" w:rsidR="008C20EB" w:rsidRDefault="008C20EB" w:rsidP="008D25BE">
            <w:pPr>
              <w:pStyle w:val="TableParagraph"/>
              <w:shd w:val="clear" w:color="auto" w:fill="FFFFFF" w:themeFill="background1"/>
              <w:spacing w:line="234" w:lineRule="exact"/>
              <w:jc w:val="both"/>
              <w:rPr>
                <w:b/>
                <w:lang w:val="es-PE"/>
              </w:rPr>
            </w:pPr>
          </w:p>
          <w:p w14:paraId="40FE1038" w14:textId="77777777" w:rsidR="008C20EB" w:rsidRDefault="008C20EB" w:rsidP="008D25BE">
            <w:pPr>
              <w:pStyle w:val="TableParagraph"/>
              <w:shd w:val="clear" w:color="auto" w:fill="FFFFFF" w:themeFill="background1"/>
              <w:spacing w:line="234" w:lineRule="exact"/>
              <w:jc w:val="both"/>
              <w:rPr>
                <w:b/>
                <w:lang w:val="es-PE"/>
              </w:rPr>
            </w:pPr>
          </w:p>
          <w:p w14:paraId="40FE1039" w14:textId="77777777" w:rsidR="008C20EB" w:rsidRDefault="008C20EB" w:rsidP="008D25BE">
            <w:pPr>
              <w:pStyle w:val="TableParagraph"/>
              <w:shd w:val="clear" w:color="auto" w:fill="FFFFFF" w:themeFill="background1"/>
              <w:spacing w:line="234" w:lineRule="exact"/>
              <w:jc w:val="both"/>
              <w:rPr>
                <w:b/>
                <w:lang w:val="es-PE"/>
              </w:rPr>
            </w:pPr>
          </w:p>
        </w:tc>
        <w:tc>
          <w:tcPr>
            <w:tcW w:w="3935" w:type="dxa"/>
            <w:tcBorders>
              <w:bottom w:val="single" w:sz="4" w:space="0" w:color="auto"/>
            </w:tcBorders>
            <w:vAlign w:val="bottom"/>
          </w:tcPr>
          <w:p w14:paraId="40FE103A" w14:textId="77777777" w:rsidR="008C20EB" w:rsidRDefault="008D25BE">
            <w:pPr>
              <w:pStyle w:val="TableParagraph"/>
              <w:rPr>
                <w:b/>
                <w:bCs/>
              </w:rPr>
            </w:pPr>
            <w:r>
              <w:rPr>
                <w:bCs/>
              </w:rPr>
              <w:t xml:space="preserve">Se modifica el Capítulo I “Disposiciones Generales” del Manual de Contabilidad para las Empresas del Sistema Financiero. Dicha disposición es vigente a partir de la información     correspondiente de </w:t>
            </w:r>
            <w:r>
              <w:rPr>
                <w:bCs/>
                <w:lang w:val="es-PE"/>
              </w:rPr>
              <w:t>agosto</w:t>
            </w:r>
            <w:r>
              <w:rPr>
                <w:bCs/>
              </w:rPr>
              <w:t xml:space="preserve"> 2025</w:t>
            </w:r>
            <w:r>
              <w:rPr>
                <w:b/>
                <w:bCs/>
              </w:rPr>
              <w:t>.</w:t>
            </w:r>
          </w:p>
          <w:p w14:paraId="40FE103B" w14:textId="77777777" w:rsidR="008C20EB" w:rsidRDefault="008C20EB">
            <w:pPr>
              <w:pStyle w:val="TableParagraph"/>
              <w:shd w:val="clear" w:color="auto" w:fill="FFFFFF" w:themeFill="background1"/>
              <w:spacing w:line="234" w:lineRule="exact"/>
              <w:ind w:left="1118"/>
              <w:jc w:val="both"/>
              <w:rPr>
                <w:b/>
              </w:rPr>
            </w:pPr>
          </w:p>
          <w:p w14:paraId="40FE103C" w14:textId="77777777" w:rsidR="008C20EB" w:rsidRDefault="008C20EB">
            <w:pPr>
              <w:pStyle w:val="TableParagraph"/>
              <w:shd w:val="clear" w:color="auto" w:fill="FFFFFF" w:themeFill="background1"/>
              <w:spacing w:line="234" w:lineRule="exact"/>
              <w:ind w:left="1118"/>
              <w:jc w:val="both"/>
              <w:rPr>
                <w:b/>
              </w:rPr>
            </w:pPr>
          </w:p>
          <w:p w14:paraId="40FE103D" w14:textId="77777777" w:rsidR="008C20EB" w:rsidRDefault="008C20EB">
            <w:pPr>
              <w:pStyle w:val="TableParagraph"/>
              <w:shd w:val="clear" w:color="auto" w:fill="FFFFFF" w:themeFill="background1"/>
              <w:spacing w:line="234" w:lineRule="exact"/>
              <w:ind w:left="1118"/>
              <w:jc w:val="both"/>
              <w:rPr>
                <w:b/>
              </w:rPr>
            </w:pPr>
          </w:p>
          <w:p w14:paraId="40FE103E" w14:textId="77777777" w:rsidR="008C20EB" w:rsidRDefault="008C20EB">
            <w:pPr>
              <w:pStyle w:val="TableParagraph"/>
              <w:shd w:val="clear" w:color="auto" w:fill="FFFFFF" w:themeFill="background1"/>
              <w:spacing w:line="234" w:lineRule="exact"/>
              <w:ind w:left="1118"/>
              <w:jc w:val="both"/>
              <w:rPr>
                <w:b/>
              </w:rPr>
            </w:pPr>
          </w:p>
          <w:p w14:paraId="40FE103F" w14:textId="77777777" w:rsidR="008C20EB" w:rsidRDefault="008C20EB">
            <w:pPr>
              <w:pStyle w:val="TableParagraph"/>
              <w:shd w:val="clear" w:color="auto" w:fill="FFFFFF" w:themeFill="background1"/>
              <w:spacing w:line="234" w:lineRule="exact"/>
              <w:ind w:left="1118"/>
              <w:jc w:val="both"/>
              <w:rPr>
                <w:b/>
              </w:rPr>
            </w:pPr>
          </w:p>
          <w:p w14:paraId="40FE1040" w14:textId="77777777" w:rsidR="008C20EB" w:rsidRDefault="008C20EB">
            <w:pPr>
              <w:pStyle w:val="TableParagraph"/>
              <w:shd w:val="clear" w:color="auto" w:fill="FFFFFF" w:themeFill="background1"/>
              <w:spacing w:line="234" w:lineRule="exact"/>
              <w:ind w:left="1118"/>
              <w:jc w:val="both"/>
              <w:rPr>
                <w:b/>
              </w:rPr>
            </w:pPr>
          </w:p>
          <w:p w14:paraId="40FE1041" w14:textId="77777777" w:rsidR="008C20EB" w:rsidRDefault="008C20EB">
            <w:pPr>
              <w:pStyle w:val="TableParagraph"/>
              <w:shd w:val="clear" w:color="auto" w:fill="FFFFFF" w:themeFill="background1"/>
              <w:spacing w:line="234" w:lineRule="exact"/>
              <w:ind w:left="1118"/>
              <w:jc w:val="both"/>
              <w:rPr>
                <w:b/>
              </w:rPr>
            </w:pPr>
          </w:p>
          <w:p w14:paraId="40FE1042" w14:textId="77777777" w:rsidR="008C20EB" w:rsidRDefault="008C20EB">
            <w:pPr>
              <w:pStyle w:val="TableParagraph"/>
              <w:shd w:val="clear" w:color="auto" w:fill="FFFFFF" w:themeFill="background1"/>
              <w:spacing w:line="234" w:lineRule="exact"/>
              <w:ind w:left="1118"/>
              <w:jc w:val="both"/>
              <w:rPr>
                <w:b/>
              </w:rPr>
            </w:pPr>
          </w:p>
          <w:p w14:paraId="40FE1043" w14:textId="77777777" w:rsidR="008C20EB" w:rsidRDefault="008C20EB">
            <w:pPr>
              <w:pStyle w:val="TableParagraph"/>
              <w:shd w:val="clear" w:color="auto" w:fill="FFFFFF" w:themeFill="background1"/>
              <w:spacing w:line="234" w:lineRule="exact"/>
              <w:ind w:left="1118"/>
              <w:jc w:val="both"/>
              <w:rPr>
                <w:b/>
              </w:rPr>
            </w:pPr>
          </w:p>
        </w:tc>
        <w:tc>
          <w:tcPr>
            <w:tcW w:w="8162" w:type="dxa"/>
            <w:tcBorders>
              <w:bottom w:val="single" w:sz="4" w:space="0" w:color="auto"/>
            </w:tcBorders>
            <w:vAlign w:val="bottom"/>
          </w:tcPr>
          <w:p w14:paraId="40FE1044" w14:textId="77777777" w:rsidR="008C20EB" w:rsidRDefault="008D25BE">
            <w:pPr>
              <w:pStyle w:val="TableParagraph"/>
              <w:rPr>
                <w:bCs/>
                <w:lang w:val="es-PE"/>
              </w:rPr>
            </w:pPr>
            <w:r>
              <w:rPr>
                <w:bCs/>
              </w:rPr>
              <w:t xml:space="preserve">Se </w:t>
            </w:r>
            <w:r>
              <w:rPr>
                <w:bCs/>
                <w:lang w:val="es-PE"/>
              </w:rPr>
              <w:t>modifica</w:t>
            </w:r>
            <w:r>
              <w:rPr>
                <w:bCs/>
              </w:rPr>
              <w:t xml:space="preserve"> la Tabla de Empresas, señalada en el acápite J del Capítulo I “Disposiciones Generales” del Manual de Contabilidad para las Empresas del Sistema Financiero</w:t>
            </w:r>
            <w:r>
              <w:rPr>
                <w:bCs/>
                <w:lang w:val="es-PE"/>
              </w:rPr>
              <w:t>, conforme a lo siguiente:</w:t>
            </w:r>
          </w:p>
          <w:p w14:paraId="40FE1045" w14:textId="77777777" w:rsidR="008C20EB" w:rsidRDefault="008C20EB">
            <w:pPr>
              <w:pStyle w:val="TableParagraph"/>
              <w:shd w:val="clear" w:color="auto" w:fill="FFFFFF" w:themeFill="background1"/>
              <w:spacing w:line="234" w:lineRule="exact"/>
              <w:ind w:right="180"/>
              <w:jc w:val="both"/>
              <w:rPr>
                <w:bCs/>
              </w:rPr>
            </w:pPr>
          </w:p>
          <w:p w14:paraId="40FE1046"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Se elimina en la Tabla de Financieras, el código y denominación que se indican a continuación:</w:t>
            </w:r>
          </w:p>
          <w:p w14:paraId="40FE1047" w14:textId="77777777" w:rsidR="008C20EB" w:rsidRDefault="008D25BE">
            <w:pPr>
              <w:pStyle w:val="TableParagraph"/>
              <w:shd w:val="clear" w:color="auto" w:fill="FFFFFF" w:themeFill="background1"/>
              <w:spacing w:line="234" w:lineRule="exact"/>
              <w:ind w:left="738" w:right="180"/>
              <w:jc w:val="both"/>
              <w:rPr>
                <w:bCs/>
                <w:lang w:val="es-PE"/>
              </w:rPr>
            </w:pPr>
            <w:r>
              <w:rPr>
                <w:bCs/>
              </w:rPr>
              <w:t>Código: 1</w:t>
            </w:r>
            <w:r>
              <w:rPr>
                <w:bCs/>
                <w:lang w:val="es-PE"/>
              </w:rPr>
              <w:t>9</w:t>
            </w:r>
            <w:r>
              <w:rPr>
                <w:bCs/>
              </w:rPr>
              <w:t xml:space="preserve"> Financier</w:t>
            </w:r>
            <w:r>
              <w:rPr>
                <w:bCs/>
                <w:lang w:val="es-PE"/>
              </w:rPr>
              <w:t>a Credinka</w:t>
            </w:r>
          </w:p>
          <w:p w14:paraId="40FE1048" w14:textId="77777777" w:rsidR="008C20EB" w:rsidRDefault="008C20EB">
            <w:pPr>
              <w:pStyle w:val="TableParagraph"/>
              <w:shd w:val="clear" w:color="auto" w:fill="FFFFFF" w:themeFill="background1"/>
              <w:spacing w:line="234" w:lineRule="exact"/>
              <w:ind w:right="180"/>
              <w:jc w:val="both"/>
              <w:rPr>
                <w:bCs/>
              </w:rPr>
            </w:pPr>
          </w:p>
          <w:p w14:paraId="40FE1049"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 xml:space="preserve">Se elimina en la Tabla de </w:t>
            </w:r>
            <w:r>
              <w:rPr>
                <w:bCs/>
                <w:lang w:val="es-PE"/>
              </w:rPr>
              <w:t>Caja Municipales de Ahorro y Crédito</w:t>
            </w:r>
            <w:r>
              <w:rPr>
                <w:bCs/>
              </w:rPr>
              <w:t>, el código y denominación que se indican a continuación:</w:t>
            </w:r>
          </w:p>
          <w:p w14:paraId="40FE104A" w14:textId="77777777" w:rsidR="008C20EB" w:rsidRDefault="008D25BE">
            <w:pPr>
              <w:pStyle w:val="TableParagraph"/>
              <w:shd w:val="clear" w:color="auto" w:fill="FFFFFF" w:themeFill="background1"/>
              <w:spacing w:line="234" w:lineRule="exact"/>
              <w:ind w:left="738" w:right="180"/>
              <w:jc w:val="both"/>
              <w:rPr>
                <w:bCs/>
                <w:lang w:val="es-PE"/>
              </w:rPr>
            </w:pPr>
            <w:r>
              <w:rPr>
                <w:bCs/>
              </w:rPr>
              <w:t xml:space="preserve">Código: </w:t>
            </w:r>
            <w:r>
              <w:rPr>
                <w:bCs/>
                <w:lang w:val="es-PE"/>
              </w:rPr>
              <w:t>01 Caja Municipal de Ahorro y Crédito</w:t>
            </w:r>
            <w:r>
              <w:rPr>
                <w:bCs/>
                <w:lang w:val="es-PE"/>
              </w:rPr>
              <w:t xml:space="preserve"> Sullana</w:t>
            </w:r>
          </w:p>
          <w:p w14:paraId="40FE104B" w14:textId="77777777" w:rsidR="008C20EB" w:rsidRDefault="008C20EB">
            <w:pPr>
              <w:pStyle w:val="TableParagraph"/>
              <w:shd w:val="clear" w:color="auto" w:fill="FFFFFF" w:themeFill="background1"/>
              <w:spacing w:line="234" w:lineRule="exact"/>
              <w:ind w:right="180"/>
              <w:jc w:val="both"/>
              <w:rPr>
                <w:bCs/>
              </w:rPr>
            </w:pPr>
          </w:p>
          <w:p w14:paraId="40FE104C"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 xml:space="preserve">Se elimina en la Tabla de </w:t>
            </w:r>
            <w:r>
              <w:rPr>
                <w:bCs/>
                <w:lang w:val="es-PE"/>
              </w:rPr>
              <w:t>Empresas de Crédito</w:t>
            </w:r>
            <w:r>
              <w:rPr>
                <w:bCs/>
              </w:rPr>
              <w:t>, el código y denominación que se indican a continuación:</w:t>
            </w:r>
          </w:p>
          <w:p w14:paraId="40FE104D" w14:textId="77777777" w:rsidR="008C20EB" w:rsidRDefault="008D25BE">
            <w:pPr>
              <w:pStyle w:val="TableParagraph"/>
              <w:shd w:val="clear" w:color="auto" w:fill="FFFFFF" w:themeFill="background1"/>
              <w:spacing w:line="234" w:lineRule="exact"/>
              <w:ind w:left="738" w:right="180"/>
              <w:jc w:val="both"/>
              <w:rPr>
                <w:bCs/>
                <w:lang w:val="es-PE"/>
              </w:rPr>
            </w:pPr>
            <w:r>
              <w:rPr>
                <w:bCs/>
              </w:rPr>
              <w:t>Código: 1</w:t>
            </w:r>
            <w:r>
              <w:rPr>
                <w:bCs/>
                <w:lang w:val="es-PE"/>
              </w:rPr>
              <w:t>8  Inversiones La Cruz</w:t>
            </w:r>
          </w:p>
          <w:p w14:paraId="40FE104E" w14:textId="77777777" w:rsidR="008C20EB" w:rsidRDefault="008C20EB" w:rsidP="008D25BE">
            <w:pPr>
              <w:pStyle w:val="TableParagraph"/>
              <w:shd w:val="clear" w:color="auto" w:fill="FFFFFF" w:themeFill="background1"/>
              <w:spacing w:line="234" w:lineRule="exact"/>
              <w:ind w:right="3265"/>
              <w:jc w:val="both"/>
              <w:rPr>
                <w:b/>
              </w:rPr>
            </w:pPr>
          </w:p>
        </w:tc>
      </w:tr>
      <w:tr w:rsidR="008C20EB" w14:paraId="40FE106E" w14:textId="77777777">
        <w:trPr>
          <w:trHeight w:val="290"/>
        </w:trPr>
        <w:tc>
          <w:tcPr>
            <w:tcW w:w="1574" w:type="dxa"/>
            <w:tcBorders>
              <w:bottom w:val="single" w:sz="4" w:space="0" w:color="auto"/>
            </w:tcBorders>
            <w:vAlign w:val="bottom"/>
          </w:tcPr>
          <w:p w14:paraId="40FE1050" w14:textId="77777777" w:rsidR="008C20EB" w:rsidRDefault="008D25BE">
            <w:pPr>
              <w:pStyle w:val="TableParagraph"/>
              <w:shd w:val="clear" w:color="auto" w:fill="FFFFFF" w:themeFill="background1"/>
              <w:spacing w:line="234" w:lineRule="exact"/>
              <w:jc w:val="both"/>
              <w:rPr>
                <w:b/>
              </w:rPr>
            </w:pPr>
            <w:r>
              <w:rPr>
                <w:b/>
              </w:rPr>
              <w:t>Resolución SBS</w:t>
            </w:r>
          </w:p>
          <w:p w14:paraId="40FE1051" w14:textId="77777777" w:rsidR="008C20EB" w:rsidRDefault="008D25BE">
            <w:pPr>
              <w:pStyle w:val="TableParagraph"/>
              <w:shd w:val="clear" w:color="auto" w:fill="FFFFFF" w:themeFill="background1"/>
              <w:spacing w:line="234" w:lineRule="exact"/>
              <w:jc w:val="both"/>
              <w:rPr>
                <w:b/>
              </w:rPr>
            </w:pPr>
            <w:r>
              <w:rPr>
                <w:b/>
              </w:rPr>
              <w:t>N° 2869-2025</w:t>
            </w:r>
          </w:p>
          <w:p w14:paraId="40FE1052" w14:textId="77777777" w:rsidR="008C20EB" w:rsidRDefault="008C20EB">
            <w:pPr>
              <w:pStyle w:val="TableParagraph"/>
              <w:shd w:val="clear" w:color="auto" w:fill="FFFFFF" w:themeFill="background1"/>
              <w:spacing w:line="234" w:lineRule="exact"/>
              <w:jc w:val="both"/>
              <w:rPr>
                <w:b/>
              </w:rPr>
            </w:pPr>
          </w:p>
          <w:p w14:paraId="40FE1053" w14:textId="77777777" w:rsidR="008C20EB" w:rsidRDefault="008C20EB">
            <w:pPr>
              <w:pStyle w:val="TableParagraph"/>
              <w:shd w:val="clear" w:color="auto" w:fill="FFFFFF" w:themeFill="background1"/>
              <w:spacing w:line="234" w:lineRule="exact"/>
              <w:jc w:val="both"/>
              <w:rPr>
                <w:b/>
              </w:rPr>
            </w:pPr>
          </w:p>
          <w:p w14:paraId="40FE1054" w14:textId="77777777" w:rsidR="008C20EB" w:rsidRDefault="008C20EB">
            <w:pPr>
              <w:pStyle w:val="TableParagraph"/>
              <w:shd w:val="clear" w:color="auto" w:fill="FFFFFF" w:themeFill="background1"/>
              <w:spacing w:line="234" w:lineRule="exact"/>
              <w:jc w:val="both"/>
              <w:rPr>
                <w:b/>
              </w:rPr>
            </w:pPr>
          </w:p>
          <w:p w14:paraId="40FE1055" w14:textId="77777777" w:rsidR="008C20EB" w:rsidRDefault="008C20EB">
            <w:pPr>
              <w:pStyle w:val="TableParagraph"/>
              <w:shd w:val="clear" w:color="auto" w:fill="FFFFFF" w:themeFill="background1"/>
              <w:spacing w:line="234" w:lineRule="exact"/>
              <w:jc w:val="both"/>
              <w:rPr>
                <w:b/>
              </w:rPr>
            </w:pPr>
          </w:p>
          <w:p w14:paraId="40FE1056" w14:textId="77777777" w:rsidR="008C20EB" w:rsidRDefault="008C20EB">
            <w:pPr>
              <w:pStyle w:val="TableParagraph"/>
              <w:shd w:val="clear" w:color="auto" w:fill="FFFFFF" w:themeFill="background1"/>
              <w:spacing w:line="234" w:lineRule="exact"/>
              <w:jc w:val="both"/>
              <w:rPr>
                <w:b/>
              </w:rPr>
            </w:pPr>
          </w:p>
          <w:p w14:paraId="40FE1057" w14:textId="77777777" w:rsidR="008C20EB" w:rsidRDefault="008C20EB">
            <w:pPr>
              <w:pStyle w:val="TableParagraph"/>
              <w:shd w:val="clear" w:color="auto" w:fill="FFFFFF" w:themeFill="background1"/>
              <w:spacing w:line="234" w:lineRule="exact"/>
              <w:jc w:val="both"/>
              <w:rPr>
                <w:b/>
              </w:rPr>
            </w:pPr>
          </w:p>
          <w:p w14:paraId="40FE1058" w14:textId="77777777" w:rsidR="008C20EB" w:rsidRDefault="008C20EB">
            <w:pPr>
              <w:pStyle w:val="TableParagraph"/>
              <w:shd w:val="clear" w:color="auto" w:fill="FFFFFF" w:themeFill="background1"/>
              <w:spacing w:line="234" w:lineRule="exact"/>
              <w:jc w:val="both"/>
              <w:rPr>
                <w:b/>
              </w:rPr>
            </w:pPr>
          </w:p>
          <w:p w14:paraId="40FE1059"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05A" w14:textId="77777777" w:rsidR="008C20EB" w:rsidRDefault="008D25BE">
            <w:pPr>
              <w:pStyle w:val="TableParagraph"/>
              <w:shd w:val="clear" w:color="auto" w:fill="FFFFFF" w:themeFill="background1"/>
              <w:spacing w:line="234" w:lineRule="exact"/>
              <w:jc w:val="both"/>
              <w:rPr>
                <w:b/>
              </w:rPr>
            </w:pPr>
            <w:r>
              <w:rPr>
                <w:b/>
              </w:rPr>
              <w:t>Pr. 14.08.2025</w:t>
            </w:r>
          </w:p>
          <w:p w14:paraId="40FE105B" w14:textId="77777777" w:rsidR="008C20EB" w:rsidRDefault="008D25BE">
            <w:pPr>
              <w:pStyle w:val="TableParagraph"/>
              <w:shd w:val="clear" w:color="auto" w:fill="FFFFFF" w:themeFill="background1"/>
              <w:spacing w:line="234" w:lineRule="exact"/>
              <w:jc w:val="both"/>
              <w:rPr>
                <w:b/>
              </w:rPr>
            </w:pPr>
            <w:r>
              <w:rPr>
                <w:b/>
              </w:rPr>
              <w:t>Pub. 15.08.2025</w:t>
            </w:r>
          </w:p>
          <w:p w14:paraId="40FE105C" w14:textId="77777777" w:rsidR="008C20EB" w:rsidRDefault="008C20EB">
            <w:pPr>
              <w:pStyle w:val="TableParagraph"/>
              <w:shd w:val="clear" w:color="auto" w:fill="FFFFFF" w:themeFill="background1"/>
              <w:spacing w:line="234" w:lineRule="exact"/>
              <w:jc w:val="both"/>
              <w:rPr>
                <w:b/>
              </w:rPr>
            </w:pPr>
          </w:p>
          <w:p w14:paraId="40FE105D" w14:textId="77777777" w:rsidR="008C20EB" w:rsidRDefault="008C20EB">
            <w:pPr>
              <w:pStyle w:val="TableParagraph"/>
              <w:shd w:val="clear" w:color="auto" w:fill="FFFFFF" w:themeFill="background1"/>
              <w:spacing w:line="234" w:lineRule="exact"/>
              <w:jc w:val="both"/>
              <w:rPr>
                <w:b/>
              </w:rPr>
            </w:pPr>
          </w:p>
          <w:p w14:paraId="40FE105E" w14:textId="77777777" w:rsidR="008C20EB" w:rsidRDefault="008C20EB">
            <w:pPr>
              <w:pStyle w:val="TableParagraph"/>
              <w:shd w:val="clear" w:color="auto" w:fill="FFFFFF" w:themeFill="background1"/>
              <w:spacing w:line="234" w:lineRule="exact"/>
              <w:jc w:val="both"/>
              <w:rPr>
                <w:b/>
              </w:rPr>
            </w:pPr>
          </w:p>
          <w:p w14:paraId="40FE105F" w14:textId="77777777" w:rsidR="008C20EB" w:rsidRDefault="008C20EB">
            <w:pPr>
              <w:pStyle w:val="TableParagraph"/>
              <w:shd w:val="clear" w:color="auto" w:fill="FFFFFF" w:themeFill="background1"/>
              <w:spacing w:line="234" w:lineRule="exact"/>
              <w:jc w:val="both"/>
              <w:rPr>
                <w:b/>
              </w:rPr>
            </w:pPr>
          </w:p>
          <w:p w14:paraId="40FE1060" w14:textId="77777777" w:rsidR="008C20EB" w:rsidRDefault="008C20EB">
            <w:pPr>
              <w:pStyle w:val="TableParagraph"/>
              <w:shd w:val="clear" w:color="auto" w:fill="FFFFFF" w:themeFill="background1"/>
              <w:spacing w:line="234" w:lineRule="exact"/>
              <w:jc w:val="both"/>
              <w:rPr>
                <w:b/>
              </w:rPr>
            </w:pPr>
          </w:p>
          <w:p w14:paraId="40FE1061" w14:textId="77777777" w:rsidR="008C20EB" w:rsidRDefault="008C20EB">
            <w:pPr>
              <w:pStyle w:val="TableParagraph"/>
              <w:shd w:val="clear" w:color="auto" w:fill="FFFFFF" w:themeFill="background1"/>
              <w:spacing w:line="234" w:lineRule="exact"/>
              <w:jc w:val="both"/>
              <w:rPr>
                <w:b/>
              </w:rPr>
            </w:pPr>
          </w:p>
          <w:p w14:paraId="40FE1062" w14:textId="77777777" w:rsidR="008C20EB" w:rsidRDefault="008C20EB">
            <w:pPr>
              <w:pStyle w:val="TableParagraph"/>
              <w:shd w:val="clear" w:color="auto" w:fill="FFFFFF" w:themeFill="background1"/>
              <w:spacing w:line="234" w:lineRule="exact"/>
              <w:jc w:val="both"/>
              <w:rPr>
                <w:b/>
              </w:rPr>
            </w:pPr>
          </w:p>
          <w:p w14:paraId="40FE1063"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064" w14:textId="77777777" w:rsidR="008C20EB" w:rsidRDefault="008D25BE">
            <w:pPr>
              <w:pStyle w:val="TableParagraph"/>
              <w:shd w:val="clear" w:color="auto" w:fill="FFFFFF" w:themeFill="background1"/>
              <w:spacing w:line="234" w:lineRule="exact"/>
              <w:jc w:val="both"/>
              <w:rPr>
                <w:bCs/>
                <w:lang w:val="es-PE"/>
              </w:rPr>
            </w:pPr>
            <w:r>
              <w:rPr>
                <w:bCs/>
              </w:rPr>
              <w:t>Modifican el Capítulo V “Información Complementaria” del Manual de Contabilidad para las Empresas del Sistema Financiero y el Reglamento para la Gestión del Riesgo de Liquidez.</w:t>
            </w:r>
            <w:r>
              <w:rPr>
                <w:rFonts w:ascii="ArialMT" w:eastAsiaTheme="minorHAnsi" w:hAnsi="ArialMT" w:cs="ArialMT"/>
                <w:color w:val="231F20"/>
                <w:sz w:val="16"/>
                <w:szCs w:val="16"/>
                <w:lang w:val="es-PE" w:eastAsia="en-US" w:bidi="ar-SA"/>
              </w:rPr>
              <w:t xml:space="preserve"> </w:t>
            </w:r>
            <w:r>
              <w:rPr>
                <w:bCs/>
                <w:lang w:val="es-PE"/>
              </w:rPr>
              <w:t>La presente Resolución entra en</w:t>
            </w:r>
          </w:p>
          <w:p w14:paraId="40FE1065" w14:textId="77777777" w:rsidR="008C20EB" w:rsidRDefault="008D25BE">
            <w:pPr>
              <w:pStyle w:val="TableParagraph"/>
              <w:shd w:val="clear" w:color="auto" w:fill="FFFFFF" w:themeFill="background1"/>
              <w:spacing w:line="234" w:lineRule="exact"/>
              <w:jc w:val="both"/>
              <w:rPr>
                <w:bCs/>
              </w:rPr>
            </w:pPr>
            <w:r>
              <w:rPr>
                <w:bCs/>
                <w:lang w:val="es-PE"/>
              </w:rPr>
              <w:t>vigencia a partir del 1 de setiembre de 2025.</w:t>
            </w:r>
          </w:p>
          <w:p w14:paraId="40FE1066" w14:textId="77777777" w:rsidR="008C20EB" w:rsidRDefault="008C20EB">
            <w:pPr>
              <w:pStyle w:val="TableParagraph"/>
              <w:shd w:val="clear" w:color="auto" w:fill="FFFFFF" w:themeFill="background1"/>
              <w:spacing w:line="234" w:lineRule="exact"/>
              <w:jc w:val="both"/>
              <w:rPr>
                <w:bCs/>
              </w:rPr>
            </w:pPr>
          </w:p>
          <w:p w14:paraId="40FE1067" w14:textId="77777777" w:rsidR="008C20EB" w:rsidRDefault="008C20EB">
            <w:pPr>
              <w:pStyle w:val="TableParagraph"/>
              <w:shd w:val="clear" w:color="auto" w:fill="FFFFFF" w:themeFill="background1"/>
              <w:spacing w:line="234" w:lineRule="exact"/>
              <w:jc w:val="both"/>
              <w:rPr>
                <w:bCs/>
              </w:rPr>
            </w:pPr>
          </w:p>
          <w:p w14:paraId="40FE1068" w14:textId="77777777" w:rsidR="008C20EB" w:rsidRDefault="008C20EB">
            <w:pPr>
              <w:pStyle w:val="TableParagraph"/>
              <w:shd w:val="clear" w:color="auto" w:fill="FFFFFF" w:themeFill="background1"/>
              <w:spacing w:line="234" w:lineRule="exact"/>
              <w:jc w:val="both"/>
              <w:rPr>
                <w:bCs/>
              </w:rPr>
            </w:pPr>
          </w:p>
          <w:p w14:paraId="40FE1069" w14:textId="77777777" w:rsidR="008C20EB" w:rsidRDefault="008C20EB">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40FE106A" w14:textId="77777777" w:rsidR="008C20EB" w:rsidRDefault="008D25BE">
            <w:pPr>
              <w:pStyle w:val="TableParagraph"/>
              <w:shd w:val="clear" w:color="auto" w:fill="FFFFFF" w:themeFill="background1"/>
              <w:spacing w:line="234" w:lineRule="exact"/>
              <w:ind w:right="180"/>
              <w:jc w:val="both"/>
              <w:rPr>
                <w:bCs/>
              </w:rPr>
            </w:pPr>
            <w:r>
              <w:rPr>
                <w:bCs/>
              </w:rPr>
              <w:t>En el Capítulo V:</w:t>
            </w:r>
          </w:p>
          <w:p w14:paraId="40FE106B" w14:textId="77777777" w:rsidR="008C20EB" w:rsidRDefault="008D25BE">
            <w:pPr>
              <w:pStyle w:val="TableParagraph"/>
              <w:numPr>
                <w:ilvl w:val="0"/>
                <w:numId w:val="2"/>
              </w:numPr>
              <w:shd w:val="clear" w:color="auto" w:fill="FFFFFF" w:themeFill="background1"/>
              <w:spacing w:line="234" w:lineRule="exact"/>
              <w:ind w:right="180"/>
              <w:jc w:val="both"/>
              <w:rPr>
                <w:bCs/>
              </w:rPr>
            </w:pPr>
            <w:r>
              <w:rPr>
                <w:bCs/>
              </w:rPr>
              <w:t>Se incorpora en la sección I los “Fondos bursátiles o Exchange Traded Fund (ETF) conformados exclusivamente por bonos soberanos emitidos por el Gobierno Central” dentro de la categoría de Activos líquidos y la nota metodológica 8C del Anexo N° 15-A “Reporte de Tesorería y Posición Diaria de Liquidez”.</w:t>
            </w:r>
          </w:p>
          <w:p w14:paraId="40FE106C" w14:textId="77777777" w:rsidR="008C20EB" w:rsidRDefault="008D25BE">
            <w:pPr>
              <w:pStyle w:val="TableParagraph"/>
              <w:numPr>
                <w:ilvl w:val="0"/>
                <w:numId w:val="2"/>
              </w:numPr>
              <w:shd w:val="clear" w:color="auto" w:fill="FFFFFF" w:themeFill="background1"/>
              <w:spacing w:line="234" w:lineRule="exact"/>
              <w:ind w:right="180"/>
              <w:jc w:val="both"/>
              <w:rPr>
                <w:bCs/>
              </w:rPr>
            </w:pPr>
            <w:r>
              <w:rPr>
                <w:bCs/>
              </w:rPr>
              <w:t>Se incorpora en la sección I y II los “Fondos bursátiles o Exchange Traded Fund (ETF) conformados exclusivamente por bonos soberanos emitidos por el Gobierno Central” dentro de la categoría de Activos líquidos y la nota metodológica 6C del Anexo N° 15-C “Posición Mensual de Liquidez”.</w:t>
            </w:r>
          </w:p>
          <w:p w14:paraId="40FE106D" w14:textId="77777777" w:rsidR="008C20EB" w:rsidRDefault="008C20EB">
            <w:pPr>
              <w:pStyle w:val="TableParagraph"/>
              <w:shd w:val="clear" w:color="auto" w:fill="FFFFFF" w:themeFill="background1"/>
              <w:spacing w:line="234" w:lineRule="exact"/>
              <w:ind w:right="180"/>
              <w:jc w:val="both"/>
              <w:rPr>
                <w:bCs/>
              </w:rPr>
            </w:pPr>
          </w:p>
        </w:tc>
      </w:tr>
      <w:tr w:rsidR="008C20EB" w14:paraId="40FE109D" w14:textId="77777777">
        <w:trPr>
          <w:trHeight w:val="290"/>
        </w:trPr>
        <w:tc>
          <w:tcPr>
            <w:tcW w:w="1574" w:type="dxa"/>
            <w:tcBorders>
              <w:bottom w:val="single" w:sz="4" w:space="0" w:color="auto"/>
            </w:tcBorders>
            <w:vAlign w:val="bottom"/>
          </w:tcPr>
          <w:p w14:paraId="40FE106F" w14:textId="77777777" w:rsidR="008C20EB" w:rsidRDefault="008D25BE">
            <w:pPr>
              <w:pStyle w:val="TableParagraph"/>
              <w:shd w:val="clear" w:color="auto" w:fill="FFFFFF" w:themeFill="background1"/>
              <w:spacing w:line="234" w:lineRule="exact"/>
              <w:jc w:val="both"/>
              <w:rPr>
                <w:b/>
              </w:rPr>
            </w:pPr>
            <w:r>
              <w:rPr>
                <w:b/>
              </w:rPr>
              <w:t>Resolución SBS</w:t>
            </w:r>
          </w:p>
          <w:p w14:paraId="40FE1070" w14:textId="77777777" w:rsidR="008C20EB" w:rsidRDefault="008D25BE">
            <w:pPr>
              <w:pStyle w:val="TableParagraph"/>
              <w:shd w:val="clear" w:color="auto" w:fill="FFFFFF" w:themeFill="background1"/>
              <w:spacing w:line="234" w:lineRule="exact"/>
              <w:jc w:val="both"/>
              <w:rPr>
                <w:b/>
              </w:rPr>
            </w:pPr>
            <w:r>
              <w:rPr>
                <w:b/>
              </w:rPr>
              <w:t>N° 2685-2025</w:t>
            </w:r>
          </w:p>
          <w:p w14:paraId="40FE1071" w14:textId="77777777" w:rsidR="008C20EB" w:rsidRDefault="008C20EB">
            <w:pPr>
              <w:pStyle w:val="TableParagraph"/>
              <w:shd w:val="clear" w:color="auto" w:fill="FFFFFF" w:themeFill="background1"/>
              <w:spacing w:line="234" w:lineRule="exact"/>
              <w:jc w:val="both"/>
              <w:rPr>
                <w:b/>
              </w:rPr>
            </w:pPr>
          </w:p>
          <w:p w14:paraId="40FE1072" w14:textId="77777777" w:rsidR="008C20EB" w:rsidRDefault="008C20EB">
            <w:pPr>
              <w:pStyle w:val="TableParagraph"/>
              <w:shd w:val="clear" w:color="auto" w:fill="FFFFFF" w:themeFill="background1"/>
              <w:spacing w:line="234" w:lineRule="exact"/>
              <w:jc w:val="both"/>
              <w:rPr>
                <w:b/>
              </w:rPr>
            </w:pPr>
          </w:p>
          <w:p w14:paraId="40FE1073" w14:textId="77777777" w:rsidR="008C20EB" w:rsidRDefault="008C20EB">
            <w:pPr>
              <w:pStyle w:val="TableParagraph"/>
              <w:shd w:val="clear" w:color="auto" w:fill="FFFFFF" w:themeFill="background1"/>
              <w:spacing w:line="234" w:lineRule="exact"/>
              <w:jc w:val="both"/>
              <w:rPr>
                <w:b/>
              </w:rPr>
            </w:pPr>
          </w:p>
          <w:p w14:paraId="40FE1074" w14:textId="77777777" w:rsidR="008C20EB" w:rsidRDefault="008C20EB">
            <w:pPr>
              <w:pStyle w:val="TableParagraph"/>
              <w:shd w:val="clear" w:color="auto" w:fill="FFFFFF" w:themeFill="background1"/>
              <w:spacing w:line="234" w:lineRule="exact"/>
              <w:jc w:val="both"/>
              <w:rPr>
                <w:b/>
              </w:rPr>
            </w:pPr>
          </w:p>
          <w:p w14:paraId="40FE1075" w14:textId="77777777" w:rsidR="008C20EB" w:rsidRDefault="008C20EB">
            <w:pPr>
              <w:pStyle w:val="TableParagraph"/>
              <w:shd w:val="clear" w:color="auto" w:fill="FFFFFF" w:themeFill="background1"/>
              <w:spacing w:line="234" w:lineRule="exact"/>
              <w:jc w:val="both"/>
              <w:rPr>
                <w:b/>
              </w:rPr>
            </w:pPr>
          </w:p>
          <w:p w14:paraId="40FE1076" w14:textId="77777777" w:rsidR="008C20EB" w:rsidRDefault="008C20EB">
            <w:pPr>
              <w:pStyle w:val="TableParagraph"/>
              <w:shd w:val="clear" w:color="auto" w:fill="FFFFFF" w:themeFill="background1"/>
              <w:spacing w:line="234" w:lineRule="exact"/>
              <w:jc w:val="both"/>
              <w:rPr>
                <w:b/>
              </w:rPr>
            </w:pPr>
          </w:p>
          <w:p w14:paraId="40FE1077" w14:textId="77777777" w:rsidR="008C20EB" w:rsidRDefault="008C20EB">
            <w:pPr>
              <w:pStyle w:val="TableParagraph"/>
              <w:shd w:val="clear" w:color="auto" w:fill="FFFFFF" w:themeFill="background1"/>
              <w:spacing w:line="234" w:lineRule="exact"/>
              <w:jc w:val="both"/>
              <w:rPr>
                <w:b/>
              </w:rPr>
            </w:pPr>
          </w:p>
          <w:p w14:paraId="40FE1078" w14:textId="77777777" w:rsidR="008C20EB" w:rsidRDefault="008C20EB">
            <w:pPr>
              <w:pStyle w:val="TableParagraph"/>
              <w:shd w:val="clear" w:color="auto" w:fill="FFFFFF" w:themeFill="background1"/>
              <w:spacing w:line="234" w:lineRule="exact"/>
              <w:jc w:val="both"/>
              <w:rPr>
                <w:b/>
              </w:rPr>
            </w:pPr>
          </w:p>
          <w:p w14:paraId="40FE1079" w14:textId="77777777" w:rsidR="008C20EB" w:rsidRDefault="008C20EB">
            <w:pPr>
              <w:pStyle w:val="TableParagraph"/>
              <w:shd w:val="clear" w:color="auto" w:fill="FFFFFF" w:themeFill="background1"/>
              <w:spacing w:line="234" w:lineRule="exact"/>
              <w:jc w:val="both"/>
              <w:rPr>
                <w:b/>
              </w:rPr>
            </w:pPr>
          </w:p>
          <w:p w14:paraId="40FE107A" w14:textId="77777777" w:rsidR="008C20EB" w:rsidRDefault="008C20EB">
            <w:pPr>
              <w:pStyle w:val="TableParagraph"/>
              <w:shd w:val="clear" w:color="auto" w:fill="FFFFFF" w:themeFill="background1"/>
              <w:spacing w:line="234" w:lineRule="exact"/>
              <w:jc w:val="both"/>
              <w:rPr>
                <w:b/>
              </w:rPr>
            </w:pPr>
          </w:p>
          <w:p w14:paraId="40FE107B" w14:textId="77777777" w:rsidR="008C20EB" w:rsidRDefault="008C20EB">
            <w:pPr>
              <w:pStyle w:val="TableParagraph"/>
              <w:shd w:val="clear" w:color="auto" w:fill="FFFFFF" w:themeFill="background1"/>
              <w:spacing w:line="234" w:lineRule="exact"/>
              <w:jc w:val="both"/>
              <w:rPr>
                <w:b/>
              </w:rPr>
            </w:pPr>
          </w:p>
          <w:p w14:paraId="40FE107C" w14:textId="77777777" w:rsidR="008C20EB" w:rsidRDefault="008C20EB">
            <w:pPr>
              <w:pStyle w:val="TableParagraph"/>
              <w:shd w:val="clear" w:color="auto" w:fill="FFFFFF" w:themeFill="background1"/>
              <w:spacing w:line="234" w:lineRule="exact"/>
              <w:jc w:val="both"/>
              <w:rPr>
                <w:b/>
              </w:rPr>
            </w:pPr>
          </w:p>
          <w:p w14:paraId="40FE107D"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07E" w14:textId="77777777" w:rsidR="008C20EB" w:rsidRDefault="008D25BE">
            <w:pPr>
              <w:pStyle w:val="TableParagraph"/>
              <w:shd w:val="clear" w:color="auto" w:fill="FFFFFF" w:themeFill="background1"/>
              <w:spacing w:line="234" w:lineRule="exact"/>
              <w:jc w:val="both"/>
              <w:rPr>
                <w:b/>
              </w:rPr>
            </w:pPr>
            <w:r>
              <w:rPr>
                <w:b/>
              </w:rPr>
              <w:lastRenderedPageBreak/>
              <w:t>Pr. 01.08.2025</w:t>
            </w:r>
          </w:p>
          <w:p w14:paraId="40FE107F" w14:textId="77777777" w:rsidR="008C20EB" w:rsidRDefault="008D25BE">
            <w:pPr>
              <w:pStyle w:val="TableParagraph"/>
              <w:shd w:val="clear" w:color="auto" w:fill="FFFFFF" w:themeFill="background1"/>
              <w:spacing w:line="234" w:lineRule="exact"/>
              <w:jc w:val="both"/>
              <w:rPr>
                <w:b/>
              </w:rPr>
            </w:pPr>
            <w:r>
              <w:rPr>
                <w:b/>
              </w:rPr>
              <w:t>Pub. 05.08.2025</w:t>
            </w:r>
          </w:p>
          <w:p w14:paraId="40FE1080" w14:textId="77777777" w:rsidR="008C20EB" w:rsidRDefault="008C20EB">
            <w:pPr>
              <w:pStyle w:val="TableParagraph"/>
              <w:shd w:val="clear" w:color="auto" w:fill="FFFFFF" w:themeFill="background1"/>
              <w:spacing w:line="234" w:lineRule="exact"/>
              <w:jc w:val="both"/>
              <w:rPr>
                <w:b/>
              </w:rPr>
            </w:pPr>
          </w:p>
          <w:p w14:paraId="40FE1081" w14:textId="77777777" w:rsidR="008C20EB" w:rsidRDefault="008C20EB">
            <w:pPr>
              <w:pStyle w:val="TableParagraph"/>
              <w:shd w:val="clear" w:color="auto" w:fill="FFFFFF" w:themeFill="background1"/>
              <w:spacing w:line="234" w:lineRule="exact"/>
              <w:jc w:val="both"/>
              <w:rPr>
                <w:b/>
              </w:rPr>
            </w:pPr>
          </w:p>
          <w:p w14:paraId="40FE1082" w14:textId="77777777" w:rsidR="008C20EB" w:rsidRDefault="008C20EB">
            <w:pPr>
              <w:pStyle w:val="TableParagraph"/>
              <w:shd w:val="clear" w:color="auto" w:fill="FFFFFF" w:themeFill="background1"/>
              <w:spacing w:line="234" w:lineRule="exact"/>
              <w:jc w:val="both"/>
              <w:rPr>
                <w:b/>
              </w:rPr>
            </w:pPr>
          </w:p>
          <w:p w14:paraId="40FE1083" w14:textId="77777777" w:rsidR="008C20EB" w:rsidRDefault="008C20EB">
            <w:pPr>
              <w:pStyle w:val="TableParagraph"/>
              <w:shd w:val="clear" w:color="auto" w:fill="FFFFFF" w:themeFill="background1"/>
              <w:spacing w:line="234" w:lineRule="exact"/>
              <w:jc w:val="both"/>
              <w:rPr>
                <w:b/>
              </w:rPr>
            </w:pPr>
          </w:p>
          <w:p w14:paraId="40FE1084" w14:textId="77777777" w:rsidR="008C20EB" w:rsidRDefault="008C20EB">
            <w:pPr>
              <w:pStyle w:val="TableParagraph"/>
              <w:shd w:val="clear" w:color="auto" w:fill="FFFFFF" w:themeFill="background1"/>
              <w:spacing w:line="234" w:lineRule="exact"/>
              <w:jc w:val="both"/>
              <w:rPr>
                <w:b/>
              </w:rPr>
            </w:pPr>
          </w:p>
          <w:p w14:paraId="40FE1085" w14:textId="77777777" w:rsidR="008C20EB" w:rsidRDefault="008C20EB">
            <w:pPr>
              <w:pStyle w:val="TableParagraph"/>
              <w:shd w:val="clear" w:color="auto" w:fill="FFFFFF" w:themeFill="background1"/>
              <w:spacing w:line="234" w:lineRule="exact"/>
              <w:jc w:val="both"/>
              <w:rPr>
                <w:b/>
              </w:rPr>
            </w:pPr>
          </w:p>
          <w:p w14:paraId="40FE1086" w14:textId="77777777" w:rsidR="008C20EB" w:rsidRDefault="008C20EB">
            <w:pPr>
              <w:pStyle w:val="TableParagraph"/>
              <w:shd w:val="clear" w:color="auto" w:fill="FFFFFF" w:themeFill="background1"/>
              <w:spacing w:line="234" w:lineRule="exact"/>
              <w:jc w:val="both"/>
              <w:rPr>
                <w:b/>
              </w:rPr>
            </w:pPr>
          </w:p>
          <w:p w14:paraId="40FE1087" w14:textId="77777777" w:rsidR="008C20EB" w:rsidRDefault="008C20EB">
            <w:pPr>
              <w:pStyle w:val="TableParagraph"/>
              <w:shd w:val="clear" w:color="auto" w:fill="FFFFFF" w:themeFill="background1"/>
              <w:spacing w:line="234" w:lineRule="exact"/>
              <w:jc w:val="both"/>
              <w:rPr>
                <w:b/>
              </w:rPr>
            </w:pPr>
          </w:p>
          <w:p w14:paraId="40FE1088" w14:textId="77777777" w:rsidR="008C20EB" w:rsidRDefault="008C20EB">
            <w:pPr>
              <w:pStyle w:val="TableParagraph"/>
              <w:shd w:val="clear" w:color="auto" w:fill="FFFFFF" w:themeFill="background1"/>
              <w:spacing w:line="234" w:lineRule="exact"/>
              <w:jc w:val="both"/>
              <w:rPr>
                <w:b/>
              </w:rPr>
            </w:pPr>
          </w:p>
          <w:p w14:paraId="40FE1089" w14:textId="77777777" w:rsidR="008C20EB" w:rsidRDefault="008C20EB">
            <w:pPr>
              <w:pStyle w:val="TableParagraph"/>
              <w:shd w:val="clear" w:color="auto" w:fill="FFFFFF" w:themeFill="background1"/>
              <w:spacing w:line="234" w:lineRule="exact"/>
              <w:jc w:val="both"/>
              <w:rPr>
                <w:b/>
              </w:rPr>
            </w:pPr>
          </w:p>
          <w:p w14:paraId="40FE108A" w14:textId="77777777" w:rsidR="008C20EB" w:rsidRDefault="008C20EB">
            <w:pPr>
              <w:pStyle w:val="TableParagraph"/>
              <w:shd w:val="clear" w:color="auto" w:fill="FFFFFF" w:themeFill="background1"/>
              <w:spacing w:line="234" w:lineRule="exact"/>
              <w:jc w:val="both"/>
              <w:rPr>
                <w:b/>
              </w:rPr>
            </w:pPr>
          </w:p>
          <w:p w14:paraId="40FE108B" w14:textId="77777777" w:rsidR="008C20EB" w:rsidRDefault="008C20EB">
            <w:pPr>
              <w:pStyle w:val="TableParagraph"/>
              <w:shd w:val="clear" w:color="auto" w:fill="FFFFFF" w:themeFill="background1"/>
              <w:spacing w:line="234" w:lineRule="exact"/>
              <w:jc w:val="both"/>
              <w:rPr>
                <w:b/>
              </w:rPr>
            </w:pPr>
          </w:p>
          <w:p w14:paraId="40FE108C"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08D" w14:textId="77777777" w:rsidR="008C20EB" w:rsidRDefault="008D25BE">
            <w:pPr>
              <w:pStyle w:val="TableParagraph"/>
              <w:shd w:val="clear" w:color="auto" w:fill="FFFFFF" w:themeFill="background1"/>
              <w:spacing w:line="234" w:lineRule="exact"/>
              <w:ind w:right="100"/>
              <w:jc w:val="both"/>
              <w:rPr>
                <w:bCs/>
              </w:rPr>
            </w:pPr>
            <w:r>
              <w:rPr>
                <w:bCs/>
              </w:rPr>
              <w:lastRenderedPageBreak/>
              <w:t>Modifican el Capítulo V “Información Complementaria” del Manual de Contabilidad y el Reglamento de Gestión de Riesgo País. Dichas modificaciones entran en vigor conforme a lo dispuesto a continuación:</w:t>
            </w:r>
          </w:p>
          <w:p w14:paraId="40FE108E" w14:textId="77777777" w:rsidR="008C20EB" w:rsidRDefault="008D25BE">
            <w:pPr>
              <w:pStyle w:val="TableParagraph"/>
              <w:numPr>
                <w:ilvl w:val="0"/>
                <w:numId w:val="3"/>
              </w:numPr>
              <w:shd w:val="clear" w:color="auto" w:fill="FFFFFF" w:themeFill="background1"/>
              <w:spacing w:line="234" w:lineRule="exact"/>
              <w:ind w:right="100"/>
              <w:jc w:val="both"/>
              <w:rPr>
                <w:bCs/>
              </w:rPr>
            </w:pPr>
            <w:r>
              <w:rPr>
                <w:bCs/>
              </w:rPr>
              <w:t>El artículo Primero entra en vigencia para la información correspondiente a enero de 2026.</w:t>
            </w:r>
          </w:p>
          <w:p w14:paraId="40FE108F" w14:textId="77777777" w:rsidR="008C20EB" w:rsidRDefault="008D25BE">
            <w:pPr>
              <w:pStyle w:val="TableParagraph"/>
              <w:numPr>
                <w:ilvl w:val="0"/>
                <w:numId w:val="3"/>
              </w:numPr>
              <w:shd w:val="clear" w:color="auto" w:fill="FFFFFF" w:themeFill="background1"/>
              <w:spacing w:line="234" w:lineRule="exact"/>
              <w:ind w:right="100"/>
              <w:jc w:val="both"/>
              <w:rPr>
                <w:bCs/>
              </w:rPr>
            </w:pPr>
            <w:r>
              <w:rPr>
                <w:bCs/>
              </w:rPr>
              <w:t xml:space="preserve">El numeral 1 del artículo Segundo entra en vigencia para la información correspondiente a marzo de 2026. </w:t>
            </w:r>
          </w:p>
          <w:p w14:paraId="40FE1090" w14:textId="77777777" w:rsidR="008C20EB" w:rsidRDefault="008D25BE">
            <w:pPr>
              <w:pStyle w:val="TableParagraph"/>
              <w:numPr>
                <w:ilvl w:val="0"/>
                <w:numId w:val="3"/>
              </w:numPr>
              <w:shd w:val="clear" w:color="auto" w:fill="FFFFFF" w:themeFill="background1"/>
              <w:spacing w:line="234" w:lineRule="exact"/>
              <w:ind w:right="100"/>
              <w:jc w:val="both"/>
              <w:rPr>
                <w:bCs/>
              </w:rPr>
            </w:pPr>
            <w:r>
              <w:rPr>
                <w:bCs/>
              </w:rPr>
              <w:t xml:space="preserve">El numeral 2 del artículo Segundo entra en </w:t>
            </w:r>
            <w:r>
              <w:rPr>
                <w:bCs/>
              </w:rPr>
              <w:lastRenderedPageBreak/>
              <w:t>vigencia a partir del día siguiente de la publicación</w:t>
            </w:r>
          </w:p>
          <w:p w14:paraId="40FE1091" w14:textId="77777777" w:rsidR="008C20EB" w:rsidRDefault="008C20EB">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40FE1092" w14:textId="77777777" w:rsidR="008C20EB" w:rsidRDefault="008D25BE">
            <w:pPr>
              <w:pStyle w:val="TableParagraph"/>
              <w:shd w:val="clear" w:color="auto" w:fill="FFFFFF" w:themeFill="background1"/>
              <w:spacing w:line="234" w:lineRule="exact"/>
              <w:ind w:right="180"/>
              <w:jc w:val="both"/>
              <w:rPr>
                <w:bCs/>
              </w:rPr>
            </w:pPr>
            <w:r>
              <w:rPr>
                <w:bCs/>
              </w:rPr>
              <w:lastRenderedPageBreak/>
              <w:t>En el Capítulo V:</w:t>
            </w:r>
          </w:p>
          <w:p w14:paraId="40FE1093" w14:textId="77777777" w:rsidR="008C20EB" w:rsidRDefault="008D25BE">
            <w:pPr>
              <w:pStyle w:val="TableParagraph"/>
              <w:numPr>
                <w:ilvl w:val="0"/>
                <w:numId w:val="4"/>
              </w:numPr>
              <w:shd w:val="clear" w:color="auto" w:fill="FFFFFF" w:themeFill="background1"/>
              <w:spacing w:line="234" w:lineRule="exact"/>
              <w:ind w:right="180"/>
              <w:jc w:val="both"/>
              <w:rPr>
                <w:bCs/>
              </w:rPr>
            </w:pPr>
            <w:r>
              <w:rPr>
                <w:bCs/>
              </w:rPr>
              <w:t>Se incorpora un nuevo Reporte N° 29 “Reporte de Grupos Económicos (RGE)”, de periodicidad trimestral vigente a partir de la información de marzo 2026, dejando sin efecto el Reporte “Reporte de Grupos Económicos Deudores (RGE)”</w:t>
            </w:r>
          </w:p>
          <w:p w14:paraId="40FE1094" w14:textId="77777777" w:rsidR="008C20EB" w:rsidRDefault="008D25BE">
            <w:pPr>
              <w:pStyle w:val="Prrafodelista"/>
              <w:numPr>
                <w:ilvl w:val="0"/>
                <w:numId w:val="4"/>
              </w:numPr>
              <w:rPr>
                <w:bCs/>
              </w:rPr>
            </w:pPr>
            <w:r>
              <w:rPr>
                <w:bCs/>
              </w:rPr>
              <w:t>Se sustituye la nota metodológica N° 14 del Reporte N° 21 “Información de las Personas y Entes Jurídicos Vinculados a la Empresa y Financiamientos a Vinculados a la Empresa”, vigente a partir del día siguiente de su publicación.</w:t>
            </w:r>
          </w:p>
          <w:p w14:paraId="40FE1095" w14:textId="77777777" w:rsidR="008C20EB" w:rsidRDefault="008C20EB">
            <w:pPr>
              <w:rPr>
                <w:bCs/>
              </w:rPr>
            </w:pPr>
          </w:p>
          <w:p w14:paraId="40FE1096" w14:textId="77777777" w:rsidR="008C20EB" w:rsidRDefault="008C20EB">
            <w:pPr>
              <w:rPr>
                <w:bCs/>
              </w:rPr>
            </w:pPr>
          </w:p>
          <w:p w14:paraId="40FE1097" w14:textId="77777777" w:rsidR="008C20EB" w:rsidRDefault="008C20EB">
            <w:pPr>
              <w:rPr>
                <w:bCs/>
              </w:rPr>
            </w:pPr>
          </w:p>
          <w:p w14:paraId="40FE1098" w14:textId="77777777" w:rsidR="008C20EB" w:rsidRDefault="008C20EB">
            <w:pPr>
              <w:rPr>
                <w:bCs/>
              </w:rPr>
            </w:pPr>
          </w:p>
          <w:p w14:paraId="40FE1099" w14:textId="77777777" w:rsidR="008C20EB" w:rsidRDefault="008C20EB">
            <w:pPr>
              <w:rPr>
                <w:bCs/>
              </w:rPr>
            </w:pPr>
          </w:p>
          <w:p w14:paraId="40FE109A" w14:textId="77777777" w:rsidR="008C20EB" w:rsidRDefault="008C20EB">
            <w:pPr>
              <w:rPr>
                <w:bCs/>
              </w:rPr>
            </w:pPr>
          </w:p>
          <w:p w14:paraId="40FE109B" w14:textId="77777777" w:rsidR="008C20EB" w:rsidRDefault="008C20EB">
            <w:pPr>
              <w:rPr>
                <w:bCs/>
              </w:rPr>
            </w:pPr>
          </w:p>
          <w:p w14:paraId="40FE109C" w14:textId="77777777" w:rsidR="008C20EB" w:rsidRDefault="008C20EB">
            <w:pPr>
              <w:pStyle w:val="TableParagraph"/>
              <w:shd w:val="clear" w:color="auto" w:fill="FFFFFF" w:themeFill="background1"/>
              <w:spacing w:line="234" w:lineRule="exact"/>
              <w:ind w:right="180"/>
              <w:jc w:val="both"/>
              <w:rPr>
                <w:bCs/>
              </w:rPr>
            </w:pPr>
          </w:p>
        </w:tc>
      </w:tr>
      <w:tr w:rsidR="008C20EB" w14:paraId="40FE1113" w14:textId="77777777">
        <w:trPr>
          <w:trHeight w:val="253"/>
        </w:trPr>
        <w:tc>
          <w:tcPr>
            <w:tcW w:w="1574" w:type="dxa"/>
            <w:tcBorders>
              <w:bottom w:val="single" w:sz="4" w:space="0" w:color="auto"/>
            </w:tcBorders>
            <w:vAlign w:val="bottom"/>
          </w:tcPr>
          <w:p w14:paraId="40FE109E" w14:textId="77777777" w:rsidR="008C20EB" w:rsidRDefault="008D25BE">
            <w:pPr>
              <w:pStyle w:val="TableParagraph"/>
              <w:shd w:val="clear" w:color="auto" w:fill="FFFFFF" w:themeFill="background1"/>
              <w:spacing w:line="234" w:lineRule="exact"/>
              <w:rPr>
                <w:b/>
              </w:rPr>
            </w:pPr>
            <w:r>
              <w:rPr>
                <w:b/>
              </w:rPr>
              <w:lastRenderedPageBreak/>
              <w:t>Resolución SBS</w:t>
            </w:r>
          </w:p>
          <w:p w14:paraId="40FE109F" w14:textId="77777777" w:rsidR="008C20EB" w:rsidRDefault="008D25BE">
            <w:pPr>
              <w:pStyle w:val="TableParagraph"/>
              <w:shd w:val="clear" w:color="auto" w:fill="FFFFFF" w:themeFill="background1"/>
              <w:spacing w:line="234" w:lineRule="exact"/>
              <w:rPr>
                <w:b/>
              </w:rPr>
            </w:pPr>
            <w:r>
              <w:rPr>
                <w:b/>
              </w:rPr>
              <w:t>N° 2663-2025</w:t>
            </w:r>
          </w:p>
          <w:p w14:paraId="40FE10A0" w14:textId="77777777" w:rsidR="008C20EB" w:rsidRDefault="008C20EB">
            <w:pPr>
              <w:pStyle w:val="TableParagraph"/>
              <w:shd w:val="clear" w:color="auto" w:fill="FFFFFF" w:themeFill="background1"/>
              <w:spacing w:line="234" w:lineRule="exact"/>
              <w:rPr>
                <w:b/>
              </w:rPr>
            </w:pPr>
          </w:p>
          <w:p w14:paraId="40FE10A1" w14:textId="77777777" w:rsidR="008C20EB" w:rsidRDefault="008C20EB">
            <w:pPr>
              <w:pStyle w:val="TableParagraph"/>
              <w:shd w:val="clear" w:color="auto" w:fill="FFFFFF" w:themeFill="background1"/>
              <w:spacing w:line="234" w:lineRule="exact"/>
              <w:rPr>
                <w:b/>
              </w:rPr>
            </w:pPr>
          </w:p>
          <w:p w14:paraId="40FE10A2" w14:textId="77777777" w:rsidR="008C20EB" w:rsidRDefault="008C20EB">
            <w:pPr>
              <w:pStyle w:val="TableParagraph"/>
              <w:shd w:val="clear" w:color="auto" w:fill="FFFFFF" w:themeFill="background1"/>
              <w:spacing w:line="234" w:lineRule="exact"/>
              <w:rPr>
                <w:b/>
              </w:rPr>
            </w:pPr>
          </w:p>
          <w:p w14:paraId="40FE10A3" w14:textId="77777777" w:rsidR="008C20EB" w:rsidRDefault="008C20EB">
            <w:pPr>
              <w:pStyle w:val="TableParagraph"/>
              <w:shd w:val="clear" w:color="auto" w:fill="FFFFFF" w:themeFill="background1"/>
              <w:spacing w:line="234" w:lineRule="exact"/>
              <w:rPr>
                <w:b/>
              </w:rPr>
            </w:pPr>
          </w:p>
          <w:p w14:paraId="40FE10A4" w14:textId="77777777" w:rsidR="008C20EB" w:rsidRDefault="008C20EB">
            <w:pPr>
              <w:pStyle w:val="TableParagraph"/>
              <w:shd w:val="clear" w:color="auto" w:fill="FFFFFF" w:themeFill="background1"/>
              <w:spacing w:line="234" w:lineRule="exact"/>
              <w:rPr>
                <w:b/>
              </w:rPr>
            </w:pPr>
          </w:p>
          <w:p w14:paraId="40FE10A5" w14:textId="77777777" w:rsidR="008C20EB" w:rsidRDefault="008C20EB">
            <w:pPr>
              <w:pStyle w:val="TableParagraph"/>
              <w:shd w:val="clear" w:color="auto" w:fill="FFFFFF" w:themeFill="background1"/>
              <w:spacing w:line="234" w:lineRule="exact"/>
              <w:rPr>
                <w:b/>
              </w:rPr>
            </w:pPr>
          </w:p>
          <w:p w14:paraId="40FE10A6" w14:textId="77777777" w:rsidR="008C20EB" w:rsidRDefault="008C20EB">
            <w:pPr>
              <w:pStyle w:val="TableParagraph"/>
              <w:shd w:val="clear" w:color="auto" w:fill="FFFFFF" w:themeFill="background1"/>
              <w:spacing w:line="234" w:lineRule="exact"/>
              <w:rPr>
                <w:b/>
              </w:rPr>
            </w:pPr>
          </w:p>
          <w:p w14:paraId="40FE10A7" w14:textId="77777777" w:rsidR="008C20EB" w:rsidRDefault="008C20EB">
            <w:pPr>
              <w:pStyle w:val="TableParagraph"/>
              <w:shd w:val="clear" w:color="auto" w:fill="FFFFFF" w:themeFill="background1"/>
              <w:spacing w:line="234" w:lineRule="exact"/>
              <w:rPr>
                <w:b/>
              </w:rPr>
            </w:pPr>
          </w:p>
          <w:p w14:paraId="40FE10A8" w14:textId="77777777" w:rsidR="008C20EB" w:rsidRDefault="008C20EB">
            <w:pPr>
              <w:pStyle w:val="TableParagraph"/>
              <w:shd w:val="clear" w:color="auto" w:fill="FFFFFF" w:themeFill="background1"/>
              <w:spacing w:line="234" w:lineRule="exact"/>
              <w:rPr>
                <w:b/>
              </w:rPr>
            </w:pPr>
          </w:p>
          <w:p w14:paraId="40FE10A9" w14:textId="77777777" w:rsidR="008C20EB" w:rsidRDefault="008C20EB">
            <w:pPr>
              <w:pStyle w:val="TableParagraph"/>
              <w:shd w:val="clear" w:color="auto" w:fill="FFFFFF" w:themeFill="background1"/>
              <w:spacing w:line="234" w:lineRule="exact"/>
              <w:rPr>
                <w:b/>
              </w:rPr>
            </w:pPr>
          </w:p>
          <w:p w14:paraId="40FE10AA" w14:textId="77777777" w:rsidR="008C20EB" w:rsidRDefault="008C20EB">
            <w:pPr>
              <w:pStyle w:val="TableParagraph"/>
              <w:shd w:val="clear" w:color="auto" w:fill="FFFFFF" w:themeFill="background1"/>
              <w:spacing w:line="234" w:lineRule="exact"/>
              <w:rPr>
                <w:b/>
              </w:rPr>
            </w:pPr>
          </w:p>
          <w:p w14:paraId="40FE10AB" w14:textId="77777777" w:rsidR="008C20EB" w:rsidRDefault="008C20EB">
            <w:pPr>
              <w:pStyle w:val="TableParagraph"/>
              <w:shd w:val="clear" w:color="auto" w:fill="FFFFFF" w:themeFill="background1"/>
              <w:spacing w:line="234" w:lineRule="exact"/>
              <w:rPr>
                <w:b/>
              </w:rPr>
            </w:pPr>
          </w:p>
          <w:p w14:paraId="40FE10AC" w14:textId="77777777" w:rsidR="008C20EB" w:rsidRDefault="008C20EB">
            <w:pPr>
              <w:pStyle w:val="TableParagraph"/>
              <w:shd w:val="clear" w:color="auto" w:fill="FFFFFF" w:themeFill="background1"/>
              <w:spacing w:line="234" w:lineRule="exact"/>
              <w:rPr>
                <w:b/>
              </w:rPr>
            </w:pPr>
          </w:p>
          <w:p w14:paraId="40FE10AD" w14:textId="77777777" w:rsidR="008C20EB" w:rsidRDefault="008C20EB">
            <w:pPr>
              <w:pStyle w:val="TableParagraph"/>
              <w:shd w:val="clear" w:color="auto" w:fill="FFFFFF" w:themeFill="background1"/>
              <w:spacing w:line="234" w:lineRule="exact"/>
              <w:rPr>
                <w:b/>
              </w:rPr>
            </w:pPr>
          </w:p>
          <w:p w14:paraId="40FE10AE" w14:textId="77777777" w:rsidR="008C20EB" w:rsidRDefault="008C20EB">
            <w:pPr>
              <w:pStyle w:val="TableParagraph"/>
              <w:shd w:val="clear" w:color="auto" w:fill="FFFFFF" w:themeFill="background1"/>
              <w:spacing w:line="234" w:lineRule="exact"/>
              <w:rPr>
                <w:b/>
              </w:rPr>
            </w:pPr>
          </w:p>
          <w:p w14:paraId="40FE10AF" w14:textId="77777777" w:rsidR="008C20EB" w:rsidRDefault="008C20EB">
            <w:pPr>
              <w:pStyle w:val="TableParagraph"/>
              <w:shd w:val="clear" w:color="auto" w:fill="FFFFFF" w:themeFill="background1"/>
              <w:spacing w:line="234" w:lineRule="exact"/>
              <w:rPr>
                <w:b/>
              </w:rPr>
            </w:pPr>
          </w:p>
          <w:p w14:paraId="40FE10B0" w14:textId="77777777" w:rsidR="008C20EB" w:rsidRDefault="008C20EB">
            <w:pPr>
              <w:pStyle w:val="TableParagraph"/>
              <w:shd w:val="clear" w:color="auto" w:fill="FFFFFF" w:themeFill="background1"/>
              <w:spacing w:line="234" w:lineRule="exact"/>
              <w:rPr>
                <w:b/>
              </w:rPr>
            </w:pPr>
          </w:p>
          <w:p w14:paraId="40FE10B1" w14:textId="77777777" w:rsidR="008C20EB" w:rsidRDefault="008C20EB">
            <w:pPr>
              <w:pStyle w:val="TableParagraph"/>
              <w:shd w:val="clear" w:color="auto" w:fill="FFFFFF" w:themeFill="background1"/>
              <w:spacing w:line="234" w:lineRule="exact"/>
              <w:rPr>
                <w:b/>
              </w:rPr>
            </w:pPr>
          </w:p>
          <w:p w14:paraId="40FE10B2" w14:textId="77777777" w:rsidR="008C20EB" w:rsidRDefault="008C20EB">
            <w:pPr>
              <w:pStyle w:val="TableParagraph"/>
              <w:shd w:val="clear" w:color="auto" w:fill="FFFFFF" w:themeFill="background1"/>
              <w:spacing w:line="234" w:lineRule="exact"/>
              <w:rPr>
                <w:b/>
              </w:rPr>
            </w:pPr>
          </w:p>
          <w:p w14:paraId="40FE10B3" w14:textId="77777777" w:rsidR="008C20EB" w:rsidRDefault="008C20EB">
            <w:pPr>
              <w:pStyle w:val="TableParagraph"/>
              <w:shd w:val="clear" w:color="auto" w:fill="FFFFFF" w:themeFill="background1"/>
              <w:spacing w:line="234" w:lineRule="exact"/>
              <w:rPr>
                <w:b/>
              </w:rPr>
            </w:pPr>
          </w:p>
          <w:p w14:paraId="40FE10B4" w14:textId="77777777" w:rsidR="008C20EB" w:rsidRDefault="008C20EB">
            <w:pPr>
              <w:pStyle w:val="TableParagraph"/>
              <w:shd w:val="clear" w:color="auto" w:fill="FFFFFF" w:themeFill="background1"/>
              <w:spacing w:line="234" w:lineRule="exact"/>
              <w:rPr>
                <w:b/>
              </w:rPr>
            </w:pPr>
          </w:p>
          <w:p w14:paraId="40FE10B5" w14:textId="77777777" w:rsidR="008C20EB" w:rsidRDefault="008C20EB">
            <w:pPr>
              <w:pStyle w:val="TableParagraph"/>
              <w:shd w:val="clear" w:color="auto" w:fill="FFFFFF" w:themeFill="background1"/>
              <w:spacing w:line="234" w:lineRule="exact"/>
              <w:rPr>
                <w:b/>
              </w:rPr>
            </w:pPr>
          </w:p>
          <w:p w14:paraId="40FE10B6" w14:textId="77777777" w:rsidR="008C20EB" w:rsidRDefault="008C20EB">
            <w:pPr>
              <w:pStyle w:val="TableParagraph"/>
              <w:shd w:val="clear" w:color="auto" w:fill="FFFFFF" w:themeFill="background1"/>
              <w:spacing w:line="234" w:lineRule="exact"/>
              <w:rPr>
                <w:b/>
              </w:rPr>
            </w:pPr>
          </w:p>
          <w:p w14:paraId="40FE10B7" w14:textId="77777777" w:rsidR="008C20EB" w:rsidRDefault="008C20EB">
            <w:pPr>
              <w:pStyle w:val="TableParagraph"/>
              <w:shd w:val="clear" w:color="auto" w:fill="FFFFFF" w:themeFill="background1"/>
              <w:spacing w:line="234" w:lineRule="exact"/>
              <w:rPr>
                <w:b/>
              </w:rPr>
            </w:pPr>
          </w:p>
          <w:p w14:paraId="40FE10B8" w14:textId="77777777" w:rsidR="008C20EB" w:rsidRDefault="008C20EB">
            <w:pPr>
              <w:pStyle w:val="TableParagraph"/>
              <w:shd w:val="clear" w:color="auto" w:fill="FFFFFF" w:themeFill="background1"/>
              <w:spacing w:line="234" w:lineRule="exact"/>
              <w:rPr>
                <w:b/>
              </w:rPr>
            </w:pPr>
          </w:p>
          <w:p w14:paraId="40FE10B9" w14:textId="77777777" w:rsidR="008C20EB" w:rsidRDefault="008C20EB">
            <w:pPr>
              <w:pStyle w:val="TableParagraph"/>
              <w:shd w:val="clear" w:color="auto" w:fill="FFFFFF" w:themeFill="background1"/>
              <w:spacing w:line="234" w:lineRule="exact"/>
              <w:rPr>
                <w:b/>
              </w:rPr>
            </w:pPr>
          </w:p>
          <w:p w14:paraId="40FE10BA" w14:textId="77777777" w:rsidR="008C20EB" w:rsidRDefault="008C20EB">
            <w:pPr>
              <w:pStyle w:val="TableParagraph"/>
              <w:shd w:val="clear" w:color="auto" w:fill="FFFFFF" w:themeFill="background1"/>
              <w:spacing w:line="234" w:lineRule="exact"/>
              <w:rPr>
                <w:b/>
              </w:rPr>
            </w:pPr>
          </w:p>
          <w:p w14:paraId="40FE10BB" w14:textId="77777777" w:rsidR="008C20EB" w:rsidRDefault="008C20EB">
            <w:pPr>
              <w:pStyle w:val="TableParagraph"/>
              <w:shd w:val="clear" w:color="auto" w:fill="FFFFFF" w:themeFill="background1"/>
              <w:spacing w:line="234" w:lineRule="exact"/>
              <w:rPr>
                <w:b/>
              </w:rPr>
            </w:pPr>
          </w:p>
          <w:p w14:paraId="40FE10BC" w14:textId="77777777" w:rsidR="008C20EB" w:rsidRDefault="008C20EB">
            <w:pPr>
              <w:pStyle w:val="TableParagraph"/>
              <w:shd w:val="clear" w:color="auto" w:fill="FFFFFF" w:themeFill="background1"/>
              <w:spacing w:line="234" w:lineRule="exact"/>
              <w:rPr>
                <w:b/>
              </w:rPr>
            </w:pPr>
          </w:p>
          <w:p w14:paraId="40FE10BD" w14:textId="77777777" w:rsidR="008C20EB" w:rsidRDefault="008C20EB">
            <w:pPr>
              <w:pStyle w:val="TableParagraph"/>
              <w:shd w:val="clear" w:color="auto" w:fill="FFFFFF" w:themeFill="background1"/>
              <w:spacing w:line="234" w:lineRule="exact"/>
              <w:rPr>
                <w:b/>
              </w:rPr>
            </w:pPr>
          </w:p>
          <w:p w14:paraId="40FE10BE" w14:textId="77777777" w:rsidR="008C20EB" w:rsidRDefault="008C20EB">
            <w:pPr>
              <w:pStyle w:val="TableParagraph"/>
              <w:shd w:val="clear" w:color="auto" w:fill="FFFFFF" w:themeFill="background1"/>
              <w:spacing w:line="234" w:lineRule="exact"/>
              <w:rPr>
                <w:b/>
              </w:rPr>
            </w:pPr>
          </w:p>
          <w:p w14:paraId="40FE10BF" w14:textId="77777777" w:rsidR="008C20EB" w:rsidRDefault="008C20EB">
            <w:pPr>
              <w:pStyle w:val="TableParagraph"/>
              <w:shd w:val="clear" w:color="auto" w:fill="FFFFFF" w:themeFill="background1"/>
              <w:spacing w:line="234" w:lineRule="exact"/>
              <w:rPr>
                <w:b/>
              </w:rPr>
            </w:pPr>
          </w:p>
          <w:p w14:paraId="40FE10C0" w14:textId="77777777" w:rsidR="008C20EB" w:rsidRDefault="008C20EB">
            <w:pPr>
              <w:pStyle w:val="TableParagraph"/>
              <w:shd w:val="clear" w:color="auto" w:fill="FFFFFF" w:themeFill="background1"/>
              <w:spacing w:line="234" w:lineRule="exact"/>
              <w:rPr>
                <w:b/>
              </w:rPr>
            </w:pPr>
          </w:p>
          <w:p w14:paraId="40FE10C1" w14:textId="77777777" w:rsidR="008C20EB" w:rsidRDefault="008C20EB">
            <w:pPr>
              <w:pStyle w:val="TableParagraph"/>
              <w:shd w:val="clear" w:color="auto" w:fill="FFFFFF" w:themeFill="background1"/>
              <w:spacing w:line="234" w:lineRule="exact"/>
              <w:rPr>
                <w:b/>
              </w:rPr>
            </w:pPr>
          </w:p>
          <w:p w14:paraId="40FE10C2" w14:textId="77777777" w:rsidR="008C20EB" w:rsidRDefault="008C20EB">
            <w:pPr>
              <w:pStyle w:val="TableParagraph"/>
              <w:shd w:val="clear" w:color="auto" w:fill="FFFFFF" w:themeFill="background1"/>
              <w:spacing w:line="234" w:lineRule="exact"/>
              <w:rPr>
                <w:b/>
              </w:rPr>
            </w:pPr>
          </w:p>
          <w:p w14:paraId="40FE10C3" w14:textId="77777777" w:rsidR="008C20EB" w:rsidRDefault="008C20EB">
            <w:pPr>
              <w:pStyle w:val="TableParagraph"/>
              <w:shd w:val="clear" w:color="auto" w:fill="FFFFFF" w:themeFill="background1"/>
              <w:spacing w:line="234" w:lineRule="exact"/>
              <w:rPr>
                <w:b/>
              </w:rPr>
            </w:pPr>
          </w:p>
        </w:tc>
        <w:tc>
          <w:tcPr>
            <w:tcW w:w="1560" w:type="dxa"/>
            <w:tcBorders>
              <w:bottom w:val="single" w:sz="4" w:space="0" w:color="auto"/>
            </w:tcBorders>
            <w:vAlign w:val="bottom"/>
          </w:tcPr>
          <w:p w14:paraId="40FE10C4" w14:textId="77777777" w:rsidR="008C20EB" w:rsidRDefault="008D25BE">
            <w:pPr>
              <w:pStyle w:val="TableParagraph"/>
              <w:shd w:val="clear" w:color="auto" w:fill="FFFFFF" w:themeFill="background1"/>
              <w:spacing w:line="234" w:lineRule="exact"/>
              <w:rPr>
                <w:b/>
              </w:rPr>
            </w:pPr>
            <w:r>
              <w:rPr>
                <w:b/>
              </w:rPr>
              <w:t>Pr.30.07.2025</w:t>
            </w:r>
          </w:p>
          <w:p w14:paraId="40FE10C5" w14:textId="77777777" w:rsidR="008C20EB" w:rsidRDefault="008D25BE">
            <w:pPr>
              <w:pStyle w:val="TableParagraph"/>
              <w:shd w:val="clear" w:color="auto" w:fill="FFFFFF" w:themeFill="background1"/>
              <w:spacing w:line="234" w:lineRule="exact"/>
              <w:rPr>
                <w:b/>
              </w:rPr>
            </w:pPr>
            <w:r>
              <w:rPr>
                <w:b/>
              </w:rPr>
              <w:t>Pub. 01.08.2025</w:t>
            </w:r>
          </w:p>
          <w:p w14:paraId="40FE10C6" w14:textId="77777777" w:rsidR="008C20EB" w:rsidRDefault="008C20EB">
            <w:pPr>
              <w:pStyle w:val="TableParagraph"/>
              <w:shd w:val="clear" w:color="auto" w:fill="FFFFFF" w:themeFill="background1"/>
              <w:spacing w:line="234" w:lineRule="exact"/>
              <w:rPr>
                <w:b/>
              </w:rPr>
            </w:pPr>
          </w:p>
          <w:p w14:paraId="40FE10C7" w14:textId="77777777" w:rsidR="008C20EB" w:rsidRDefault="008C20EB">
            <w:pPr>
              <w:pStyle w:val="TableParagraph"/>
              <w:shd w:val="clear" w:color="auto" w:fill="FFFFFF" w:themeFill="background1"/>
              <w:spacing w:line="234" w:lineRule="exact"/>
              <w:rPr>
                <w:b/>
              </w:rPr>
            </w:pPr>
          </w:p>
          <w:p w14:paraId="40FE10C8" w14:textId="77777777" w:rsidR="008C20EB" w:rsidRDefault="008C20EB">
            <w:pPr>
              <w:pStyle w:val="TableParagraph"/>
              <w:shd w:val="clear" w:color="auto" w:fill="FFFFFF" w:themeFill="background1"/>
              <w:spacing w:line="234" w:lineRule="exact"/>
              <w:rPr>
                <w:b/>
              </w:rPr>
            </w:pPr>
          </w:p>
          <w:p w14:paraId="40FE10C9" w14:textId="77777777" w:rsidR="008C20EB" w:rsidRDefault="008C20EB">
            <w:pPr>
              <w:pStyle w:val="TableParagraph"/>
              <w:shd w:val="clear" w:color="auto" w:fill="FFFFFF" w:themeFill="background1"/>
              <w:spacing w:line="234" w:lineRule="exact"/>
              <w:rPr>
                <w:b/>
              </w:rPr>
            </w:pPr>
          </w:p>
          <w:p w14:paraId="40FE10CA" w14:textId="77777777" w:rsidR="008C20EB" w:rsidRDefault="008C20EB">
            <w:pPr>
              <w:pStyle w:val="TableParagraph"/>
              <w:shd w:val="clear" w:color="auto" w:fill="FFFFFF" w:themeFill="background1"/>
              <w:spacing w:line="234" w:lineRule="exact"/>
              <w:rPr>
                <w:b/>
              </w:rPr>
            </w:pPr>
          </w:p>
          <w:p w14:paraId="40FE10CB" w14:textId="77777777" w:rsidR="008C20EB" w:rsidRDefault="008C20EB">
            <w:pPr>
              <w:pStyle w:val="TableParagraph"/>
              <w:shd w:val="clear" w:color="auto" w:fill="FFFFFF" w:themeFill="background1"/>
              <w:spacing w:line="234" w:lineRule="exact"/>
              <w:rPr>
                <w:b/>
              </w:rPr>
            </w:pPr>
          </w:p>
          <w:p w14:paraId="40FE10CC" w14:textId="77777777" w:rsidR="008C20EB" w:rsidRDefault="008C20EB">
            <w:pPr>
              <w:pStyle w:val="TableParagraph"/>
              <w:shd w:val="clear" w:color="auto" w:fill="FFFFFF" w:themeFill="background1"/>
              <w:spacing w:line="234" w:lineRule="exact"/>
              <w:rPr>
                <w:b/>
              </w:rPr>
            </w:pPr>
          </w:p>
          <w:p w14:paraId="40FE10CD" w14:textId="77777777" w:rsidR="008C20EB" w:rsidRDefault="008C20EB">
            <w:pPr>
              <w:pStyle w:val="TableParagraph"/>
              <w:shd w:val="clear" w:color="auto" w:fill="FFFFFF" w:themeFill="background1"/>
              <w:spacing w:line="234" w:lineRule="exact"/>
              <w:rPr>
                <w:b/>
              </w:rPr>
            </w:pPr>
          </w:p>
          <w:p w14:paraId="40FE10CE" w14:textId="77777777" w:rsidR="008C20EB" w:rsidRDefault="008C20EB">
            <w:pPr>
              <w:pStyle w:val="TableParagraph"/>
              <w:shd w:val="clear" w:color="auto" w:fill="FFFFFF" w:themeFill="background1"/>
              <w:spacing w:line="234" w:lineRule="exact"/>
              <w:rPr>
                <w:b/>
              </w:rPr>
            </w:pPr>
          </w:p>
          <w:p w14:paraId="40FE10CF" w14:textId="77777777" w:rsidR="008C20EB" w:rsidRDefault="008C20EB">
            <w:pPr>
              <w:pStyle w:val="TableParagraph"/>
              <w:shd w:val="clear" w:color="auto" w:fill="FFFFFF" w:themeFill="background1"/>
              <w:spacing w:line="234" w:lineRule="exact"/>
              <w:rPr>
                <w:b/>
              </w:rPr>
            </w:pPr>
          </w:p>
          <w:p w14:paraId="40FE10D0" w14:textId="77777777" w:rsidR="008C20EB" w:rsidRDefault="008C20EB">
            <w:pPr>
              <w:pStyle w:val="TableParagraph"/>
              <w:shd w:val="clear" w:color="auto" w:fill="FFFFFF" w:themeFill="background1"/>
              <w:spacing w:line="234" w:lineRule="exact"/>
              <w:rPr>
                <w:b/>
              </w:rPr>
            </w:pPr>
          </w:p>
          <w:p w14:paraId="40FE10D1" w14:textId="77777777" w:rsidR="008C20EB" w:rsidRDefault="008C20EB">
            <w:pPr>
              <w:pStyle w:val="TableParagraph"/>
              <w:shd w:val="clear" w:color="auto" w:fill="FFFFFF" w:themeFill="background1"/>
              <w:spacing w:line="234" w:lineRule="exact"/>
              <w:rPr>
                <w:b/>
              </w:rPr>
            </w:pPr>
          </w:p>
          <w:p w14:paraId="40FE10D2" w14:textId="77777777" w:rsidR="008C20EB" w:rsidRDefault="008C20EB">
            <w:pPr>
              <w:pStyle w:val="TableParagraph"/>
              <w:shd w:val="clear" w:color="auto" w:fill="FFFFFF" w:themeFill="background1"/>
              <w:spacing w:line="234" w:lineRule="exact"/>
              <w:rPr>
                <w:b/>
              </w:rPr>
            </w:pPr>
          </w:p>
          <w:p w14:paraId="40FE10D3" w14:textId="77777777" w:rsidR="008C20EB" w:rsidRDefault="008C20EB">
            <w:pPr>
              <w:pStyle w:val="TableParagraph"/>
              <w:shd w:val="clear" w:color="auto" w:fill="FFFFFF" w:themeFill="background1"/>
              <w:spacing w:line="234" w:lineRule="exact"/>
              <w:rPr>
                <w:b/>
              </w:rPr>
            </w:pPr>
          </w:p>
          <w:p w14:paraId="40FE10D4" w14:textId="77777777" w:rsidR="008C20EB" w:rsidRDefault="008C20EB">
            <w:pPr>
              <w:pStyle w:val="TableParagraph"/>
              <w:shd w:val="clear" w:color="auto" w:fill="FFFFFF" w:themeFill="background1"/>
              <w:spacing w:line="234" w:lineRule="exact"/>
              <w:rPr>
                <w:b/>
              </w:rPr>
            </w:pPr>
          </w:p>
          <w:p w14:paraId="40FE10D5" w14:textId="77777777" w:rsidR="008C20EB" w:rsidRDefault="008C20EB">
            <w:pPr>
              <w:pStyle w:val="TableParagraph"/>
              <w:shd w:val="clear" w:color="auto" w:fill="FFFFFF" w:themeFill="background1"/>
              <w:spacing w:line="234" w:lineRule="exact"/>
              <w:rPr>
                <w:b/>
              </w:rPr>
            </w:pPr>
          </w:p>
          <w:p w14:paraId="40FE10D6" w14:textId="77777777" w:rsidR="008C20EB" w:rsidRDefault="008C20EB">
            <w:pPr>
              <w:pStyle w:val="TableParagraph"/>
              <w:shd w:val="clear" w:color="auto" w:fill="FFFFFF" w:themeFill="background1"/>
              <w:spacing w:line="234" w:lineRule="exact"/>
              <w:rPr>
                <w:b/>
              </w:rPr>
            </w:pPr>
          </w:p>
          <w:p w14:paraId="40FE10D7" w14:textId="77777777" w:rsidR="008C20EB" w:rsidRDefault="008C20EB">
            <w:pPr>
              <w:pStyle w:val="TableParagraph"/>
              <w:shd w:val="clear" w:color="auto" w:fill="FFFFFF" w:themeFill="background1"/>
              <w:spacing w:line="234" w:lineRule="exact"/>
              <w:rPr>
                <w:b/>
              </w:rPr>
            </w:pPr>
          </w:p>
          <w:p w14:paraId="40FE10D8" w14:textId="77777777" w:rsidR="008C20EB" w:rsidRDefault="008C20EB">
            <w:pPr>
              <w:pStyle w:val="TableParagraph"/>
              <w:shd w:val="clear" w:color="auto" w:fill="FFFFFF" w:themeFill="background1"/>
              <w:spacing w:line="234" w:lineRule="exact"/>
              <w:rPr>
                <w:b/>
              </w:rPr>
            </w:pPr>
          </w:p>
          <w:p w14:paraId="40FE10D9" w14:textId="77777777" w:rsidR="008C20EB" w:rsidRDefault="008C20EB">
            <w:pPr>
              <w:pStyle w:val="TableParagraph"/>
              <w:shd w:val="clear" w:color="auto" w:fill="FFFFFF" w:themeFill="background1"/>
              <w:spacing w:line="234" w:lineRule="exact"/>
              <w:rPr>
                <w:b/>
              </w:rPr>
            </w:pPr>
          </w:p>
          <w:p w14:paraId="40FE10DA" w14:textId="77777777" w:rsidR="008C20EB" w:rsidRDefault="008C20EB">
            <w:pPr>
              <w:pStyle w:val="TableParagraph"/>
              <w:shd w:val="clear" w:color="auto" w:fill="FFFFFF" w:themeFill="background1"/>
              <w:spacing w:line="234" w:lineRule="exact"/>
              <w:rPr>
                <w:b/>
              </w:rPr>
            </w:pPr>
          </w:p>
          <w:p w14:paraId="40FE10DB" w14:textId="77777777" w:rsidR="008C20EB" w:rsidRDefault="008C20EB">
            <w:pPr>
              <w:pStyle w:val="TableParagraph"/>
              <w:shd w:val="clear" w:color="auto" w:fill="FFFFFF" w:themeFill="background1"/>
              <w:spacing w:line="234" w:lineRule="exact"/>
              <w:rPr>
                <w:b/>
              </w:rPr>
            </w:pPr>
          </w:p>
          <w:p w14:paraId="40FE10DC" w14:textId="77777777" w:rsidR="008C20EB" w:rsidRDefault="008C20EB">
            <w:pPr>
              <w:pStyle w:val="TableParagraph"/>
              <w:shd w:val="clear" w:color="auto" w:fill="FFFFFF" w:themeFill="background1"/>
              <w:spacing w:line="234" w:lineRule="exact"/>
              <w:rPr>
                <w:b/>
              </w:rPr>
            </w:pPr>
          </w:p>
          <w:p w14:paraId="40FE10DD" w14:textId="77777777" w:rsidR="008C20EB" w:rsidRDefault="008C20EB">
            <w:pPr>
              <w:pStyle w:val="TableParagraph"/>
              <w:shd w:val="clear" w:color="auto" w:fill="FFFFFF" w:themeFill="background1"/>
              <w:spacing w:line="234" w:lineRule="exact"/>
              <w:rPr>
                <w:b/>
              </w:rPr>
            </w:pPr>
          </w:p>
          <w:p w14:paraId="40FE10DE" w14:textId="77777777" w:rsidR="008C20EB" w:rsidRDefault="008C20EB">
            <w:pPr>
              <w:pStyle w:val="TableParagraph"/>
              <w:shd w:val="clear" w:color="auto" w:fill="FFFFFF" w:themeFill="background1"/>
              <w:spacing w:line="234" w:lineRule="exact"/>
              <w:rPr>
                <w:b/>
              </w:rPr>
            </w:pPr>
          </w:p>
          <w:p w14:paraId="40FE10DF" w14:textId="77777777" w:rsidR="008C20EB" w:rsidRDefault="008C20EB">
            <w:pPr>
              <w:pStyle w:val="TableParagraph"/>
              <w:shd w:val="clear" w:color="auto" w:fill="FFFFFF" w:themeFill="background1"/>
              <w:spacing w:line="234" w:lineRule="exact"/>
              <w:rPr>
                <w:b/>
              </w:rPr>
            </w:pPr>
          </w:p>
          <w:p w14:paraId="40FE10E0" w14:textId="77777777" w:rsidR="008C20EB" w:rsidRDefault="008C20EB">
            <w:pPr>
              <w:pStyle w:val="TableParagraph"/>
              <w:shd w:val="clear" w:color="auto" w:fill="FFFFFF" w:themeFill="background1"/>
              <w:spacing w:line="234" w:lineRule="exact"/>
              <w:rPr>
                <w:b/>
              </w:rPr>
            </w:pPr>
          </w:p>
          <w:p w14:paraId="40FE10E1" w14:textId="77777777" w:rsidR="008C20EB" w:rsidRDefault="008C20EB">
            <w:pPr>
              <w:pStyle w:val="TableParagraph"/>
              <w:shd w:val="clear" w:color="auto" w:fill="FFFFFF" w:themeFill="background1"/>
              <w:spacing w:line="234" w:lineRule="exact"/>
              <w:rPr>
                <w:b/>
              </w:rPr>
            </w:pPr>
          </w:p>
          <w:p w14:paraId="40FE10E2" w14:textId="77777777" w:rsidR="008C20EB" w:rsidRDefault="008C20EB">
            <w:pPr>
              <w:pStyle w:val="TableParagraph"/>
              <w:shd w:val="clear" w:color="auto" w:fill="FFFFFF" w:themeFill="background1"/>
              <w:spacing w:line="234" w:lineRule="exact"/>
              <w:rPr>
                <w:b/>
              </w:rPr>
            </w:pPr>
          </w:p>
          <w:p w14:paraId="40FE10E3" w14:textId="77777777" w:rsidR="008C20EB" w:rsidRDefault="008C20EB">
            <w:pPr>
              <w:pStyle w:val="TableParagraph"/>
              <w:shd w:val="clear" w:color="auto" w:fill="FFFFFF" w:themeFill="background1"/>
              <w:spacing w:line="234" w:lineRule="exact"/>
              <w:rPr>
                <w:b/>
              </w:rPr>
            </w:pPr>
          </w:p>
          <w:p w14:paraId="40FE10E4" w14:textId="77777777" w:rsidR="008C20EB" w:rsidRDefault="008C20EB">
            <w:pPr>
              <w:pStyle w:val="TableParagraph"/>
              <w:shd w:val="clear" w:color="auto" w:fill="FFFFFF" w:themeFill="background1"/>
              <w:spacing w:line="234" w:lineRule="exact"/>
              <w:rPr>
                <w:b/>
              </w:rPr>
            </w:pPr>
          </w:p>
          <w:p w14:paraId="40FE10E5" w14:textId="77777777" w:rsidR="008C20EB" w:rsidRDefault="008C20EB">
            <w:pPr>
              <w:pStyle w:val="TableParagraph"/>
              <w:shd w:val="clear" w:color="auto" w:fill="FFFFFF" w:themeFill="background1"/>
              <w:spacing w:line="234" w:lineRule="exact"/>
              <w:rPr>
                <w:b/>
              </w:rPr>
            </w:pPr>
          </w:p>
          <w:p w14:paraId="40FE10E6" w14:textId="77777777" w:rsidR="008C20EB" w:rsidRDefault="008C20EB">
            <w:pPr>
              <w:pStyle w:val="TableParagraph"/>
              <w:shd w:val="clear" w:color="auto" w:fill="FFFFFF" w:themeFill="background1"/>
              <w:spacing w:line="234" w:lineRule="exact"/>
              <w:rPr>
                <w:b/>
              </w:rPr>
            </w:pPr>
          </w:p>
          <w:p w14:paraId="40FE10E7" w14:textId="77777777" w:rsidR="008C20EB" w:rsidRDefault="008C20EB">
            <w:pPr>
              <w:pStyle w:val="TableParagraph"/>
              <w:shd w:val="clear" w:color="auto" w:fill="FFFFFF" w:themeFill="background1"/>
              <w:spacing w:line="234" w:lineRule="exact"/>
              <w:rPr>
                <w:b/>
              </w:rPr>
            </w:pPr>
          </w:p>
          <w:p w14:paraId="40FE10E8" w14:textId="77777777" w:rsidR="008C20EB" w:rsidRDefault="008C20EB">
            <w:pPr>
              <w:pStyle w:val="TableParagraph"/>
              <w:shd w:val="clear" w:color="auto" w:fill="FFFFFF" w:themeFill="background1"/>
              <w:spacing w:line="234" w:lineRule="exact"/>
              <w:rPr>
                <w:b/>
              </w:rPr>
            </w:pPr>
          </w:p>
        </w:tc>
        <w:tc>
          <w:tcPr>
            <w:tcW w:w="3935" w:type="dxa"/>
            <w:tcBorders>
              <w:bottom w:val="single" w:sz="4" w:space="0" w:color="auto"/>
            </w:tcBorders>
            <w:vAlign w:val="bottom"/>
          </w:tcPr>
          <w:p w14:paraId="40FE10E9" w14:textId="77777777" w:rsidR="008C20EB" w:rsidRDefault="008D25BE">
            <w:pPr>
              <w:pStyle w:val="TableParagraph"/>
              <w:rPr>
                <w:bCs/>
              </w:rPr>
            </w:pPr>
            <w:r>
              <w:rPr>
                <w:bCs/>
              </w:rPr>
              <w:t>Modifican el Manual de contabilidad para las Empresas del Sistema Financiero con el fin de armonizar las disposiciones contables con los lineamientos establecidos en la NIIF 9 Instrumentos Financieros, NIIF 13 Medición del Valor Razonable y la NIIF 15 Ingresos de Actividades Ordinarias Procedentes de Contratos con Clientes.</w:t>
            </w:r>
            <w:r>
              <w:t xml:space="preserve"> </w:t>
            </w:r>
            <w:r>
              <w:rPr>
                <w:bCs/>
              </w:rPr>
              <w:t>La presente resolución entra en vigencia a partir de la información correspondiente al mes de enero de 2027.</w:t>
            </w:r>
          </w:p>
          <w:p w14:paraId="40FE10EA" w14:textId="77777777" w:rsidR="008C20EB" w:rsidRDefault="008C20EB">
            <w:pPr>
              <w:pStyle w:val="TableParagraph"/>
              <w:rPr>
                <w:bCs/>
              </w:rPr>
            </w:pPr>
          </w:p>
          <w:p w14:paraId="40FE10EB" w14:textId="77777777" w:rsidR="008C20EB" w:rsidRDefault="008C20EB">
            <w:pPr>
              <w:pStyle w:val="TableParagraph"/>
              <w:rPr>
                <w:bCs/>
              </w:rPr>
            </w:pPr>
          </w:p>
          <w:p w14:paraId="40FE10EC" w14:textId="77777777" w:rsidR="008C20EB" w:rsidRDefault="008C20EB">
            <w:pPr>
              <w:pStyle w:val="TableParagraph"/>
              <w:rPr>
                <w:bCs/>
              </w:rPr>
            </w:pPr>
          </w:p>
          <w:p w14:paraId="40FE10ED" w14:textId="77777777" w:rsidR="008C20EB" w:rsidRDefault="008C20EB">
            <w:pPr>
              <w:pStyle w:val="TableParagraph"/>
              <w:rPr>
                <w:bCs/>
              </w:rPr>
            </w:pPr>
          </w:p>
          <w:p w14:paraId="40FE10EE" w14:textId="77777777" w:rsidR="008C20EB" w:rsidRDefault="008C20EB">
            <w:pPr>
              <w:pStyle w:val="TableParagraph"/>
              <w:rPr>
                <w:bCs/>
              </w:rPr>
            </w:pPr>
          </w:p>
          <w:p w14:paraId="40FE10EF" w14:textId="77777777" w:rsidR="008C20EB" w:rsidRDefault="008C20EB">
            <w:pPr>
              <w:pStyle w:val="TableParagraph"/>
              <w:rPr>
                <w:bCs/>
              </w:rPr>
            </w:pPr>
          </w:p>
          <w:p w14:paraId="40FE10F0" w14:textId="77777777" w:rsidR="008C20EB" w:rsidRDefault="008C20EB">
            <w:pPr>
              <w:pStyle w:val="TableParagraph"/>
              <w:rPr>
                <w:bCs/>
              </w:rPr>
            </w:pPr>
          </w:p>
          <w:p w14:paraId="40FE10F1" w14:textId="77777777" w:rsidR="008C20EB" w:rsidRDefault="008C20EB">
            <w:pPr>
              <w:pStyle w:val="TableParagraph"/>
              <w:rPr>
                <w:bCs/>
              </w:rPr>
            </w:pPr>
          </w:p>
          <w:p w14:paraId="40FE10F2" w14:textId="77777777" w:rsidR="008C20EB" w:rsidRDefault="008C20EB">
            <w:pPr>
              <w:pStyle w:val="TableParagraph"/>
              <w:rPr>
                <w:bCs/>
              </w:rPr>
            </w:pPr>
          </w:p>
          <w:p w14:paraId="40FE10F3" w14:textId="77777777" w:rsidR="008C20EB" w:rsidRDefault="008C20EB">
            <w:pPr>
              <w:pStyle w:val="TableParagraph"/>
              <w:rPr>
                <w:bCs/>
              </w:rPr>
            </w:pPr>
          </w:p>
          <w:p w14:paraId="40FE10F4" w14:textId="77777777" w:rsidR="008C20EB" w:rsidRDefault="008C20EB">
            <w:pPr>
              <w:pStyle w:val="TableParagraph"/>
              <w:rPr>
                <w:bCs/>
              </w:rPr>
            </w:pPr>
          </w:p>
          <w:p w14:paraId="40FE10F5" w14:textId="77777777" w:rsidR="008C20EB" w:rsidRDefault="008C20EB">
            <w:pPr>
              <w:pStyle w:val="TableParagraph"/>
              <w:rPr>
                <w:bCs/>
              </w:rPr>
            </w:pPr>
          </w:p>
          <w:p w14:paraId="40FE10F6" w14:textId="77777777" w:rsidR="008C20EB" w:rsidRDefault="008C20EB">
            <w:pPr>
              <w:pStyle w:val="TableParagraph"/>
              <w:rPr>
                <w:bCs/>
              </w:rPr>
            </w:pPr>
          </w:p>
          <w:p w14:paraId="40FE10F7" w14:textId="77777777" w:rsidR="008C20EB" w:rsidRDefault="008C20EB">
            <w:pPr>
              <w:pStyle w:val="TableParagraph"/>
              <w:rPr>
                <w:bCs/>
              </w:rPr>
            </w:pPr>
          </w:p>
          <w:p w14:paraId="40FE10F8" w14:textId="77777777" w:rsidR="008C20EB" w:rsidRDefault="008C20EB">
            <w:pPr>
              <w:pStyle w:val="TableParagraph"/>
              <w:rPr>
                <w:bCs/>
              </w:rPr>
            </w:pPr>
          </w:p>
          <w:p w14:paraId="40FE10F9" w14:textId="77777777" w:rsidR="008C20EB" w:rsidRDefault="008C20EB">
            <w:pPr>
              <w:pStyle w:val="TableParagraph"/>
              <w:rPr>
                <w:bCs/>
              </w:rPr>
            </w:pPr>
          </w:p>
          <w:p w14:paraId="40FE10FA" w14:textId="77777777" w:rsidR="008C20EB" w:rsidRDefault="008C20EB">
            <w:pPr>
              <w:pStyle w:val="TableParagraph"/>
              <w:rPr>
                <w:bCs/>
              </w:rPr>
            </w:pPr>
          </w:p>
          <w:p w14:paraId="40FE10FB" w14:textId="77777777" w:rsidR="008C20EB" w:rsidRDefault="008C20EB">
            <w:pPr>
              <w:pStyle w:val="TableParagraph"/>
              <w:rPr>
                <w:bCs/>
              </w:rPr>
            </w:pPr>
          </w:p>
          <w:p w14:paraId="40FE10FC" w14:textId="77777777" w:rsidR="008C20EB" w:rsidRDefault="008C20EB">
            <w:pPr>
              <w:pStyle w:val="TableParagraph"/>
              <w:rPr>
                <w:bCs/>
              </w:rPr>
            </w:pPr>
          </w:p>
          <w:p w14:paraId="40FE10FD" w14:textId="77777777" w:rsidR="008C20EB" w:rsidRDefault="008C20EB">
            <w:pPr>
              <w:pStyle w:val="TableParagraph"/>
              <w:rPr>
                <w:bCs/>
              </w:rPr>
            </w:pPr>
          </w:p>
          <w:p w14:paraId="40FE10FE" w14:textId="77777777" w:rsidR="008C20EB" w:rsidRDefault="008C20EB">
            <w:pPr>
              <w:pStyle w:val="TableParagraph"/>
              <w:rPr>
                <w:bCs/>
              </w:rPr>
            </w:pPr>
          </w:p>
          <w:p w14:paraId="40FE10FF" w14:textId="77777777" w:rsidR="008C20EB" w:rsidRDefault="008C20EB">
            <w:pPr>
              <w:pStyle w:val="TableParagraph"/>
              <w:rPr>
                <w:bCs/>
              </w:rPr>
            </w:pPr>
          </w:p>
          <w:p w14:paraId="40FE1100" w14:textId="77777777" w:rsidR="008C20EB" w:rsidRDefault="008C20EB">
            <w:pPr>
              <w:pStyle w:val="TableParagraph"/>
              <w:rPr>
                <w:bCs/>
              </w:rPr>
            </w:pPr>
          </w:p>
          <w:p w14:paraId="40FE1101" w14:textId="77777777" w:rsidR="008C20EB" w:rsidRDefault="008D25BE">
            <w:pPr>
              <w:pStyle w:val="TableParagraph"/>
              <w:rPr>
                <w:bCs/>
              </w:rPr>
            </w:pPr>
            <w:r>
              <w:rPr>
                <w:bCs/>
              </w:rPr>
              <w:t xml:space="preserve"> </w:t>
            </w:r>
          </w:p>
        </w:tc>
        <w:tc>
          <w:tcPr>
            <w:tcW w:w="8162" w:type="dxa"/>
            <w:tcBorders>
              <w:bottom w:val="single" w:sz="4" w:space="0" w:color="auto"/>
            </w:tcBorders>
            <w:vAlign w:val="bottom"/>
          </w:tcPr>
          <w:p w14:paraId="40FE1102" w14:textId="77777777" w:rsidR="008C20EB" w:rsidRDefault="008D25BE">
            <w:pPr>
              <w:pStyle w:val="TableParagraph"/>
              <w:shd w:val="clear" w:color="auto" w:fill="FFFFFF" w:themeFill="background1"/>
              <w:spacing w:line="234" w:lineRule="exact"/>
              <w:ind w:right="180"/>
              <w:jc w:val="both"/>
              <w:rPr>
                <w:bCs/>
              </w:rPr>
            </w:pPr>
            <w:r>
              <w:rPr>
                <w:bCs/>
              </w:rPr>
              <w:t>En el Capítulo I:</w:t>
            </w:r>
          </w:p>
          <w:p w14:paraId="40FE1103" w14:textId="77777777" w:rsidR="008C20EB" w:rsidRDefault="008D25BE">
            <w:pPr>
              <w:pStyle w:val="TableParagraph"/>
              <w:numPr>
                <w:ilvl w:val="0"/>
                <w:numId w:val="5"/>
              </w:numPr>
              <w:shd w:val="clear" w:color="auto" w:fill="FFFFFF" w:themeFill="background1"/>
              <w:spacing w:line="234" w:lineRule="exact"/>
              <w:ind w:right="180"/>
              <w:jc w:val="both"/>
              <w:rPr>
                <w:bCs/>
              </w:rPr>
            </w:pPr>
            <w:r>
              <w:rPr>
                <w:bCs/>
              </w:rPr>
              <w:t>Se sustituye las disposiciones del Capítulo I “Disposiciones Generales”.</w:t>
            </w:r>
          </w:p>
          <w:p w14:paraId="40FE1104" w14:textId="77777777" w:rsidR="008C20EB" w:rsidRDefault="008C20EB">
            <w:pPr>
              <w:pStyle w:val="TableParagraph"/>
              <w:shd w:val="clear" w:color="auto" w:fill="FFFFFF" w:themeFill="background1"/>
              <w:spacing w:line="234" w:lineRule="exact"/>
              <w:ind w:right="180"/>
              <w:jc w:val="both"/>
              <w:rPr>
                <w:bCs/>
              </w:rPr>
            </w:pPr>
          </w:p>
          <w:p w14:paraId="40FE1105" w14:textId="77777777" w:rsidR="008C20EB" w:rsidRDefault="008D25BE">
            <w:pPr>
              <w:pStyle w:val="TableParagraph"/>
              <w:shd w:val="clear" w:color="auto" w:fill="FFFFFF" w:themeFill="background1"/>
              <w:spacing w:line="234" w:lineRule="exact"/>
              <w:ind w:right="180"/>
              <w:jc w:val="both"/>
              <w:rPr>
                <w:bCs/>
              </w:rPr>
            </w:pPr>
            <w:r>
              <w:rPr>
                <w:bCs/>
              </w:rPr>
              <w:t>En el Capítulo II:</w:t>
            </w:r>
          </w:p>
          <w:p w14:paraId="40FE1106" w14:textId="77777777" w:rsidR="008C20EB" w:rsidRDefault="008D25BE">
            <w:pPr>
              <w:pStyle w:val="TableParagraph"/>
              <w:numPr>
                <w:ilvl w:val="0"/>
                <w:numId w:val="5"/>
              </w:numPr>
              <w:rPr>
                <w:bCs/>
              </w:rPr>
            </w:pPr>
            <w:r>
              <w:rPr>
                <w:bCs/>
              </w:rPr>
              <w:t>Se sustituye las disposiciones del Capítulo Il “Estados Financieros e Información Complementaria”</w:t>
            </w:r>
          </w:p>
          <w:p w14:paraId="40FE1107" w14:textId="77777777" w:rsidR="008C20EB" w:rsidRDefault="008C20EB">
            <w:pPr>
              <w:pStyle w:val="TableParagraph"/>
              <w:ind w:left="720"/>
              <w:rPr>
                <w:bCs/>
              </w:rPr>
            </w:pPr>
          </w:p>
          <w:p w14:paraId="40FE1108" w14:textId="77777777" w:rsidR="008C20EB" w:rsidRDefault="008D25BE">
            <w:pPr>
              <w:pStyle w:val="TableParagraph"/>
              <w:shd w:val="clear" w:color="auto" w:fill="FFFFFF" w:themeFill="background1"/>
              <w:spacing w:line="234" w:lineRule="exact"/>
              <w:ind w:right="180"/>
              <w:jc w:val="both"/>
              <w:rPr>
                <w:bCs/>
              </w:rPr>
            </w:pPr>
            <w:r>
              <w:rPr>
                <w:bCs/>
              </w:rPr>
              <w:t>En el Capítulo III y IV:</w:t>
            </w:r>
          </w:p>
          <w:p w14:paraId="40FE1109"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la clase 1 “Activo”, la clase 4 “Gastos”, la clase 5 “Ingresos” y la clase 7 “Contingentes”.</w:t>
            </w:r>
          </w:p>
          <w:p w14:paraId="40FE110A"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el rubro 11 “Disponible”, rubro 12 “Fondos interbancarios y operaciones de reporte”, rubro 13 “Inversiones”, rubro 15 “Cuentas por cobrar”, rubro 17 “Inversiones en subsidiarias , asociadas y participaciones en negocios conjuntos”, rubro 19 “Otros activos”, rubro 21 “Obligaciones con el público”, rubro 22 por “Fondos interbancarios y operaciones de reporte”, el rubro 25 “Cuentas por pagar”, rubro 27 “Provisiones”, rubro 28 “Valores, títulos y obligaciones en circulación”, rubro 29 “Otros pasivos</w:t>
            </w:r>
            <w:r>
              <w:rPr>
                <w:bCs/>
              </w:rPr>
              <w:t>”,</w:t>
            </w:r>
            <w:r>
              <w:t xml:space="preserve"> </w:t>
            </w:r>
            <w:r>
              <w:rPr>
                <w:bCs/>
              </w:rPr>
              <w:t>rubro 36 “Otro resultado integral”, rubro 38 “Resultados acumulados”, rubro 41 “Gastos financieros”, rubro 42 “Gastos por comisiones y servicios financieros diversos”, rubro 43 “Provisiones para desvalorización, provisiones para incobrabilidad y activos no corrientes mantenidos para la venta”, rubro 44 “Depreciación, amortización y deterioro”, rubro 46 “Otros gastos”, rubro 51 “Ingresos Financieros”, rubro 52 “Ingresos por comisiones y servicios financieros diversos”,</w:t>
            </w:r>
            <w:r>
              <w:t xml:space="preserve"> </w:t>
            </w:r>
            <w:r>
              <w:rPr>
                <w:bCs/>
              </w:rPr>
              <w:t xml:space="preserve">rubro 53 “Reversión de pérdidas por </w:t>
            </w:r>
            <w:r>
              <w:rPr>
                <w:bCs/>
              </w:rPr>
              <w:t>deterioro y recuperación de deterioro en inmuebles, mobiliario y equipo, e intangibles”, rubro 54 “Reversión de provisiones por deterioro de valor”, rubro 56 “Otros ingresos”,</w:t>
            </w:r>
            <w:r>
              <w:t xml:space="preserve"> </w:t>
            </w:r>
            <w:r>
              <w:rPr>
                <w:bCs/>
              </w:rPr>
              <w:t>rubro 71 “Contingentes deudoras”, rubro 72 “Contingentes acreedoras” y el rubro 84 “Cuentas de orden acreedoras”.</w:t>
            </w:r>
          </w:p>
          <w:p w14:paraId="40FE110B"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elimina el rubro 57 “Ventas”.</w:t>
            </w:r>
          </w:p>
          <w:p w14:paraId="40FE110C" w14:textId="77777777" w:rsidR="008C20EB" w:rsidRDefault="008C20EB">
            <w:pPr>
              <w:pStyle w:val="TableParagraph"/>
              <w:shd w:val="clear" w:color="auto" w:fill="FFFFFF" w:themeFill="background1"/>
              <w:spacing w:line="234" w:lineRule="exact"/>
              <w:ind w:left="720" w:right="180"/>
              <w:jc w:val="both"/>
              <w:rPr>
                <w:bCs/>
              </w:rPr>
            </w:pPr>
          </w:p>
          <w:p w14:paraId="40FE110D" w14:textId="77777777" w:rsidR="008C20EB" w:rsidRDefault="008D25BE">
            <w:pPr>
              <w:pStyle w:val="TableParagraph"/>
              <w:shd w:val="clear" w:color="auto" w:fill="FFFFFF" w:themeFill="background1"/>
              <w:spacing w:line="234" w:lineRule="exact"/>
              <w:ind w:right="180"/>
              <w:jc w:val="both"/>
              <w:rPr>
                <w:bCs/>
              </w:rPr>
            </w:pPr>
            <w:r>
              <w:rPr>
                <w:bCs/>
              </w:rPr>
              <w:t>En el Capítulo V:</w:t>
            </w:r>
          </w:p>
          <w:p w14:paraId="40FE110E"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el Catálogo de Cuentas del Anexo N° 6 “Reporte Crediticio de Deudores”.</w:t>
            </w:r>
          </w:p>
          <w:p w14:paraId="40FE110F"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sustituyen el Anexo N° 1 “Inversiones y Depósitos”, el Anexo N° 7-A “Medición del Riesgo de Tasa de Interés - Ganancias en Riesgo”,</w:t>
            </w:r>
            <w:r>
              <w:t xml:space="preserve"> el </w:t>
            </w:r>
            <w:r>
              <w:rPr>
                <w:bCs/>
              </w:rPr>
              <w:t>Anexo N° 7-B “Medición del Riesgo de Tasa de Interés - Valor Patrimonial en Riesgo”, el Anexo N° 8-A “Posiciones en instrumentos financieros derivados”, el Anexo N° 15-A “Reporte de Tesorería y Posición Diaria de Liquidez”,</w:t>
            </w:r>
            <w:r>
              <w:t xml:space="preserve"> </w:t>
            </w:r>
            <w:r>
              <w:rPr>
                <w:bCs/>
              </w:rPr>
              <w:t>el Anexo N°15-B “Ratio de Cobertura de Liquidez”,</w:t>
            </w:r>
            <w:r>
              <w:t xml:space="preserve"> </w:t>
            </w:r>
            <w:r>
              <w:rPr>
                <w:bCs/>
              </w:rPr>
              <w:t>el Anexo N° 15-C “Posición Mensual de Liquidez”,</w:t>
            </w:r>
            <w:r>
              <w:t xml:space="preserve"> l</w:t>
            </w:r>
            <w:r>
              <w:rPr>
                <w:bCs/>
              </w:rPr>
              <w:t>a sección A del Anexo N° 17-A” Control de Imposiciones Cubiertas por el Fondo de Seguro de Depósitos”, el Reporte N° 3 “Patrimonio Efectivo” y el Reporte N° 4-E “Información para calcu</w:t>
            </w:r>
            <w:r>
              <w:rPr>
                <w:bCs/>
              </w:rPr>
              <w:t>lar el indicador de riesgo por concentración de mercado”.</w:t>
            </w:r>
          </w:p>
          <w:p w14:paraId="40FE1110"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lastRenderedPageBreak/>
              <w:t>Se modifica el rubro Plazo en el Anexo N° 13 “Depósitos según escala de montos”.</w:t>
            </w:r>
          </w:p>
          <w:p w14:paraId="40FE1111" w14:textId="77777777" w:rsidR="008C20EB" w:rsidRDefault="008D25BE">
            <w:pPr>
              <w:pStyle w:val="TableParagraph"/>
              <w:numPr>
                <w:ilvl w:val="0"/>
                <w:numId w:val="6"/>
              </w:numPr>
              <w:shd w:val="clear" w:color="auto" w:fill="FFFFFF" w:themeFill="background1"/>
              <w:spacing w:line="234" w:lineRule="exact"/>
              <w:ind w:right="180"/>
              <w:jc w:val="both"/>
              <w:rPr>
                <w:bCs/>
              </w:rPr>
            </w:pPr>
            <w:r>
              <w:rPr>
                <w:bCs/>
              </w:rPr>
              <w:t>Se modifica las referencias del Reporte N° 6-E “Tasas de interés pasivas de operaciones diarias”, las Notas al Reporte 23 “Exposición al Riesgo País” y el Reporte N° 37 “Ratio de Apalancamiento”.</w:t>
            </w:r>
          </w:p>
          <w:p w14:paraId="40FE1112" w14:textId="77777777" w:rsidR="008C20EB" w:rsidRDefault="008C20EB">
            <w:pPr>
              <w:pStyle w:val="TableParagraph"/>
              <w:shd w:val="clear" w:color="auto" w:fill="FFFFFF" w:themeFill="background1"/>
              <w:spacing w:line="234" w:lineRule="exact"/>
              <w:ind w:right="180"/>
              <w:jc w:val="both"/>
              <w:rPr>
                <w:bCs/>
              </w:rPr>
            </w:pPr>
          </w:p>
        </w:tc>
      </w:tr>
      <w:tr w:rsidR="008C20EB" w14:paraId="40FE113F" w14:textId="77777777">
        <w:trPr>
          <w:trHeight w:val="253"/>
        </w:trPr>
        <w:tc>
          <w:tcPr>
            <w:tcW w:w="1574" w:type="dxa"/>
            <w:tcBorders>
              <w:bottom w:val="single" w:sz="4" w:space="0" w:color="auto"/>
            </w:tcBorders>
            <w:vAlign w:val="bottom"/>
          </w:tcPr>
          <w:p w14:paraId="40FE1114" w14:textId="77777777" w:rsidR="008C20EB" w:rsidRDefault="008D25BE">
            <w:pPr>
              <w:pStyle w:val="TableParagraph"/>
              <w:shd w:val="clear" w:color="auto" w:fill="FFFFFF" w:themeFill="background1"/>
              <w:spacing w:line="234" w:lineRule="exact"/>
              <w:rPr>
                <w:b/>
              </w:rPr>
            </w:pPr>
            <w:r>
              <w:rPr>
                <w:b/>
              </w:rPr>
              <w:lastRenderedPageBreak/>
              <w:t>Oficio Múltiple</w:t>
            </w:r>
          </w:p>
          <w:p w14:paraId="40FE1115" w14:textId="77777777" w:rsidR="008C20EB" w:rsidRDefault="008D25BE">
            <w:pPr>
              <w:pStyle w:val="TableParagraph"/>
              <w:shd w:val="clear" w:color="auto" w:fill="FFFFFF" w:themeFill="background1"/>
              <w:spacing w:line="234" w:lineRule="exact"/>
              <w:rPr>
                <w:b/>
              </w:rPr>
            </w:pPr>
            <w:r>
              <w:rPr>
                <w:b/>
              </w:rPr>
              <w:t>30277-2025</w:t>
            </w:r>
          </w:p>
          <w:p w14:paraId="40FE1116" w14:textId="77777777" w:rsidR="008C20EB" w:rsidRDefault="008C20EB">
            <w:pPr>
              <w:pStyle w:val="TableParagraph"/>
              <w:shd w:val="clear" w:color="auto" w:fill="FFFFFF" w:themeFill="background1"/>
              <w:spacing w:line="234" w:lineRule="exact"/>
              <w:rPr>
                <w:b/>
              </w:rPr>
            </w:pPr>
          </w:p>
          <w:p w14:paraId="40FE1117" w14:textId="77777777" w:rsidR="008C20EB" w:rsidRDefault="008C20EB">
            <w:pPr>
              <w:pStyle w:val="TableParagraph"/>
              <w:shd w:val="clear" w:color="auto" w:fill="FFFFFF" w:themeFill="background1"/>
              <w:spacing w:line="234" w:lineRule="exact"/>
              <w:rPr>
                <w:b/>
              </w:rPr>
            </w:pPr>
          </w:p>
          <w:p w14:paraId="40FE1118" w14:textId="77777777" w:rsidR="008C20EB" w:rsidRDefault="008C20EB">
            <w:pPr>
              <w:pStyle w:val="TableParagraph"/>
              <w:shd w:val="clear" w:color="auto" w:fill="FFFFFF" w:themeFill="background1"/>
              <w:spacing w:line="234" w:lineRule="exact"/>
              <w:rPr>
                <w:b/>
              </w:rPr>
            </w:pPr>
          </w:p>
          <w:p w14:paraId="40FE1119" w14:textId="77777777" w:rsidR="008C20EB" w:rsidRDefault="008C20EB">
            <w:pPr>
              <w:pStyle w:val="TableParagraph"/>
              <w:shd w:val="clear" w:color="auto" w:fill="FFFFFF" w:themeFill="background1"/>
              <w:spacing w:line="234" w:lineRule="exact"/>
              <w:rPr>
                <w:b/>
              </w:rPr>
            </w:pPr>
          </w:p>
          <w:p w14:paraId="40FE111A" w14:textId="77777777" w:rsidR="008C20EB" w:rsidRDefault="008C20EB">
            <w:pPr>
              <w:pStyle w:val="TableParagraph"/>
              <w:shd w:val="clear" w:color="auto" w:fill="FFFFFF" w:themeFill="background1"/>
              <w:spacing w:line="234" w:lineRule="exact"/>
              <w:rPr>
                <w:b/>
              </w:rPr>
            </w:pPr>
          </w:p>
          <w:p w14:paraId="40FE111B" w14:textId="77777777" w:rsidR="008C20EB" w:rsidRDefault="008C20EB">
            <w:pPr>
              <w:pStyle w:val="TableParagraph"/>
              <w:shd w:val="clear" w:color="auto" w:fill="FFFFFF" w:themeFill="background1"/>
              <w:spacing w:line="234" w:lineRule="exact"/>
              <w:rPr>
                <w:b/>
              </w:rPr>
            </w:pPr>
          </w:p>
          <w:p w14:paraId="40FE111C" w14:textId="77777777" w:rsidR="008C20EB" w:rsidRDefault="008C20EB">
            <w:pPr>
              <w:pStyle w:val="TableParagraph"/>
              <w:shd w:val="clear" w:color="auto" w:fill="FFFFFF" w:themeFill="background1"/>
              <w:spacing w:line="234" w:lineRule="exact"/>
              <w:rPr>
                <w:b/>
              </w:rPr>
            </w:pPr>
          </w:p>
          <w:p w14:paraId="40FE111D" w14:textId="77777777" w:rsidR="008C20EB" w:rsidRDefault="008C20EB">
            <w:pPr>
              <w:pStyle w:val="TableParagraph"/>
              <w:shd w:val="clear" w:color="auto" w:fill="FFFFFF" w:themeFill="background1"/>
              <w:spacing w:line="234" w:lineRule="exact"/>
              <w:rPr>
                <w:b/>
              </w:rPr>
            </w:pPr>
          </w:p>
          <w:p w14:paraId="40FE111E" w14:textId="77777777" w:rsidR="008C20EB" w:rsidRDefault="008C20EB">
            <w:pPr>
              <w:pStyle w:val="TableParagraph"/>
              <w:shd w:val="clear" w:color="auto" w:fill="FFFFFF" w:themeFill="background1"/>
              <w:spacing w:line="234" w:lineRule="exact"/>
              <w:rPr>
                <w:b/>
              </w:rPr>
            </w:pPr>
          </w:p>
          <w:p w14:paraId="40FE111F" w14:textId="77777777" w:rsidR="008C20EB" w:rsidRDefault="008C20EB">
            <w:pPr>
              <w:pStyle w:val="TableParagraph"/>
              <w:shd w:val="clear" w:color="auto" w:fill="FFFFFF" w:themeFill="background1"/>
              <w:spacing w:line="234" w:lineRule="exact"/>
              <w:rPr>
                <w:b/>
              </w:rPr>
            </w:pPr>
          </w:p>
          <w:p w14:paraId="40FE1120" w14:textId="77777777" w:rsidR="008C20EB" w:rsidRDefault="008C20EB">
            <w:pPr>
              <w:pStyle w:val="TableParagraph"/>
              <w:shd w:val="clear" w:color="auto" w:fill="FFFFFF" w:themeFill="background1"/>
              <w:spacing w:line="234" w:lineRule="exact"/>
              <w:rPr>
                <w:b/>
              </w:rPr>
            </w:pPr>
          </w:p>
        </w:tc>
        <w:tc>
          <w:tcPr>
            <w:tcW w:w="1560" w:type="dxa"/>
            <w:tcBorders>
              <w:bottom w:val="single" w:sz="4" w:space="0" w:color="auto"/>
            </w:tcBorders>
            <w:vAlign w:val="bottom"/>
          </w:tcPr>
          <w:p w14:paraId="40FE1121" w14:textId="77777777" w:rsidR="008C20EB" w:rsidRDefault="008D25BE">
            <w:pPr>
              <w:pStyle w:val="TableParagraph"/>
              <w:shd w:val="clear" w:color="auto" w:fill="FFFFFF" w:themeFill="background1"/>
              <w:spacing w:line="234" w:lineRule="exact"/>
              <w:rPr>
                <w:b/>
              </w:rPr>
            </w:pPr>
            <w:r>
              <w:rPr>
                <w:b/>
              </w:rPr>
              <w:t>Pr. 10.06.2025</w:t>
            </w:r>
          </w:p>
          <w:p w14:paraId="40FE1122" w14:textId="77777777" w:rsidR="008C20EB" w:rsidRDefault="008C20EB">
            <w:pPr>
              <w:pStyle w:val="TableParagraph"/>
              <w:shd w:val="clear" w:color="auto" w:fill="FFFFFF" w:themeFill="background1"/>
              <w:spacing w:line="234" w:lineRule="exact"/>
              <w:rPr>
                <w:b/>
              </w:rPr>
            </w:pPr>
          </w:p>
          <w:p w14:paraId="40FE1123" w14:textId="77777777" w:rsidR="008C20EB" w:rsidRDefault="008C20EB">
            <w:pPr>
              <w:pStyle w:val="TableParagraph"/>
              <w:shd w:val="clear" w:color="auto" w:fill="FFFFFF" w:themeFill="background1"/>
              <w:spacing w:line="234" w:lineRule="exact"/>
              <w:rPr>
                <w:b/>
              </w:rPr>
            </w:pPr>
          </w:p>
          <w:p w14:paraId="40FE1124" w14:textId="77777777" w:rsidR="008C20EB" w:rsidRDefault="008C20EB">
            <w:pPr>
              <w:pStyle w:val="TableParagraph"/>
              <w:shd w:val="clear" w:color="auto" w:fill="FFFFFF" w:themeFill="background1"/>
              <w:spacing w:line="234" w:lineRule="exact"/>
              <w:rPr>
                <w:b/>
              </w:rPr>
            </w:pPr>
          </w:p>
          <w:p w14:paraId="40FE1125" w14:textId="77777777" w:rsidR="008C20EB" w:rsidRDefault="008C20EB">
            <w:pPr>
              <w:pStyle w:val="TableParagraph"/>
              <w:shd w:val="clear" w:color="auto" w:fill="FFFFFF" w:themeFill="background1"/>
              <w:spacing w:line="234" w:lineRule="exact"/>
              <w:rPr>
                <w:b/>
              </w:rPr>
            </w:pPr>
          </w:p>
          <w:p w14:paraId="40FE1126" w14:textId="77777777" w:rsidR="008C20EB" w:rsidRDefault="008C20EB">
            <w:pPr>
              <w:pStyle w:val="TableParagraph"/>
              <w:shd w:val="clear" w:color="auto" w:fill="FFFFFF" w:themeFill="background1"/>
              <w:spacing w:line="234" w:lineRule="exact"/>
              <w:rPr>
                <w:b/>
              </w:rPr>
            </w:pPr>
          </w:p>
          <w:p w14:paraId="40FE1127" w14:textId="77777777" w:rsidR="008C20EB" w:rsidRDefault="008C20EB">
            <w:pPr>
              <w:pStyle w:val="TableParagraph"/>
              <w:shd w:val="clear" w:color="auto" w:fill="FFFFFF" w:themeFill="background1"/>
              <w:spacing w:line="234" w:lineRule="exact"/>
              <w:rPr>
                <w:b/>
              </w:rPr>
            </w:pPr>
          </w:p>
          <w:p w14:paraId="40FE1128" w14:textId="77777777" w:rsidR="008C20EB" w:rsidRDefault="008C20EB">
            <w:pPr>
              <w:pStyle w:val="TableParagraph"/>
              <w:shd w:val="clear" w:color="auto" w:fill="FFFFFF" w:themeFill="background1"/>
              <w:spacing w:line="234" w:lineRule="exact"/>
              <w:rPr>
                <w:b/>
              </w:rPr>
            </w:pPr>
          </w:p>
          <w:p w14:paraId="40FE1129" w14:textId="77777777" w:rsidR="008C20EB" w:rsidRDefault="008C20EB">
            <w:pPr>
              <w:pStyle w:val="TableParagraph"/>
              <w:shd w:val="clear" w:color="auto" w:fill="FFFFFF" w:themeFill="background1"/>
              <w:spacing w:line="234" w:lineRule="exact"/>
              <w:rPr>
                <w:b/>
              </w:rPr>
            </w:pPr>
          </w:p>
          <w:p w14:paraId="40FE112A" w14:textId="77777777" w:rsidR="008C20EB" w:rsidRDefault="008C20EB">
            <w:pPr>
              <w:pStyle w:val="TableParagraph"/>
              <w:shd w:val="clear" w:color="auto" w:fill="FFFFFF" w:themeFill="background1"/>
              <w:spacing w:line="234" w:lineRule="exact"/>
              <w:rPr>
                <w:b/>
              </w:rPr>
            </w:pPr>
          </w:p>
          <w:p w14:paraId="40FE112B" w14:textId="77777777" w:rsidR="008C20EB" w:rsidRDefault="008C20EB">
            <w:pPr>
              <w:pStyle w:val="TableParagraph"/>
              <w:shd w:val="clear" w:color="auto" w:fill="FFFFFF" w:themeFill="background1"/>
              <w:spacing w:line="234" w:lineRule="exact"/>
              <w:rPr>
                <w:b/>
              </w:rPr>
            </w:pPr>
          </w:p>
          <w:p w14:paraId="40FE112C" w14:textId="77777777" w:rsidR="008C20EB" w:rsidRDefault="008C20EB">
            <w:pPr>
              <w:pStyle w:val="TableParagraph"/>
              <w:shd w:val="clear" w:color="auto" w:fill="FFFFFF" w:themeFill="background1"/>
              <w:spacing w:line="234" w:lineRule="exact"/>
              <w:rPr>
                <w:b/>
              </w:rPr>
            </w:pPr>
          </w:p>
          <w:p w14:paraId="40FE112D" w14:textId="77777777" w:rsidR="008C20EB" w:rsidRDefault="008C20EB">
            <w:pPr>
              <w:pStyle w:val="TableParagraph"/>
              <w:shd w:val="clear" w:color="auto" w:fill="FFFFFF" w:themeFill="background1"/>
              <w:spacing w:line="234" w:lineRule="exact"/>
              <w:rPr>
                <w:b/>
              </w:rPr>
            </w:pPr>
          </w:p>
        </w:tc>
        <w:tc>
          <w:tcPr>
            <w:tcW w:w="3935" w:type="dxa"/>
            <w:tcBorders>
              <w:bottom w:val="single" w:sz="4" w:space="0" w:color="auto"/>
            </w:tcBorders>
            <w:vAlign w:val="bottom"/>
          </w:tcPr>
          <w:p w14:paraId="40FE112E" w14:textId="77777777" w:rsidR="008C20EB" w:rsidRDefault="008D25BE">
            <w:pPr>
              <w:pStyle w:val="TableParagraph"/>
              <w:rPr>
                <w:b/>
                <w:bCs/>
              </w:rPr>
            </w:pPr>
            <w:r>
              <w:rPr>
                <w:bCs/>
              </w:rPr>
              <w:t>Se modifica el Capítulo I “Disposiciones Generales” del Manual de Contabilidad para las Empresas del Sistema Financiero. Dicha disposición es vigente a partir de la información     correspondiente de junio 2025</w:t>
            </w:r>
            <w:r>
              <w:rPr>
                <w:b/>
                <w:bCs/>
              </w:rPr>
              <w:t>.</w:t>
            </w:r>
          </w:p>
          <w:p w14:paraId="40FE112F" w14:textId="77777777" w:rsidR="008C20EB" w:rsidRDefault="008C20EB">
            <w:pPr>
              <w:pStyle w:val="TableParagraph"/>
              <w:rPr>
                <w:b/>
                <w:bCs/>
              </w:rPr>
            </w:pPr>
          </w:p>
          <w:p w14:paraId="40FE1130" w14:textId="77777777" w:rsidR="008C20EB" w:rsidRDefault="008C20EB">
            <w:pPr>
              <w:pStyle w:val="TableParagraph"/>
              <w:rPr>
                <w:b/>
                <w:bCs/>
              </w:rPr>
            </w:pPr>
          </w:p>
          <w:p w14:paraId="40FE1131" w14:textId="77777777" w:rsidR="008C20EB" w:rsidRDefault="008C20EB">
            <w:pPr>
              <w:pStyle w:val="TableParagraph"/>
              <w:rPr>
                <w:b/>
                <w:bCs/>
              </w:rPr>
            </w:pPr>
          </w:p>
          <w:p w14:paraId="40FE1132" w14:textId="77777777" w:rsidR="008C20EB" w:rsidRDefault="008C20EB">
            <w:pPr>
              <w:pStyle w:val="TableParagraph"/>
              <w:rPr>
                <w:b/>
                <w:bCs/>
              </w:rPr>
            </w:pPr>
          </w:p>
          <w:p w14:paraId="40FE1133" w14:textId="77777777" w:rsidR="008C20EB" w:rsidRDefault="008C20EB">
            <w:pPr>
              <w:pStyle w:val="TableParagraph"/>
              <w:rPr>
                <w:b/>
                <w:bCs/>
              </w:rPr>
            </w:pPr>
          </w:p>
          <w:p w14:paraId="40FE1134" w14:textId="77777777" w:rsidR="008C20EB" w:rsidRDefault="008C20EB">
            <w:pPr>
              <w:pStyle w:val="TableParagraph"/>
              <w:rPr>
                <w:b/>
                <w:bCs/>
              </w:rPr>
            </w:pPr>
          </w:p>
          <w:p w14:paraId="40FE1135" w14:textId="77777777" w:rsidR="008C20EB" w:rsidRDefault="008C20EB">
            <w:pPr>
              <w:pStyle w:val="TableParagraph"/>
              <w:shd w:val="clear" w:color="auto" w:fill="FFFFFF" w:themeFill="background1"/>
              <w:spacing w:line="234" w:lineRule="exact"/>
              <w:rPr>
                <w:b/>
              </w:rPr>
            </w:pPr>
          </w:p>
        </w:tc>
        <w:tc>
          <w:tcPr>
            <w:tcW w:w="8162" w:type="dxa"/>
            <w:tcBorders>
              <w:bottom w:val="single" w:sz="4" w:space="0" w:color="auto"/>
            </w:tcBorders>
            <w:vAlign w:val="bottom"/>
          </w:tcPr>
          <w:p w14:paraId="40FE1136" w14:textId="77777777" w:rsidR="008C20EB" w:rsidRDefault="008D25BE">
            <w:pPr>
              <w:pStyle w:val="TableParagraph"/>
              <w:shd w:val="clear" w:color="auto" w:fill="FFFFFF" w:themeFill="background1"/>
              <w:spacing w:line="234" w:lineRule="exact"/>
              <w:ind w:right="180"/>
              <w:jc w:val="both"/>
              <w:rPr>
                <w:bCs/>
              </w:rPr>
            </w:pPr>
            <w:r>
              <w:rPr>
                <w:bCs/>
              </w:rPr>
              <w:t>Se elimina e incorpora el código y denominación de la Tabla de Empresas, señalada en el acápite J del Capítulo I “Disposiciones Generales” del Manual de Contabilidad para las Empresas del Sistema Financiero, conforme a lo siguiente:</w:t>
            </w:r>
          </w:p>
          <w:p w14:paraId="40FE1137" w14:textId="77777777" w:rsidR="008C20EB" w:rsidRDefault="008C20EB">
            <w:pPr>
              <w:pStyle w:val="TableParagraph"/>
              <w:shd w:val="clear" w:color="auto" w:fill="FFFFFF" w:themeFill="background1"/>
              <w:spacing w:line="234" w:lineRule="exact"/>
              <w:ind w:right="180"/>
              <w:jc w:val="both"/>
              <w:rPr>
                <w:bCs/>
              </w:rPr>
            </w:pPr>
          </w:p>
          <w:p w14:paraId="40FE1138"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Se elimina en la Tabla de Financieras, el código y denominación que se indican a continuación:</w:t>
            </w:r>
          </w:p>
          <w:p w14:paraId="40FE1139" w14:textId="77777777" w:rsidR="008C20EB" w:rsidRDefault="008D25BE">
            <w:pPr>
              <w:pStyle w:val="TableParagraph"/>
              <w:shd w:val="clear" w:color="auto" w:fill="FFFFFF" w:themeFill="background1"/>
              <w:spacing w:line="234" w:lineRule="exact"/>
              <w:ind w:left="738" w:right="180"/>
              <w:jc w:val="both"/>
              <w:rPr>
                <w:bCs/>
              </w:rPr>
            </w:pPr>
            <w:r>
              <w:rPr>
                <w:bCs/>
              </w:rPr>
              <w:t>Código: 10 Financiera Santander Consumer S.A.</w:t>
            </w:r>
          </w:p>
          <w:p w14:paraId="40FE113A"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Incorporar en la Tabla de Bancos, el código y denominación que se indica a continuación:</w:t>
            </w:r>
          </w:p>
          <w:p w14:paraId="40FE113B" w14:textId="77777777" w:rsidR="008C20EB" w:rsidRDefault="008D25BE">
            <w:pPr>
              <w:pStyle w:val="TableParagraph"/>
              <w:shd w:val="clear" w:color="auto" w:fill="FFFFFF" w:themeFill="background1"/>
              <w:spacing w:line="234" w:lineRule="exact"/>
              <w:ind w:left="360" w:right="180" w:firstLine="378"/>
              <w:jc w:val="both"/>
              <w:rPr>
                <w:bCs/>
              </w:rPr>
            </w:pPr>
            <w:r>
              <w:rPr>
                <w:bCs/>
              </w:rPr>
              <w:t>Código: 43 Santander Consumer Bank S.A.</w:t>
            </w:r>
          </w:p>
          <w:p w14:paraId="40FE113C" w14:textId="77777777" w:rsidR="008C20EB" w:rsidRDefault="008D25BE">
            <w:pPr>
              <w:pStyle w:val="TableParagraph"/>
              <w:numPr>
                <w:ilvl w:val="0"/>
                <w:numId w:val="1"/>
              </w:numPr>
              <w:shd w:val="clear" w:color="auto" w:fill="FFFFFF" w:themeFill="background1"/>
              <w:spacing w:line="234" w:lineRule="exact"/>
              <w:ind w:right="180"/>
              <w:jc w:val="both"/>
              <w:rPr>
                <w:bCs/>
              </w:rPr>
            </w:pPr>
            <w:r>
              <w:rPr>
                <w:bCs/>
              </w:rPr>
              <w:t>Se sustituye la denominación en la tabla de Cajas rurales de ahorro y crédito, que se indica a continuación:</w:t>
            </w:r>
          </w:p>
          <w:p w14:paraId="40FE113D" w14:textId="77777777" w:rsidR="008C20EB" w:rsidRDefault="008D25BE">
            <w:pPr>
              <w:pStyle w:val="TableParagraph"/>
              <w:shd w:val="clear" w:color="auto" w:fill="FFFFFF" w:themeFill="background1"/>
              <w:spacing w:line="234" w:lineRule="exact"/>
              <w:ind w:left="720" w:right="180"/>
              <w:jc w:val="both"/>
              <w:rPr>
                <w:bCs/>
              </w:rPr>
            </w:pPr>
            <w:r>
              <w:rPr>
                <w:bCs/>
              </w:rPr>
              <w:t>Código: 18 Caja</w:t>
            </w:r>
            <w:r>
              <w:rPr>
                <w:bCs/>
                <w:lang w:val="es-PE"/>
              </w:rPr>
              <w:t xml:space="preserve"> Rural de Ahorro y Crédito Cencosud Scotia Perú S.A.</w:t>
            </w:r>
          </w:p>
          <w:p w14:paraId="40FE113E" w14:textId="77777777" w:rsidR="008C20EB" w:rsidRDefault="008C20EB">
            <w:pPr>
              <w:pStyle w:val="TableParagraph"/>
              <w:shd w:val="clear" w:color="auto" w:fill="FFFFFF" w:themeFill="background1"/>
              <w:spacing w:line="234" w:lineRule="exact"/>
              <w:ind w:right="3265"/>
              <w:rPr>
                <w:b/>
              </w:rPr>
            </w:pPr>
          </w:p>
        </w:tc>
      </w:tr>
      <w:tr w:rsidR="008C20EB" w14:paraId="40FE1197" w14:textId="77777777">
        <w:trPr>
          <w:trHeight w:val="253"/>
        </w:trPr>
        <w:tc>
          <w:tcPr>
            <w:tcW w:w="1574" w:type="dxa"/>
            <w:tcBorders>
              <w:bottom w:val="single" w:sz="4" w:space="0" w:color="auto"/>
            </w:tcBorders>
            <w:vAlign w:val="bottom"/>
          </w:tcPr>
          <w:p w14:paraId="40FE1140" w14:textId="77777777" w:rsidR="008C20EB" w:rsidRDefault="008D25BE">
            <w:pPr>
              <w:pStyle w:val="TableParagraph"/>
              <w:shd w:val="clear" w:color="auto" w:fill="FFFFFF" w:themeFill="background1"/>
              <w:spacing w:line="234" w:lineRule="exact"/>
              <w:jc w:val="both"/>
              <w:rPr>
                <w:b/>
              </w:rPr>
            </w:pPr>
            <w:r>
              <w:rPr>
                <w:b/>
              </w:rPr>
              <w:t>Resolución SBS N° 1758-2025</w:t>
            </w:r>
          </w:p>
          <w:p w14:paraId="40FE1141" w14:textId="77777777" w:rsidR="008C20EB" w:rsidRDefault="008C20EB">
            <w:pPr>
              <w:pStyle w:val="TableParagraph"/>
              <w:shd w:val="clear" w:color="auto" w:fill="FFFFFF" w:themeFill="background1"/>
              <w:spacing w:line="234" w:lineRule="exact"/>
              <w:jc w:val="both"/>
              <w:rPr>
                <w:b/>
              </w:rPr>
            </w:pPr>
          </w:p>
          <w:p w14:paraId="40FE1142" w14:textId="77777777" w:rsidR="008C20EB" w:rsidRDefault="008C20EB">
            <w:pPr>
              <w:pStyle w:val="TableParagraph"/>
              <w:shd w:val="clear" w:color="auto" w:fill="FFFFFF" w:themeFill="background1"/>
              <w:spacing w:line="234" w:lineRule="exact"/>
              <w:jc w:val="both"/>
              <w:rPr>
                <w:b/>
              </w:rPr>
            </w:pPr>
          </w:p>
          <w:p w14:paraId="40FE1143" w14:textId="77777777" w:rsidR="008C20EB" w:rsidRDefault="008C20EB">
            <w:pPr>
              <w:pStyle w:val="TableParagraph"/>
              <w:shd w:val="clear" w:color="auto" w:fill="FFFFFF" w:themeFill="background1"/>
              <w:spacing w:line="234" w:lineRule="exact"/>
              <w:jc w:val="both"/>
              <w:rPr>
                <w:b/>
              </w:rPr>
            </w:pPr>
          </w:p>
          <w:p w14:paraId="40FE1144" w14:textId="77777777" w:rsidR="008C20EB" w:rsidRDefault="008C20EB">
            <w:pPr>
              <w:pStyle w:val="TableParagraph"/>
              <w:shd w:val="clear" w:color="auto" w:fill="FFFFFF" w:themeFill="background1"/>
              <w:spacing w:line="234" w:lineRule="exact"/>
              <w:jc w:val="both"/>
              <w:rPr>
                <w:b/>
              </w:rPr>
            </w:pPr>
          </w:p>
          <w:p w14:paraId="40FE1145" w14:textId="77777777" w:rsidR="008C20EB" w:rsidRDefault="008C20EB">
            <w:pPr>
              <w:pStyle w:val="TableParagraph"/>
              <w:shd w:val="clear" w:color="auto" w:fill="FFFFFF" w:themeFill="background1"/>
              <w:spacing w:line="234" w:lineRule="exact"/>
              <w:jc w:val="both"/>
              <w:rPr>
                <w:b/>
              </w:rPr>
            </w:pPr>
          </w:p>
          <w:p w14:paraId="40FE1146" w14:textId="77777777" w:rsidR="008C20EB" w:rsidRDefault="008C20EB">
            <w:pPr>
              <w:pStyle w:val="TableParagraph"/>
              <w:shd w:val="clear" w:color="auto" w:fill="FFFFFF" w:themeFill="background1"/>
              <w:spacing w:line="234" w:lineRule="exact"/>
              <w:jc w:val="both"/>
              <w:rPr>
                <w:b/>
              </w:rPr>
            </w:pPr>
          </w:p>
          <w:p w14:paraId="40FE1147" w14:textId="77777777" w:rsidR="008C20EB" w:rsidRDefault="008C20EB">
            <w:pPr>
              <w:pStyle w:val="TableParagraph"/>
              <w:shd w:val="clear" w:color="auto" w:fill="FFFFFF" w:themeFill="background1"/>
              <w:spacing w:line="234" w:lineRule="exact"/>
              <w:jc w:val="both"/>
              <w:rPr>
                <w:b/>
              </w:rPr>
            </w:pPr>
          </w:p>
          <w:p w14:paraId="40FE1148" w14:textId="77777777" w:rsidR="008C20EB" w:rsidRDefault="008C20EB">
            <w:pPr>
              <w:pStyle w:val="TableParagraph"/>
              <w:shd w:val="clear" w:color="auto" w:fill="FFFFFF" w:themeFill="background1"/>
              <w:spacing w:line="234" w:lineRule="exact"/>
              <w:jc w:val="both"/>
              <w:rPr>
                <w:b/>
              </w:rPr>
            </w:pPr>
          </w:p>
          <w:p w14:paraId="40FE1149" w14:textId="77777777" w:rsidR="008C20EB" w:rsidRDefault="008C20EB">
            <w:pPr>
              <w:pStyle w:val="TableParagraph"/>
              <w:shd w:val="clear" w:color="auto" w:fill="FFFFFF" w:themeFill="background1"/>
              <w:spacing w:line="234" w:lineRule="exact"/>
              <w:jc w:val="both"/>
              <w:rPr>
                <w:b/>
              </w:rPr>
            </w:pPr>
          </w:p>
          <w:p w14:paraId="40FE114A" w14:textId="77777777" w:rsidR="008C20EB" w:rsidRDefault="008C20EB">
            <w:pPr>
              <w:pStyle w:val="TableParagraph"/>
              <w:shd w:val="clear" w:color="auto" w:fill="FFFFFF" w:themeFill="background1"/>
              <w:spacing w:line="234" w:lineRule="exact"/>
              <w:jc w:val="both"/>
              <w:rPr>
                <w:b/>
              </w:rPr>
            </w:pPr>
          </w:p>
          <w:p w14:paraId="40FE114B" w14:textId="77777777" w:rsidR="008C20EB" w:rsidRDefault="008C20EB">
            <w:pPr>
              <w:pStyle w:val="TableParagraph"/>
              <w:shd w:val="clear" w:color="auto" w:fill="FFFFFF" w:themeFill="background1"/>
              <w:spacing w:line="234" w:lineRule="exact"/>
              <w:jc w:val="both"/>
              <w:rPr>
                <w:b/>
              </w:rPr>
            </w:pPr>
          </w:p>
          <w:p w14:paraId="40FE114C" w14:textId="77777777" w:rsidR="008C20EB" w:rsidRDefault="008C20EB">
            <w:pPr>
              <w:pStyle w:val="TableParagraph"/>
              <w:shd w:val="clear" w:color="auto" w:fill="FFFFFF" w:themeFill="background1"/>
              <w:spacing w:line="234" w:lineRule="exact"/>
              <w:jc w:val="both"/>
              <w:rPr>
                <w:b/>
              </w:rPr>
            </w:pPr>
          </w:p>
          <w:p w14:paraId="40FE114D" w14:textId="77777777" w:rsidR="008C20EB" w:rsidRDefault="008C20EB">
            <w:pPr>
              <w:pStyle w:val="TableParagraph"/>
              <w:shd w:val="clear" w:color="auto" w:fill="FFFFFF" w:themeFill="background1"/>
              <w:spacing w:line="234" w:lineRule="exact"/>
              <w:jc w:val="both"/>
              <w:rPr>
                <w:b/>
              </w:rPr>
            </w:pPr>
          </w:p>
          <w:p w14:paraId="40FE114E" w14:textId="77777777" w:rsidR="008C20EB" w:rsidRDefault="008C20EB">
            <w:pPr>
              <w:pStyle w:val="TableParagraph"/>
              <w:shd w:val="clear" w:color="auto" w:fill="FFFFFF" w:themeFill="background1"/>
              <w:spacing w:line="234" w:lineRule="exact"/>
              <w:jc w:val="both"/>
              <w:rPr>
                <w:b/>
              </w:rPr>
            </w:pPr>
          </w:p>
          <w:p w14:paraId="40FE114F" w14:textId="77777777" w:rsidR="008C20EB" w:rsidRDefault="008C20EB">
            <w:pPr>
              <w:pStyle w:val="TableParagraph"/>
              <w:shd w:val="clear" w:color="auto" w:fill="FFFFFF" w:themeFill="background1"/>
              <w:spacing w:line="234" w:lineRule="exact"/>
              <w:jc w:val="both"/>
              <w:rPr>
                <w:b/>
              </w:rPr>
            </w:pPr>
          </w:p>
          <w:p w14:paraId="40FE1150" w14:textId="77777777" w:rsidR="008C20EB" w:rsidRDefault="008C20EB">
            <w:pPr>
              <w:pStyle w:val="TableParagraph"/>
              <w:shd w:val="clear" w:color="auto" w:fill="FFFFFF" w:themeFill="background1"/>
              <w:spacing w:line="234" w:lineRule="exact"/>
              <w:jc w:val="both"/>
              <w:rPr>
                <w:b/>
              </w:rPr>
            </w:pPr>
          </w:p>
          <w:p w14:paraId="40FE1151" w14:textId="77777777" w:rsidR="008C20EB" w:rsidRDefault="008C20EB">
            <w:pPr>
              <w:pStyle w:val="TableParagraph"/>
              <w:shd w:val="clear" w:color="auto" w:fill="FFFFFF" w:themeFill="background1"/>
              <w:spacing w:line="234" w:lineRule="exact"/>
              <w:jc w:val="both"/>
              <w:rPr>
                <w:b/>
              </w:rPr>
            </w:pPr>
          </w:p>
          <w:p w14:paraId="40FE1152" w14:textId="77777777" w:rsidR="008C20EB" w:rsidRDefault="008C20EB">
            <w:pPr>
              <w:pStyle w:val="TableParagraph"/>
              <w:shd w:val="clear" w:color="auto" w:fill="FFFFFF" w:themeFill="background1"/>
              <w:spacing w:line="234" w:lineRule="exact"/>
              <w:jc w:val="both"/>
              <w:rPr>
                <w:b/>
              </w:rPr>
            </w:pPr>
          </w:p>
          <w:p w14:paraId="40FE1153" w14:textId="77777777" w:rsidR="008C20EB" w:rsidRDefault="008C20EB">
            <w:pPr>
              <w:pStyle w:val="TableParagraph"/>
              <w:shd w:val="clear" w:color="auto" w:fill="FFFFFF" w:themeFill="background1"/>
              <w:spacing w:line="234" w:lineRule="exact"/>
              <w:jc w:val="both"/>
              <w:rPr>
                <w:b/>
              </w:rPr>
            </w:pPr>
          </w:p>
          <w:p w14:paraId="40FE1154" w14:textId="77777777" w:rsidR="008C20EB" w:rsidRDefault="008C20EB">
            <w:pPr>
              <w:pStyle w:val="TableParagraph"/>
              <w:shd w:val="clear" w:color="auto" w:fill="FFFFFF" w:themeFill="background1"/>
              <w:spacing w:line="234" w:lineRule="exact"/>
              <w:jc w:val="both"/>
              <w:rPr>
                <w:b/>
              </w:rPr>
            </w:pPr>
          </w:p>
          <w:p w14:paraId="40FE1155" w14:textId="77777777" w:rsidR="008C20EB" w:rsidRDefault="008C20EB">
            <w:pPr>
              <w:pStyle w:val="TableParagraph"/>
              <w:shd w:val="clear" w:color="auto" w:fill="FFFFFF" w:themeFill="background1"/>
              <w:spacing w:line="234" w:lineRule="exact"/>
              <w:jc w:val="both"/>
              <w:rPr>
                <w:b/>
              </w:rPr>
            </w:pPr>
          </w:p>
          <w:p w14:paraId="40FE1156" w14:textId="77777777" w:rsidR="008C20EB" w:rsidRDefault="008C20EB">
            <w:pPr>
              <w:pStyle w:val="TableParagraph"/>
              <w:shd w:val="clear" w:color="auto" w:fill="FFFFFF" w:themeFill="background1"/>
              <w:spacing w:line="234" w:lineRule="exact"/>
              <w:jc w:val="both"/>
              <w:rPr>
                <w:b/>
              </w:rPr>
            </w:pPr>
          </w:p>
          <w:p w14:paraId="40FE1157" w14:textId="77777777" w:rsidR="008C20EB" w:rsidRDefault="008C20EB">
            <w:pPr>
              <w:pStyle w:val="TableParagraph"/>
              <w:shd w:val="clear" w:color="auto" w:fill="FFFFFF" w:themeFill="background1"/>
              <w:spacing w:line="234" w:lineRule="exact"/>
              <w:jc w:val="both"/>
              <w:rPr>
                <w:b/>
              </w:rPr>
            </w:pPr>
          </w:p>
          <w:p w14:paraId="40FE1158" w14:textId="77777777" w:rsidR="008C20EB" w:rsidRDefault="008C20EB">
            <w:pPr>
              <w:pStyle w:val="TableParagraph"/>
              <w:shd w:val="clear" w:color="auto" w:fill="FFFFFF" w:themeFill="background1"/>
              <w:spacing w:line="234" w:lineRule="exact"/>
              <w:jc w:val="both"/>
              <w:rPr>
                <w:b/>
              </w:rPr>
            </w:pPr>
          </w:p>
          <w:p w14:paraId="40FE1159" w14:textId="77777777" w:rsidR="008C20EB" w:rsidRDefault="008C20EB">
            <w:pPr>
              <w:pStyle w:val="TableParagraph"/>
              <w:shd w:val="clear" w:color="auto" w:fill="FFFFFF" w:themeFill="background1"/>
              <w:spacing w:line="234" w:lineRule="exact"/>
              <w:jc w:val="both"/>
              <w:rPr>
                <w:b/>
              </w:rPr>
            </w:pPr>
          </w:p>
          <w:p w14:paraId="40FE115A" w14:textId="77777777" w:rsidR="008C20EB" w:rsidRDefault="008C20EB">
            <w:pPr>
              <w:pStyle w:val="TableParagraph"/>
              <w:shd w:val="clear" w:color="auto" w:fill="FFFFFF" w:themeFill="background1"/>
              <w:spacing w:line="234" w:lineRule="exact"/>
              <w:jc w:val="both"/>
              <w:rPr>
                <w:b/>
              </w:rPr>
            </w:pPr>
          </w:p>
          <w:p w14:paraId="40FE115B"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15C" w14:textId="77777777" w:rsidR="008C20EB" w:rsidRDefault="008D25BE">
            <w:pPr>
              <w:pStyle w:val="TableParagraph"/>
              <w:shd w:val="clear" w:color="auto" w:fill="FFFFFF" w:themeFill="background1"/>
              <w:spacing w:line="234" w:lineRule="exact"/>
              <w:jc w:val="both"/>
              <w:rPr>
                <w:b/>
              </w:rPr>
            </w:pPr>
            <w:r>
              <w:rPr>
                <w:b/>
              </w:rPr>
              <w:lastRenderedPageBreak/>
              <w:t>Pr.  13.05.2025      /Pub. 15.05.2025</w:t>
            </w:r>
          </w:p>
          <w:p w14:paraId="40FE115D" w14:textId="77777777" w:rsidR="008C20EB" w:rsidRDefault="008C20EB">
            <w:pPr>
              <w:pStyle w:val="TableParagraph"/>
              <w:shd w:val="clear" w:color="auto" w:fill="FFFFFF" w:themeFill="background1"/>
              <w:spacing w:line="234" w:lineRule="exact"/>
              <w:jc w:val="both"/>
              <w:rPr>
                <w:b/>
              </w:rPr>
            </w:pPr>
          </w:p>
          <w:p w14:paraId="40FE115E" w14:textId="77777777" w:rsidR="008C20EB" w:rsidRDefault="008C20EB">
            <w:pPr>
              <w:pStyle w:val="TableParagraph"/>
              <w:shd w:val="clear" w:color="auto" w:fill="FFFFFF" w:themeFill="background1"/>
              <w:spacing w:line="234" w:lineRule="exact"/>
              <w:jc w:val="both"/>
              <w:rPr>
                <w:b/>
              </w:rPr>
            </w:pPr>
          </w:p>
          <w:p w14:paraId="40FE115F" w14:textId="77777777" w:rsidR="008C20EB" w:rsidRDefault="008C20EB">
            <w:pPr>
              <w:pStyle w:val="TableParagraph"/>
              <w:shd w:val="clear" w:color="auto" w:fill="FFFFFF" w:themeFill="background1"/>
              <w:spacing w:line="234" w:lineRule="exact"/>
              <w:jc w:val="both"/>
              <w:rPr>
                <w:b/>
              </w:rPr>
            </w:pPr>
          </w:p>
          <w:p w14:paraId="40FE1160" w14:textId="77777777" w:rsidR="008C20EB" w:rsidRDefault="008C20EB">
            <w:pPr>
              <w:pStyle w:val="TableParagraph"/>
              <w:shd w:val="clear" w:color="auto" w:fill="FFFFFF" w:themeFill="background1"/>
              <w:spacing w:line="234" w:lineRule="exact"/>
              <w:jc w:val="both"/>
              <w:rPr>
                <w:b/>
              </w:rPr>
            </w:pPr>
          </w:p>
          <w:p w14:paraId="40FE1161" w14:textId="77777777" w:rsidR="008C20EB" w:rsidRDefault="008C20EB">
            <w:pPr>
              <w:pStyle w:val="TableParagraph"/>
              <w:shd w:val="clear" w:color="auto" w:fill="FFFFFF" w:themeFill="background1"/>
              <w:spacing w:line="234" w:lineRule="exact"/>
              <w:jc w:val="both"/>
              <w:rPr>
                <w:b/>
              </w:rPr>
            </w:pPr>
          </w:p>
          <w:p w14:paraId="40FE1162" w14:textId="77777777" w:rsidR="008C20EB" w:rsidRDefault="008C20EB">
            <w:pPr>
              <w:pStyle w:val="TableParagraph"/>
              <w:shd w:val="clear" w:color="auto" w:fill="FFFFFF" w:themeFill="background1"/>
              <w:spacing w:line="234" w:lineRule="exact"/>
              <w:jc w:val="both"/>
              <w:rPr>
                <w:b/>
              </w:rPr>
            </w:pPr>
          </w:p>
          <w:p w14:paraId="40FE1163" w14:textId="77777777" w:rsidR="008C20EB" w:rsidRDefault="008C20EB">
            <w:pPr>
              <w:pStyle w:val="TableParagraph"/>
              <w:shd w:val="clear" w:color="auto" w:fill="FFFFFF" w:themeFill="background1"/>
              <w:spacing w:line="234" w:lineRule="exact"/>
              <w:jc w:val="both"/>
              <w:rPr>
                <w:b/>
              </w:rPr>
            </w:pPr>
          </w:p>
          <w:p w14:paraId="40FE1164" w14:textId="77777777" w:rsidR="008C20EB" w:rsidRDefault="008C20EB">
            <w:pPr>
              <w:pStyle w:val="TableParagraph"/>
              <w:shd w:val="clear" w:color="auto" w:fill="FFFFFF" w:themeFill="background1"/>
              <w:spacing w:line="234" w:lineRule="exact"/>
              <w:jc w:val="both"/>
              <w:rPr>
                <w:b/>
              </w:rPr>
            </w:pPr>
          </w:p>
          <w:p w14:paraId="40FE1165" w14:textId="77777777" w:rsidR="008C20EB" w:rsidRDefault="008C20EB">
            <w:pPr>
              <w:pStyle w:val="TableParagraph"/>
              <w:shd w:val="clear" w:color="auto" w:fill="FFFFFF" w:themeFill="background1"/>
              <w:spacing w:line="234" w:lineRule="exact"/>
              <w:jc w:val="both"/>
              <w:rPr>
                <w:b/>
              </w:rPr>
            </w:pPr>
          </w:p>
          <w:p w14:paraId="40FE1166" w14:textId="77777777" w:rsidR="008C20EB" w:rsidRDefault="008C20EB">
            <w:pPr>
              <w:pStyle w:val="TableParagraph"/>
              <w:shd w:val="clear" w:color="auto" w:fill="FFFFFF" w:themeFill="background1"/>
              <w:spacing w:line="234" w:lineRule="exact"/>
              <w:jc w:val="both"/>
              <w:rPr>
                <w:b/>
              </w:rPr>
            </w:pPr>
          </w:p>
          <w:p w14:paraId="40FE1167" w14:textId="77777777" w:rsidR="008C20EB" w:rsidRDefault="008C20EB">
            <w:pPr>
              <w:pStyle w:val="TableParagraph"/>
              <w:shd w:val="clear" w:color="auto" w:fill="FFFFFF" w:themeFill="background1"/>
              <w:spacing w:line="234" w:lineRule="exact"/>
              <w:jc w:val="both"/>
              <w:rPr>
                <w:b/>
              </w:rPr>
            </w:pPr>
          </w:p>
          <w:p w14:paraId="40FE1168" w14:textId="77777777" w:rsidR="008C20EB" w:rsidRDefault="008C20EB">
            <w:pPr>
              <w:pStyle w:val="TableParagraph"/>
              <w:shd w:val="clear" w:color="auto" w:fill="FFFFFF" w:themeFill="background1"/>
              <w:spacing w:line="234" w:lineRule="exact"/>
              <w:jc w:val="both"/>
              <w:rPr>
                <w:b/>
              </w:rPr>
            </w:pPr>
          </w:p>
          <w:p w14:paraId="40FE1169" w14:textId="77777777" w:rsidR="008C20EB" w:rsidRDefault="008C20EB">
            <w:pPr>
              <w:pStyle w:val="TableParagraph"/>
              <w:shd w:val="clear" w:color="auto" w:fill="FFFFFF" w:themeFill="background1"/>
              <w:spacing w:line="234" w:lineRule="exact"/>
              <w:jc w:val="both"/>
              <w:rPr>
                <w:b/>
              </w:rPr>
            </w:pPr>
          </w:p>
          <w:p w14:paraId="40FE116A" w14:textId="77777777" w:rsidR="008C20EB" w:rsidRDefault="008C20EB">
            <w:pPr>
              <w:pStyle w:val="TableParagraph"/>
              <w:shd w:val="clear" w:color="auto" w:fill="FFFFFF" w:themeFill="background1"/>
              <w:spacing w:line="234" w:lineRule="exact"/>
              <w:jc w:val="both"/>
              <w:rPr>
                <w:b/>
              </w:rPr>
            </w:pPr>
          </w:p>
          <w:p w14:paraId="40FE116B" w14:textId="77777777" w:rsidR="008C20EB" w:rsidRDefault="008C20EB">
            <w:pPr>
              <w:pStyle w:val="TableParagraph"/>
              <w:shd w:val="clear" w:color="auto" w:fill="FFFFFF" w:themeFill="background1"/>
              <w:spacing w:line="234" w:lineRule="exact"/>
              <w:jc w:val="both"/>
              <w:rPr>
                <w:b/>
              </w:rPr>
            </w:pPr>
          </w:p>
          <w:p w14:paraId="40FE116C" w14:textId="77777777" w:rsidR="008C20EB" w:rsidRDefault="008C20EB">
            <w:pPr>
              <w:pStyle w:val="TableParagraph"/>
              <w:shd w:val="clear" w:color="auto" w:fill="FFFFFF" w:themeFill="background1"/>
              <w:spacing w:line="234" w:lineRule="exact"/>
              <w:jc w:val="both"/>
              <w:rPr>
                <w:b/>
              </w:rPr>
            </w:pPr>
          </w:p>
          <w:p w14:paraId="40FE116D" w14:textId="77777777" w:rsidR="008C20EB" w:rsidRDefault="008C20EB">
            <w:pPr>
              <w:pStyle w:val="TableParagraph"/>
              <w:shd w:val="clear" w:color="auto" w:fill="FFFFFF" w:themeFill="background1"/>
              <w:spacing w:line="234" w:lineRule="exact"/>
              <w:jc w:val="both"/>
              <w:rPr>
                <w:b/>
              </w:rPr>
            </w:pPr>
          </w:p>
          <w:p w14:paraId="40FE116E" w14:textId="77777777" w:rsidR="008C20EB" w:rsidRDefault="008C20EB">
            <w:pPr>
              <w:pStyle w:val="TableParagraph"/>
              <w:shd w:val="clear" w:color="auto" w:fill="FFFFFF" w:themeFill="background1"/>
              <w:spacing w:line="234" w:lineRule="exact"/>
              <w:jc w:val="both"/>
              <w:rPr>
                <w:b/>
              </w:rPr>
            </w:pPr>
          </w:p>
          <w:p w14:paraId="40FE116F" w14:textId="77777777" w:rsidR="008C20EB" w:rsidRDefault="008C20EB">
            <w:pPr>
              <w:pStyle w:val="TableParagraph"/>
              <w:shd w:val="clear" w:color="auto" w:fill="FFFFFF" w:themeFill="background1"/>
              <w:spacing w:line="234" w:lineRule="exact"/>
              <w:jc w:val="both"/>
              <w:rPr>
                <w:b/>
              </w:rPr>
            </w:pPr>
          </w:p>
          <w:p w14:paraId="40FE1170" w14:textId="77777777" w:rsidR="008C20EB" w:rsidRDefault="008C20EB">
            <w:pPr>
              <w:pStyle w:val="TableParagraph"/>
              <w:shd w:val="clear" w:color="auto" w:fill="FFFFFF" w:themeFill="background1"/>
              <w:spacing w:line="234" w:lineRule="exact"/>
              <w:jc w:val="both"/>
              <w:rPr>
                <w:b/>
              </w:rPr>
            </w:pPr>
          </w:p>
          <w:p w14:paraId="40FE1171" w14:textId="77777777" w:rsidR="008C20EB" w:rsidRDefault="008C20EB">
            <w:pPr>
              <w:pStyle w:val="TableParagraph"/>
              <w:shd w:val="clear" w:color="auto" w:fill="FFFFFF" w:themeFill="background1"/>
              <w:spacing w:line="234" w:lineRule="exact"/>
              <w:jc w:val="both"/>
              <w:rPr>
                <w:b/>
              </w:rPr>
            </w:pPr>
          </w:p>
          <w:p w14:paraId="40FE1172" w14:textId="77777777" w:rsidR="008C20EB" w:rsidRDefault="008C20EB">
            <w:pPr>
              <w:pStyle w:val="TableParagraph"/>
              <w:shd w:val="clear" w:color="auto" w:fill="FFFFFF" w:themeFill="background1"/>
              <w:spacing w:line="234" w:lineRule="exact"/>
              <w:jc w:val="both"/>
              <w:rPr>
                <w:b/>
              </w:rPr>
            </w:pPr>
          </w:p>
          <w:p w14:paraId="40FE1173" w14:textId="77777777" w:rsidR="008C20EB" w:rsidRDefault="008C20EB">
            <w:pPr>
              <w:pStyle w:val="TableParagraph"/>
              <w:shd w:val="clear" w:color="auto" w:fill="FFFFFF" w:themeFill="background1"/>
              <w:spacing w:line="234" w:lineRule="exact"/>
              <w:jc w:val="both"/>
              <w:rPr>
                <w:b/>
              </w:rPr>
            </w:pPr>
          </w:p>
          <w:p w14:paraId="40FE1174" w14:textId="77777777" w:rsidR="008C20EB" w:rsidRDefault="008C20EB">
            <w:pPr>
              <w:pStyle w:val="TableParagraph"/>
              <w:shd w:val="clear" w:color="auto" w:fill="FFFFFF" w:themeFill="background1"/>
              <w:spacing w:line="234" w:lineRule="exact"/>
              <w:jc w:val="both"/>
              <w:rPr>
                <w:b/>
              </w:rPr>
            </w:pPr>
          </w:p>
          <w:p w14:paraId="40FE1175" w14:textId="77777777" w:rsidR="008C20EB" w:rsidRDefault="008C20EB">
            <w:pPr>
              <w:pStyle w:val="TableParagraph"/>
              <w:shd w:val="clear" w:color="auto" w:fill="FFFFFF" w:themeFill="background1"/>
              <w:spacing w:line="234" w:lineRule="exact"/>
              <w:jc w:val="both"/>
              <w:rPr>
                <w:b/>
              </w:rPr>
            </w:pPr>
          </w:p>
          <w:p w14:paraId="40FE1176" w14:textId="77777777" w:rsidR="008C20EB" w:rsidRDefault="008C20EB">
            <w:pPr>
              <w:pStyle w:val="TableParagraph"/>
              <w:shd w:val="clear" w:color="auto" w:fill="FFFFFF" w:themeFill="background1"/>
              <w:spacing w:line="234" w:lineRule="exact"/>
              <w:jc w:val="both"/>
              <w:rPr>
                <w:b/>
              </w:rPr>
            </w:pPr>
          </w:p>
          <w:p w14:paraId="40FE1177"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178" w14:textId="77777777" w:rsidR="008C20EB" w:rsidRDefault="008D25BE">
            <w:pPr>
              <w:pStyle w:val="TableParagraph"/>
              <w:shd w:val="clear" w:color="auto" w:fill="FFFFFF" w:themeFill="background1"/>
              <w:spacing w:line="234" w:lineRule="exact"/>
              <w:jc w:val="both"/>
              <w:rPr>
                <w:bCs/>
              </w:rPr>
            </w:pPr>
            <w:r>
              <w:rPr>
                <w:bCs/>
              </w:rPr>
              <w:lastRenderedPageBreak/>
              <w:t>Modifican el Capítulo V "Información Complementaria" del Manual de Contabilidad y el Reglamento sobre Grupo Económico, Vinculación, aplicación de Límites Operativos a que se refieren los artículos 201 al 204 de la Ley General y Grandes Exposiciones.</w:t>
            </w:r>
          </w:p>
          <w:p w14:paraId="40FE1179" w14:textId="77777777" w:rsidR="008C20EB" w:rsidRDefault="008D25BE">
            <w:pPr>
              <w:pStyle w:val="TableParagraph"/>
              <w:shd w:val="clear" w:color="auto" w:fill="FFFFFF" w:themeFill="background1"/>
              <w:spacing w:line="234" w:lineRule="exact"/>
              <w:jc w:val="both"/>
              <w:rPr>
                <w:bCs/>
              </w:rPr>
            </w:pPr>
            <w:r>
              <w:rPr>
                <w:bCs/>
              </w:rPr>
              <w:t>La presente Resolución entra en vigencia a partir de la información correspondiente al mes de junio de 2025.</w:t>
            </w:r>
          </w:p>
          <w:p w14:paraId="40FE117A" w14:textId="77777777" w:rsidR="008C20EB" w:rsidRDefault="008C20EB">
            <w:pPr>
              <w:pStyle w:val="TableParagraph"/>
              <w:shd w:val="clear" w:color="auto" w:fill="FFFFFF" w:themeFill="background1"/>
              <w:spacing w:line="234" w:lineRule="exact"/>
              <w:jc w:val="both"/>
              <w:rPr>
                <w:bCs/>
              </w:rPr>
            </w:pPr>
          </w:p>
          <w:p w14:paraId="40FE117B" w14:textId="77777777" w:rsidR="008C20EB" w:rsidRDefault="008C20EB">
            <w:pPr>
              <w:pStyle w:val="TableParagraph"/>
              <w:shd w:val="clear" w:color="auto" w:fill="FFFFFF" w:themeFill="background1"/>
              <w:spacing w:line="234" w:lineRule="exact"/>
              <w:jc w:val="both"/>
              <w:rPr>
                <w:bCs/>
              </w:rPr>
            </w:pPr>
          </w:p>
          <w:p w14:paraId="40FE117C" w14:textId="77777777" w:rsidR="008C20EB" w:rsidRDefault="008C20EB">
            <w:pPr>
              <w:pStyle w:val="TableParagraph"/>
              <w:shd w:val="clear" w:color="auto" w:fill="FFFFFF" w:themeFill="background1"/>
              <w:spacing w:line="234" w:lineRule="exact"/>
              <w:jc w:val="both"/>
              <w:rPr>
                <w:bCs/>
              </w:rPr>
            </w:pPr>
          </w:p>
          <w:p w14:paraId="40FE117D" w14:textId="77777777" w:rsidR="008C20EB" w:rsidRDefault="008C20EB">
            <w:pPr>
              <w:pStyle w:val="TableParagraph"/>
              <w:shd w:val="clear" w:color="auto" w:fill="FFFFFF" w:themeFill="background1"/>
              <w:spacing w:line="234" w:lineRule="exact"/>
              <w:jc w:val="both"/>
              <w:rPr>
                <w:bCs/>
              </w:rPr>
            </w:pPr>
          </w:p>
          <w:p w14:paraId="40FE117E" w14:textId="77777777" w:rsidR="008C20EB" w:rsidRDefault="008C20EB">
            <w:pPr>
              <w:pStyle w:val="TableParagraph"/>
              <w:shd w:val="clear" w:color="auto" w:fill="FFFFFF" w:themeFill="background1"/>
              <w:spacing w:line="234" w:lineRule="exact"/>
              <w:jc w:val="both"/>
              <w:rPr>
                <w:bCs/>
              </w:rPr>
            </w:pPr>
          </w:p>
          <w:p w14:paraId="40FE117F" w14:textId="77777777" w:rsidR="008C20EB" w:rsidRDefault="008C20EB">
            <w:pPr>
              <w:pStyle w:val="TableParagraph"/>
              <w:shd w:val="clear" w:color="auto" w:fill="FFFFFF" w:themeFill="background1"/>
              <w:spacing w:line="234" w:lineRule="exact"/>
              <w:jc w:val="both"/>
              <w:rPr>
                <w:bCs/>
              </w:rPr>
            </w:pPr>
          </w:p>
          <w:p w14:paraId="40FE1180" w14:textId="77777777" w:rsidR="008C20EB" w:rsidRDefault="008C20EB">
            <w:pPr>
              <w:pStyle w:val="TableParagraph"/>
              <w:shd w:val="clear" w:color="auto" w:fill="FFFFFF" w:themeFill="background1"/>
              <w:spacing w:line="234" w:lineRule="exact"/>
              <w:jc w:val="both"/>
              <w:rPr>
                <w:bCs/>
              </w:rPr>
            </w:pPr>
          </w:p>
          <w:p w14:paraId="40FE1181" w14:textId="77777777" w:rsidR="008C20EB" w:rsidRDefault="008C20EB">
            <w:pPr>
              <w:pStyle w:val="TableParagraph"/>
              <w:shd w:val="clear" w:color="auto" w:fill="FFFFFF" w:themeFill="background1"/>
              <w:spacing w:line="234" w:lineRule="exact"/>
              <w:jc w:val="both"/>
              <w:rPr>
                <w:bCs/>
              </w:rPr>
            </w:pPr>
          </w:p>
          <w:p w14:paraId="40FE1182" w14:textId="77777777" w:rsidR="008C20EB" w:rsidRDefault="008C20EB">
            <w:pPr>
              <w:pStyle w:val="TableParagraph"/>
              <w:shd w:val="clear" w:color="auto" w:fill="FFFFFF" w:themeFill="background1"/>
              <w:spacing w:line="234" w:lineRule="exact"/>
              <w:jc w:val="both"/>
              <w:rPr>
                <w:bCs/>
              </w:rPr>
            </w:pPr>
          </w:p>
          <w:p w14:paraId="40FE1183" w14:textId="77777777" w:rsidR="008C20EB" w:rsidRDefault="008C20EB">
            <w:pPr>
              <w:pStyle w:val="TableParagraph"/>
              <w:shd w:val="clear" w:color="auto" w:fill="FFFFFF" w:themeFill="background1"/>
              <w:spacing w:line="234" w:lineRule="exact"/>
              <w:jc w:val="both"/>
              <w:rPr>
                <w:bCs/>
              </w:rPr>
            </w:pPr>
          </w:p>
          <w:p w14:paraId="40FE1184" w14:textId="77777777" w:rsidR="008C20EB" w:rsidRDefault="008C20EB">
            <w:pPr>
              <w:pStyle w:val="TableParagraph"/>
              <w:shd w:val="clear" w:color="auto" w:fill="FFFFFF" w:themeFill="background1"/>
              <w:spacing w:line="234" w:lineRule="exact"/>
              <w:jc w:val="both"/>
              <w:rPr>
                <w:bCs/>
              </w:rPr>
            </w:pPr>
          </w:p>
          <w:p w14:paraId="40FE1185" w14:textId="77777777" w:rsidR="008C20EB" w:rsidRDefault="008C20EB">
            <w:pPr>
              <w:pStyle w:val="TableParagraph"/>
              <w:shd w:val="clear" w:color="auto" w:fill="FFFFFF" w:themeFill="background1"/>
              <w:spacing w:line="234" w:lineRule="exact"/>
              <w:jc w:val="both"/>
              <w:rPr>
                <w:bCs/>
              </w:rPr>
            </w:pPr>
          </w:p>
          <w:p w14:paraId="40FE1186" w14:textId="77777777" w:rsidR="008C20EB" w:rsidRDefault="008C20EB">
            <w:pPr>
              <w:pStyle w:val="TableParagraph"/>
              <w:shd w:val="clear" w:color="auto" w:fill="FFFFFF" w:themeFill="background1"/>
              <w:spacing w:line="234" w:lineRule="exact"/>
              <w:jc w:val="both"/>
              <w:rPr>
                <w:bCs/>
              </w:rPr>
            </w:pPr>
          </w:p>
          <w:p w14:paraId="40FE1187" w14:textId="77777777" w:rsidR="008C20EB" w:rsidRDefault="008C20EB">
            <w:pPr>
              <w:pStyle w:val="TableParagraph"/>
              <w:shd w:val="clear" w:color="auto" w:fill="FFFFFF" w:themeFill="background1"/>
              <w:spacing w:line="234" w:lineRule="exact"/>
              <w:jc w:val="both"/>
              <w:rPr>
                <w:bCs/>
              </w:rPr>
            </w:pPr>
          </w:p>
          <w:p w14:paraId="40FE1188" w14:textId="77777777" w:rsidR="008C20EB" w:rsidRDefault="008C20EB">
            <w:pPr>
              <w:pStyle w:val="TableParagraph"/>
              <w:shd w:val="clear" w:color="auto" w:fill="FFFFFF" w:themeFill="background1"/>
              <w:spacing w:line="234" w:lineRule="exact"/>
              <w:jc w:val="both"/>
              <w:rPr>
                <w:bCs/>
              </w:rPr>
            </w:pPr>
          </w:p>
          <w:p w14:paraId="40FE1189" w14:textId="77777777" w:rsidR="008C20EB" w:rsidRDefault="008C20EB">
            <w:pPr>
              <w:pStyle w:val="TableParagraph"/>
              <w:shd w:val="clear" w:color="auto" w:fill="FFFFFF" w:themeFill="background1"/>
              <w:spacing w:line="234" w:lineRule="exact"/>
              <w:jc w:val="both"/>
              <w:rPr>
                <w:bCs/>
              </w:rPr>
            </w:pPr>
          </w:p>
          <w:p w14:paraId="40FE118A" w14:textId="77777777" w:rsidR="008C20EB" w:rsidRDefault="008C20EB">
            <w:pPr>
              <w:pStyle w:val="TableParagraph"/>
              <w:shd w:val="clear" w:color="auto" w:fill="FFFFFF" w:themeFill="background1"/>
              <w:spacing w:line="234" w:lineRule="exact"/>
              <w:jc w:val="both"/>
              <w:rPr>
                <w:bCs/>
              </w:rPr>
            </w:pPr>
          </w:p>
          <w:p w14:paraId="40FE118B" w14:textId="77777777" w:rsidR="008C20EB" w:rsidRDefault="008C20EB">
            <w:pPr>
              <w:pStyle w:val="TableParagraph"/>
              <w:shd w:val="clear" w:color="auto" w:fill="FFFFFF" w:themeFill="background1"/>
              <w:spacing w:line="234" w:lineRule="exact"/>
              <w:jc w:val="both"/>
              <w:rPr>
                <w:bCs/>
              </w:rPr>
            </w:pPr>
          </w:p>
          <w:p w14:paraId="40FE118C" w14:textId="77777777" w:rsidR="008C20EB" w:rsidRDefault="008C20EB">
            <w:pPr>
              <w:pStyle w:val="TableParagraph"/>
              <w:shd w:val="clear" w:color="auto" w:fill="FFFFFF" w:themeFill="background1"/>
              <w:spacing w:line="234" w:lineRule="exact"/>
              <w:jc w:val="both"/>
              <w:rPr>
                <w:bCs/>
              </w:rPr>
            </w:pPr>
          </w:p>
          <w:p w14:paraId="40FE118D" w14:textId="77777777" w:rsidR="008C20EB" w:rsidRDefault="008C20EB">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40FE118E" w14:textId="77777777" w:rsidR="008C20EB" w:rsidRDefault="008D25BE">
            <w:pPr>
              <w:pStyle w:val="TableParagraph"/>
              <w:shd w:val="clear" w:color="auto" w:fill="FFFFFF" w:themeFill="background1"/>
              <w:spacing w:line="234" w:lineRule="exact"/>
              <w:ind w:right="3265"/>
              <w:jc w:val="both"/>
              <w:rPr>
                <w:bCs/>
              </w:rPr>
            </w:pPr>
            <w:r>
              <w:rPr>
                <w:bCs/>
              </w:rPr>
              <w:lastRenderedPageBreak/>
              <w:t>En el capítulo V:</w:t>
            </w:r>
          </w:p>
          <w:p w14:paraId="40FE118F"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13 “Control de Límites Globales e Individuales aplicables a las Empresas del Sistema Financiero” de periodicidad mensual vigente a partir de la información de junio 2025, dejando sin efecto al Reporte “</w:t>
            </w:r>
            <w:r>
              <w:rPr>
                <w:bCs/>
                <w:lang w:val="es-PE"/>
              </w:rPr>
              <w:t>Control de Límites Globales e Individuales aplicables a las Empresas del Sistema Financiero</w:t>
            </w:r>
            <w:r>
              <w:rPr>
                <w:bCs/>
              </w:rPr>
              <w:t>”</w:t>
            </w:r>
          </w:p>
          <w:p w14:paraId="40FE1190"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19 “Información sobre el Grupo Económico al que pertenece la Empresa.”</w:t>
            </w:r>
            <w:r>
              <w:t xml:space="preserve"> </w:t>
            </w:r>
            <w:r>
              <w:rPr>
                <w:bCs/>
              </w:rPr>
              <w:t>de periodicidad semestral vigente a partir de la información de junio 2025, dejando sin efecto al Reporte “</w:t>
            </w:r>
            <w:r>
              <w:rPr>
                <w:bCs/>
                <w:lang w:val="es-PE"/>
              </w:rPr>
              <w:t>Información sobre el Grupo Económico de la empresa</w:t>
            </w:r>
            <w:r>
              <w:rPr>
                <w:bCs/>
              </w:rPr>
              <w:t>”.</w:t>
            </w:r>
          </w:p>
          <w:p w14:paraId="40FE1191"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19-A “Información sobre Integrantes del Grupo Económico al que pertenece la Empresa” de periodicidad semestral vigente a partir de la información de junio 2025, dejando sin efecto al Reporte “</w:t>
            </w:r>
            <w:r>
              <w:rPr>
                <w:bCs/>
                <w:lang w:val="es-PE"/>
              </w:rPr>
              <w:t>Información sobre integrantes del Grupo Económico de la empresa</w:t>
            </w:r>
            <w:r>
              <w:rPr>
                <w:bCs/>
              </w:rPr>
              <w:t>”.</w:t>
            </w:r>
          </w:p>
          <w:p w14:paraId="40FE1192"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20 “Información de Clientes (incluyendo los que representan un grupo de contrapartes conectadas por riesgo único) correspondiente a Grandes Exposiciones” de periodicidad semestral vigente a partir de la información de junio 2025, dejando sin efecto al Reporte “</w:t>
            </w:r>
            <w:r>
              <w:rPr>
                <w:bCs/>
                <w:lang w:val="es-PE"/>
              </w:rPr>
              <w:t>Información de Clientes que representan Riesgo Único”</w:t>
            </w:r>
            <w:r>
              <w:rPr>
                <w:bCs/>
              </w:rPr>
              <w:t>.</w:t>
            </w:r>
          </w:p>
          <w:p w14:paraId="40FE1193"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incorpora un nuevo Reporte N° 20-A “Información de las Personas, Entes Jurídicos, Dependencias, Organismos, Entidades u Otros que integran un Grupo de Contrapartes Conectadas por Riesgo Único con Clientes” de periodicidad semestral vigente a partir de la información de junio 2025, dejando sin efecto al Reporte “</w:t>
            </w:r>
            <w:r>
              <w:rPr>
                <w:bCs/>
                <w:lang w:val="es-PE"/>
              </w:rPr>
              <w:t>Información de las Personas y Entes Jurídicos que Representan Riesgo Único Clientes”</w:t>
            </w:r>
            <w:r>
              <w:rPr>
                <w:bCs/>
              </w:rPr>
              <w:t>.</w:t>
            </w:r>
          </w:p>
          <w:p w14:paraId="40FE1194" w14:textId="77777777" w:rsidR="008C20EB" w:rsidRDefault="008D25BE">
            <w:pPr>
              <w:pStyle w:val="TableParagraph"/>
              <w:numPr>
                <w:ilvl w:val="0"/>
                <w:numId w:val="7"/>
              </w:numPr>
              <w:shd w:val="clear" w:color="auto" w:fill="FFFFFF" w:themeFill="background1"/>
              <w:spacing w:line="234" w:lineRule="exact"/>
              <w:ind w:right="180"/>
              <w:rPr>
                <w:bCs/>
                <w:lang w:val="es-PE"/>
              </w:rPr>
            </w:pPr>
            <w:r>
              <w:rPr>
                <w:bCs/>
              </w:rPr>
              <w:t>Se incorpora un nuevo Reporte N° 21 “Información de las Personas y Entes Jurídicos Vinculados a la Empresa y Financiamientos a Vinculados a la Empresa”.</w:t>
            </w:r>
            <w:r>
              <w:rPr>
                <w:sz w:val="20"/>
                <w:szCs w:val="20"/>
              </w:rPr>
              <w:t xml:space="preserve"> </w:t>
            </w:r>
            <w:r>
              <w:rPr>
                <w:bCs/>
              </w:rPr>
              <w:t xml:space="preserve">de periodicidad </w:t>
            </w:r>
            <w:r>
              <w:rPr>
                <w:bCs/>
              </w:rPr>
              <w:lastRenderedPageBreak/>
              <w:t>trimestral vigente a partir de la información de junio 2025, dejando sin efecto al Reporte “</w:t>
            </w:r>
            <w:r>
              <w:rPr>
                <w:bCs/>
                <w:lang w:val="es-PE"/>
              </w:rPr>
              <w:t>Financiamientos a Vinculados a la Empresa”</w:t>
            </w:r>
            <w:r>
              <w:rPr>
                <w:bCs/>
              </w:rPr>
              <w:t>.</w:t>
            </w:r>
          </w:p>
          <w:p w14:paraId="40FE1195" w14:textId="77777777" w:rsidR="008C20EB" w:rsidRDefault="008D25BE">
            <w:pPr>
              <w:pStyle w:val="TableParagraph"/>
              <w:numPr>
                <w:ilvl w:val="0"/>
                <w:numId w:val="7"/>
              </w:numPr>
              <w:shd w:val="clear" w:color="auto" w:fill="FFFFFF" w:themeFill="background1"/>
              <w:spacing w:line="234" w:lineRule="exact"/>
              <w:ind w:right="180"/>
              <w:jc w:val="both"/>
              <w:rPr>
                <w:bCs/>
              </w:rPr>
            </w:pPr>
            <w:r>
              <w:rPr>
                <w:bCs/>
              </w:rPr>
              <w:t>Se elimina el Reporte N° 21-A “Información de las Personas Jurídicas y Entes Jurídicos Vinculados a la Empresa”.</w:t>
            </w:r>
          </w:p>
          <w:p w14:paraId="40FE1196" w14:textId="77777777" w:rsidR="008C20EB" w:rsidRDefault="008C20EB">
            <w:pPr>
              <w:pStyle w:val="TableParagraph"/>
              <w:shd w:val="clear" w:color="auto" w:fill="FFFFFF" w:themeFill="background1"/>
              <w:spacing w:line="234" w:lineRule="exact"/>
              <w:ind w:left="360" w:right="180"/>
              <w:jc w:val="both"/>
              <w:rPr>
                <w:bCs/>
              </w:rPr>
            </w:pPr>
          </w:p>
        </w:tc>
      </w:tr>
      <w:tr w:rsidR="008C20EB" w14:paraId="40FE11AE" w14:textId="77777777">
        <w:trPr>
          <w:trHeight w:val="253"/>
        </w:trPr>
        <w:tc>
          <w:tcPr>
            <w:tcW w:w="1574" w:type="dxa"/>
            <w:tcBorders>
              <w:bottom w:val="single" w:sz="4" w:space="0" w:color="auto"/>
            </w:tcBorders>
            <w:vAlign w:val="bottom"/>
          </w:tcPr>
          <w:p w14:paraId="40FE1198" w14:textId="77777777" w:rsidR="008C20EB" w:rsidRDefault="008D25BE">
            <w:pPr>
              <w:pStyle w:val="TableParagraph"/>
              <w:shd w:val="clear" w:color="auto" w:fill="FFFFFF" w:themeFill="background1"/>
              <w:spacing w:line="234" w:lineRule="exact"/>
              <w:jc w:val="both"/>
              <w:rPr>
                <w:b/>
              </w:rPr>
            </w:pPr>
            <w:r>
              <w:rPr>
                <w:b/>
              </w:rPr>
              <w:lastRenderedPageBreak/>
              <w:t>Resolución SBS N° 1661-2025</w:t>
            </w:r>
          </w:p>
          <w:p w14:paraId="40FE1199" w14:textId="77777777" w:rsidR="008C20EB" w:rsidRDefault="008C20EB">
            <w:pPr>
              <w:pStyle w:val="TableParagraph"/>
              <w:shd w:val="clear" w:color="auto" w:fill="FFFFFF" w:themeFill="background1"/>
              <w:spacing w:line="234" w:lineRule="exact"/>
              <w:jc w:val="both"/>
              <w:rPr>
                <w:b/>
              </w:rPr>
            </w:pPr>
          </w:p>
          <w:p w14:paraId="40FE119A" w14:textId="77777777" w:rsidR="008C20EB" w:rsidRDefault="008C20EB">
            <w:pPr>
              <w:pStyle w:val="TableParagraph"/>
              <w:shd w:val="clear" w:color="auto" w:fill="FFFFFF" w:themeFill="background1"/>
              <w:spacing w:line="234" w:lineRule="exact"/>
              <w:jc w:val="both"/>
              <w:rPr>
                <w:b/>
              </w:rPr>
            </w:pPr>
          </w:p>
          <w:p w14:paraId="40FE119B" w14:textId="77777777" w:rsidR="008C20EB" w:rsidRDefault="008C20EB">
            <w:pPr>
              <w:pStyle w:val="TableParagraph"/>
              <w:shd w:val="clear" w:color="auto" w:fill="FFFFFF" w:themeFill="background1"/>
              <w:spacing w:line="234" w:lineRule="exact"/>
              <w:jc w:val="both"/>
              <w:rPr>
                <w:b/>
              </w:rPr>
            </w:pPr>
          </w:p>
          <w:p w14:paraId="40FE119C" w14:textId="77777777" w:rsidR="008C20EB" w:rsidRDefault="008C20EB">
            <w:pPr>
              <w:pStyle w:val="TableParagraph"/>
              <w:shd w:val="clear" w:color="auto" w:fill="FFFFFF" w:themeFill="background1"/>
              <w:spacing w:line="234" w:lineRule="exact"/>
              <w:jc w:val="both"/>
              <w:rPr>
                <w:b/>
              </w:rPr>
            </w:pPr>
          </w:p>
          <w:p w14:paraId="40FE119D" w14:textId="77777777" w:rsidR="008C20EB" w:rsidRDefault="008C20EB">
            <w:pPr>
              <w:pStyle w:val="TableParagraph"/>
              <w:shd w:val="clear" w:color="auto" w:fill="FFFFFF" w:themeFill="background1"/>
              <w:spacing w:line="234" w:lineRule="exact"/>
              <w:jc w:val="both"/>
              <w:rPr>
                <w:b/>
              </w:rPr>
            </w:pPr>
          </w:p>
          <w:p w14:paraId="40FE119E"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19F" w14:textId="77777777" w:rsidR="008C20EB" w:rsidRDefault="008D25BE">
            <w:pPr>
              <w:pStyle w:val="TableParagraph"/>
              <w:shd w:val="clear" w:color="auto" w:fill="FFFFFF" w:themeFill="background1"/>
              <w:spacing w:line="234" w:lineRule="exact"/>
              <w:jc w:val="both"/>
              <w:rPr>
                <w:b/>
              </w:rPr>
            </w:pPr>
            <w:r>
              <w:rPr>
                <w:b/>
              </w:rPr>
              <w:t>Pr. 06.05.2025       /Pub. 08.05.2025</w:t>
            </w:r>
          </w:p>
          <w:p w14:paraId="40FE11A0" w14:textId="77777777" w:rsidR="008C20EB" w:rsidRDefault="008C20EB">
            <w:pPr>
              <w:pStyle w:val="TableParagraph"/>
              <w:shd w:val="clear" w:color="auto" w:fill="FFFFFF" w:themeFill="background1"/>
              <w:spacing w:line="234" w:lineRule="exact"/>
              <w:jc w:val="both"/>
              <w:rPr>
                <w:b/>
              </w:rPr>
            </w:pPr>
          </w:p>
          <w:p w14:paraId="40FE11A1" w14:textId="77777777" w:rsidR="008C20EB" w:rsidRDefault="008C20EB">
            <w:pPr>
              <w:pStyle w:val="TableParagraph"/>
              <w:shd w:val="clear" w:color="auto" w:fill="FFFFFF" w:themeFill="background1"/>
              <w:spacing w:line="234" w:lineRule="exact"/>
              <w:jc w:val="both"/>
              <w:rPr>
                <w:b/>
              </w:rPr>
            </w:pPr>
          </w:p>
          <w:p w14:paraId="40FE11A2" w14:textId="77777777" w:rsidR="008C20EB" w:rsidRDefault="008C20EB">
            <w:pPr>
              <w:pStyle w:val="TableParagraph"/>
              <w:shd w:val="clear" w:color="auto" w:fill="FFFFFF" w:themeFill="background1"/>
              <w:spacing w:line="234" w:lineRule="exact"/>
              <w:jc w:val="both"/>
              <w:rPr>
                <w:b/>
              </w:rPr>
            </w:pPr>
          </w:p>
          <w:p w14:paraId="40FE11A3" w14:textId="77777777" w:rsidR="008C20EB" w:rsidRDefault="008C20EB">
            <w:pPr>
              <w:pStyle w:val="TableParagraph"/>
              <w:shd w:val="clear" w:color="auto" w:fill="FFFFFF" w:themeFill="background1"/>
              <w:spacing w:line="234" w:lineRule="exact"/>
              <w:jc w:val="both"/>
              <w:rPr>
                <w:b/>
              </w:rPr>
            </w:pPr>
          </w:p>
          <w:p w14:paraId="40FE11A4" w14:textId="77777777" w:rsidR="008C20EB" w:rsidRDefault="008C20EB">
            <w:pPr>
              <w:pStyle w:val="TableParagraph"/>
              <w:shd w:val="clear" w:color="auto" w:fill="FFFFFF" w:themeFill="background1"/>
              <w:spacing w:line="234" w:lineRule="exact"/>
              <w:jc w:val="both"/>
              <w:rPr>
                <w:b/>
              </w:rPr>
            </w:pPr>
          </w:p>
          <w:p w14:paraId="40FE11A5"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1A6" w14:textId="77777777" w:rsidR="008C20EB" w:rsidRDefault="008D25BE">
            <w:pPr>
              <w:pStyle w:val="TableParagraph"/>
              <w:shd w:val="clear" w:color="auto" w:fill="FFFFFF" w:themeFill="background1"/>
              <w:spacing w:line="234" w:lineRule="exact"/>
              <w:jc w:val="both"/>
              <w:rPr>
                <w:bCs/>
              </w:rPr>
            </w:pPr>
            <w:r>
              <w:rPr>
                <w:bCs/>
              </w:rPr>
              <w:t>Modificar el Capítulo V “Información Complementaria” del Manual de Contabilidad para las Empresas del Sistema Financiero, aprobado mediante la Resolución SBS Nº 895-98 y sus normas modificatorias y complementarias. Las modificaciones a este capítulo entran en vigencia para la información de septiembre 2025.</w:t>
            </w:r>
          </w:p>
          <w:p w14:paraId="40FE11A7" w14:textId="77777777" w:rsidR="008C20EB" w:rsidRDefault="008C20EB">
            <w:pPr>
              <w:pStyle w:val="TableParagraph"/>
              <w:shd w:val="clear" w:color="auto" w:fill="FFFFFF" w:themeFill="background1"/>
              <w:spacing w:line="234" w:lineRule="exact"/>
              <w:jc w:val="both"/>
              <w:rPr>
                <w:bCs/>
              </w:rPr>
            </w:pPr>
          </w:p>
        </w:tc>
        <w:tc>
          <w:tcPr>
            <w:tcW w:w="8162" w:type="dxa"/>
            <w:tcBorders>
              <w:bottom w:val="single" w:sz="4" w:space="0" w:color="auto"/>
            </w:tcBorders>
            <w:vAlign w:val="bottom"/>
          </w:tcPr>
          <w:p w14:paraId="40FE11A8" w14:textId="77777777" w:rsidR="008C20EB" w:rsidRDefault="008D25BE">
            <w:pPr>
              <w:pStyle w:val="TableParagraph"/>
              <w:shd w:val="clear" w:color="auto" w:fill="FFFFFF" w:themeFill="background1"/>
              <w:spacing w:line="234" w:lineRule="exact"/>
              <w:ind w:right="180"/>
              <w:jc w:val="both"/>
              <w:rPr>
                <w:bCs/>
              </w:rPr>
            </w:pPr>
            <w:r>
              <w:rPr>
                <w:bCs/>
              </w:rPr>
              <w:t>En el capítulo V:</w:t>
            </w:r>
          </w:p>
          <w:p w14:paraId="40FE11A9" w14:textId="77777777" w:rsidR="008C20EB" w:rsidRDefault="008D25BE">
            <w:pPr>
              <w:pStyle w:val="TableParagraph"/>
              <w:numPr>
                <w:ilvl w:val="0"/>
                <w:numId w:val="8"/>
              </w:numPr>
              <w:shd w:val="clear" w:color="auto" w:fill="FFFFFF" w:themeFill="background1"/>
              <w:spacing w:line="234" w:lineRule="exact"/>
              <w:ind w:right="180"/>
              <w:jc w:val="both"/>
              <w:rPr>
                <w:bCs/>
              </w:rPr>
            </w:pPr>
            <w:r>
              <w:rPr>
                <w:bCs/>
              </w:rPr>
              <w:t>Se modifica el Anexo N° 6 “Reporte Crediticio de deudores”.</w:t>
            </w:r>
          </w:p>
          <w:p w14:paraId="40FE11AA" w14:textId="77777777" w:rsidR="008C20EB" w:rsidRDefault="008D25BE">
            <w:pPr>
              <w:pStyle w:val="TableParagraph"/>
              <w:numPr>
                <w:ilvl w:val="0"/>
                <w:numId w:val="8"/>
              </w:numPr>
              <w:shd w:val="clear" w:color="auto" w:fill="FFFFFF" w:themeFill="background1"/>
              <w:spacing w:line="234" w:lineRule="exact"/>
              <w:ind w:right="180"/>
              <w:jc w:val="both"/>
              <w:rPr>
                <w:bCs/>
              </w:rPr>
            </w:pPr>
            <w:r>
              <w:rPr>
                <w:bCs/>
              </w:rPr>
              <w:t>Se sustituye la nota 1 del Anexo N° 10 “Depósitos, colocaciones y personal de oficinas”.</w:t>
            </w:r>
          </w:p>
          <w:p w14:paraId="40FE11AB" w14:textId="77777777" w:rsidR="008C20EB" w:rsidRDefault="008D25BE">
            <w:pPr>
              <w:pStyle w:val="TableParagraph"/>
              <w:numPr>
                <w:ilvl w:val="0"/>
                <w:numId w:val="8"/>
              </w:numPr>
              <w:shd w:val="clear" w:color="auto" w:fill="FFFFFF" w:themeFill="background1"/>
              <w:spacing w:line="234" w:lineRule="exact"/>
              <w:ind w:right="180"/>
              <w:jc w:val="both"/>
              <w:rPr>
                <w:bCs/>
              </w:rPr>
            </w:pPr>
            <w:r>
              <w:rPr>
                <w:bCs/>
              </w:rPr>
              <w:t>Se sustituye Parte II: “Detalle de establecimientos de operaciones básicas (EOB)” del Reporte Nº 30 “Cajeros Automáticos, Establecimientos de Operaciones Básicas y Cajeros Corresponsales”.</w:t>
            </w:r>
          </w:p>
          <w:p w14:paraId="40FE11AC" w14:textId="77777777" w:rsidR="008C20EB" w:rsidRDefault="008D25BE">
            <w:pPr>
              <w:pStyle w:val="TableParagraph"/>
              <w:numPr>
                <w:ilvl w:val="0"/>
                <w:numId w:val="8"/>
              </w:numPr>
              <w:shd w:val="clear" w:color="auto" w:fill="FFFFFF" w:themeFill="background1"/>
              <w:spacing w:line="234" w:lineRule="exact"/>
              <w:ind w:right="180"/>
              <w:jc w:val="both"/>
              <w:rPr>
                <w:bCs/>
                <w:lang w:val="es-PE"/>
              </w:rPr>
            </w:pPr>
            <w:r>
              <w:rPr>
                <w:bCs/>
              </w:rPr>
              <w:t xml:space="preserve">Se modifica </w:t>
            </w:r>
            <w:r>
              <w:rPr>
                <w:bCs/>
                <w:lang w:val="es-PE"/>
              </w:rPr>
              <w:t>el Reporte Nº 36 “Detalle por Operación de la Cartera de Crédito.</w:t>
            </w:r>
          </w:p>
          <w:p w14:paraId="40FE11AD" w14:textId="77777777" w:rsidR="008C20EB" w:rsidRDefault="008C20EB">
            <w:pPr>
              <w:pStyle w:val="TableParagraph"/>
              <w:shd w:val="clear" w:color="auto" w:fill="FFFFFF" w:themeFill="background1"/>
              <w:spacing w:line="234" w:lineRule="exact"/>
              <w:ind w:left="360" w:right="180"/>
              <w:jc w:val="both"/>
              <w:rPr>
                <w:bCs/>
                <w:lang w:val="es-PE"/>
              </w:rPr>
            </w:pPr>
          </w:p>
        </w:tc>
      </w:tr>
      <w:tr w:rsidR="008C20EB" w14:paraId="40FE11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574" w:type="dxa"/>
            <w:tcBorders>
              <w:top w:val="single" w:sz="4" w:space="0" w:color="auto"/>
              <w:left w:val="single" w:sz="4" w:space="0" w:color="auto"/>
              <w:bottom w:val="single" w:sz="4" w:space="0" w:color="auto"/>
              <w:right w:val="single" w:sz="4" w:space="0" w:color="auto"/>
            </w:tcBorders>
          </w:tcPr>
          <w:p w14:paraId="40FE11AF" w14:textId="77777777" w:rsidR="008C20EB" w:rsidRDefault="008D25BE">
            <w:pPr>
              <w:pStyle w:val="TableParagraph"/>
              <w:shd w:val="clear" w:color="auto" w:fill="FFFFFF" w:themeFill="background1"/>
              <w:spacing w:line="234" w:lineRule="exact"/>
              <w:jc w:val="both"/>
              <w:rPr>
                <w:b/>
              </w:rPr>
            </w:pPr>
            <w:r>
              <w:rPr>
                <w:b/>
              </w:rPr>
              <w:t>Resolución SBS N° 1065 - 2025</w:t>
            </w:r>
          </w:p>
        </w:tc>
        <w:tc>
          <w:tcPr>
            <w:tcW w:w="1560" w:type="dxa"/>
            <w:tcBorders>
              <w:top w:val="single" w:sz="4" w:space="0" w:color="auto"/>
              <w:left w:val="single" w:sz="4" w:space="0" w:color="auto"/>
              <w:bottom w:val="single" w:sz="4" w:space="0" w:color="auto"/>
              <w:right w:val="single" w:sz="4" w:space="0" w:color="auto"/>
            </w:tcBorders>
          </w:tcPr>
          <w:p w14:paraId="40FE11B0" w14:textId="77777777" w:rsidR="008C20EB" w:rsidRDefault="008D25BE">
            <w:pPr>
              <w:pStyle w:val="TableParagraph"/>
              <w:shd w:val="clear" w:color="auto" w:fill="FFFFFF" w:themeFill="background1"/>
              <w:spacing w:line="234" w:lineRule="exact"/>
              <w:jc w:val="both"/>
              <w:rPr>
                <w:b/>
              </w:rPr>
            </w:pPr>
            <w:r>
              <w:rPr>
                <w:b/>
              </w:rPr>
              <w:t>Pr.  18.03.2025</w:t>
            </w:r>
          </w:p>
          <w:p w14:paraId="40FE11B1" w14:textId="77777777" w:rsidR="008C20EB" w:rsidRDefault="008D25BE">
            <w:pPr>
              <w:pStyle w:val="TableParagraph"/>
              <w:shd w:val="clear" w:color="auto" w:fill="FFFFFF" w:themeFill="background1"/>
              <w:spacing w:line="234" w:lineRule="exact"/>
              <w:jc w:val="both"/>
              <w:rPr>
                <w:b/>
              </w:rPr>
            </w:pPr>
            <w:r>
              <w:rPr>
                <w:b/>
              </w:rPr>
              <w:t>/Pub. 21.03.2025</w:t>
            </w:r>
          </w:p>
        </w:tc>
        <w:tc>
          <w:tcPr>
            <w:tcW w:w="3935" w:type="dxa"/>
            <w:tcBorders>
              <w:top w:val="single" w:sz="4" w:space="0" w:color="auto"/>
              <w:left w:val="single" w:sz="4" w:space="0" w:color="auto"/>
              <w:bottom w:val="single" w:sz="4" w:space="0" w:color="auto"/>
              <w:right w:val="single" w:sz="4" w:space="0" w:color="auto"/>
            </w:tcBorders>
          </w:tcPr>
          <w:p w14:paraId="40FE11B2" w14:textId="77777777" w:rsidR="008C20EB" w:rsidRDefault="008D25BE">
            <w:pPr>
              <w:pStyle w:val="TableParagraph"/>
              <w:rPr>
                <w:bCs/>
              </w:rPr>
            </w:pPr>
            <w:r>
              <w:rPr>
                <w:bCs/>
              </w:rPr>
              <w:t>Se modifica el Manual de Contabilidad para las Empresas del Sistema Financiero, las Normas Complementarias Aplicables a las Derramas y el Reglamento de Auditoría Externa, con la finalidad de dar disposiciones sobre la publicación de la memoria anual, estados financieros y otras disposiciones.</w:t>
            </w:r>
            <w:r>
              <w:rPr>
                <w:bCs/>
                <w:sz w:val="20"/>
                <w:szCs w:val="20"/>
              </w:rPr>
              <w:t xml:space="preserve"> </w:t>
            </w:r>
            <w:r>
              <w:rPr>
                <w:bCs/>
              </w:rPr>
              <w:t>Las modificaciones al Manual de Contabilidad entran en vigor a partir de enero de 2026.</w:t>
            </w:r>
          </w:p>
          <w:p w14:paraId="40FE11B3" w14:textId="77777777" w:rsidR="008C20EB" w:rsidRDefault="008C20EB">
            <w:pPr>
              <w:pStyle w:val="TableParagraph"/>
              <w:rPr>
                <w:bCs/>
              </w:rPr>
            </w:pPr>
          </w:p>
        </w:tc>
        <w:tc>
          <w:tcPr>
            <w:tcW w:w="8162" w:type="dxa"/>
            <w:tcBorders>
              <w:top w:val="single" w:sz="4" w:space="0" w:color="auto"/>
              <w:left w:val="single" w:sz="4" w:space="0" w:color="auto"/>
              <w:bottom w:val="single" w:sz="4" w:space="0" w:color="auto"/>
              <w:right w:val="single" w:sz="4" w:space="0" w:color="auto"/>
            </w:tcBorders>
          </w:tcPr>
          <w:p w14:paraId="40FE11B4" w14:textId="77777777" w:rsidR="008C20EB" w:rsidRDefault="008D25BE">
            <w:pPr>
              <w:pStyle w:val="TableParagraph"/>
              <w:rPr>
                <w:bCs/>
              </w:rPr>
            </w:pPr>
            <w:r>
              <w:rPr>
                <w:bCs/>
              </w:rPr>
              <w:t>En el capítulo I:</w:t>
            </w:r>
          </w:p>
          <w:p w14:paraId="40FE11B5" w14:textId="77777777" w:rsidR="008C20EB" w:rsidRDefault="008D25BE">
            <w:pPr>
              <w:pStyle w:val="TableParagraph"/>
              <w:numPr>
                <w:ilvl w:val="0"/>
                <w:numId w:val="9"/>
              </w:numPr>
              <w:rPr>
                <w:bCs/>
              </w:rPr>
            </w:pPr>
            <w:r>
              <w:rPr>
                <w:bCs/>
              </w:rPr>
              <w:t xml:space="preserve">Se sustituye el numeral 2 del literal H “Aprobación de los Estados Financieros y la memoria por la Junta General de Accionistas u Órgano Equivalente”. </w:t>
            </w:r>
          </w:p>
          <w:p w14:paraId="40FE11B6" w14:textId="77777777" w:rsidR="008C20EB" w:rsidRDefault="008D25BE">
            <w:pPr>
              <w:pStyle w:val="TableParagraph"/>
              <w:rPr>
                <w:bCs/>
              </w:rPr>
            </w:pPr>
            <w:r>
              <w:rPr>
                <w:bCs/>
              </w:rPr>
              <w:t>En el capítulo II:</w:t>
            </w:r>
          </w:p>
          <w:p w14:paraId="40FE11B7" w14:textId="77777777" w:rsidR="008C20EB" w:rsidRDefault="008D25BE">
            <w:pPr>
              <w:pStyle w:val="TableParagraph"/>
              <w:numPr>
                <w:ilvl w:val="0"/>
                <w:numId w:val="9"/>
              </w:numPr>
              <w:rPr>
                <w:bCs/>
              </w:rPr>
            </w:pPr>
            <w:r>
              <w:rPr>
                <w:bCs/>
              </w:rPr>
              <w:t>Se modifica el acápite “Forma de Remisión de Estados Financieros” del literal A “Estados Financieros” del numeral I “Estados Financieros”.</w:t>
            </w:r>
          </w:p>
          <w:p w14:paraId="40FE11B8" w14:textId="77777777" w:rsidR="008C20EB" w:rsidRDefault="008D25BE">
            <w:pPr>
              <w:pStyle w:val="TableParagraph"/>
              <w:numPr>
                <w:ilvl w:val="0"/>
                <w:numId w:val="9"/>
              </w:numPr>
              <w:rPr>
                <w:bCs/>
              </w:rPr>
            </w:pPr>
            <w:r>
              <w:rPr>
                <w:bCs/>
              </w:rPr>
              <w:t>Se sustituye el acápite IV “Publicación de Información Financiera”.</w:t>
            </w:r>
          </w:p>
        </w:tc>
      </w:tr>
      <w:tr w:rsidR="008C20EB" w14:paraId="40FE11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574" w:type="dxa"/>
            <w:tcBorders>
              <w:top w:val="single" w:sz="4" w:space="0" w:color="auto"/>
              <w:left w:val="single" w:sz="4" w:space="0" w:color="auto"/>
              <w:bottom w:val="single" w:sz="4" w:space="0" w:color="auto"/>
              <w:right w:val="single" w:sz="4" w:space="0" w:color="auto"/>
            </w:tcBorders>
          </w:tcPr>
          <w:p w14:paraId="40FE11BA" w14:textId="77777777" w:rsidR="008C20EB" w:rsidRDefault="008D25BE">
            <w:pPr>
              <w:pStyle w:val="TableParagraph"/>
              <w:shd w:val="clear" w:color="auto" w:fill="FFFFFF" w:themeFill="background1"/>
              <w:spacing w:line="234" w:lineRule="exact"/>
              <w:jc w:val="both"/>
              <w:rPr>
                <w:b/>
              </w:rPr>
            </w:pPr>
            <w:r>
              <w:rPr>
                <w:b/>
              </w:rPr>
              <w:t xml:space="preserve">Oficio Múltiple </w:t>
            </w:r>
          </w:p>
          <w:p w14:paraId="40FE11BB" w14:textId="77777777" w:rsidR="008C20EB" w:rsidRDefault="008D25BE">
            <w:pPr>
              <w:pStyle w:val="TableParagraph"/>
              <w:shd w:val="clear" w:color="auto" w:fill="FFFFFF" w:themeFill="background1"/>
              <w:spacing w:line="234" w:lineRule="exact"/>
              <w:jc w:val="both"/>
              <w:rPr>
                <w:b/>
              </w:rPr>
            </w:pPr>
            <w:r>
              <w:rPr>
                <w:b/>
              </w:rPr>
              <w:t>15406 - 2025</w:t>
            </w:r>
          </w:p>
        </w:tc>
        <w:tc>
          <w:tcPr>
            <w:tcW w:w="1560" w:type="dxa"/>
            <w:tcBorders>
              <w:top w:val="single" w:sz="4" w:space="0" w:color="auto"/>
              <w:left w:val="single" w:sz="4" w:space="0" w:color="auto"/>
              <w:bottom w:val="single" w:sz="4" w:space="0" w:color="auto"/>
              <w:right w:val="single" w:sz="4" w:space="0" w:color="auto"/>
            </w:tcBorders>
          </w:tcPr>
          <w:p w14:paraId="40FE11BC" w14:textId="77777777" w:rsidR="008C20EB" w:rsidRDefault="008D25BE">
            <w:pPr>
              <w:pStyle w:val="TableParagraph"/>
              <w:shd w:val="clear" w:color="auto" w:fill="FFFFFF" w:themeFill="background1"/>
              <w:spacing w:line="234" w:lineRule="exact"/>
              <w:jc w:val="both"/>
              <w:rPr>
                <w:b/>
              </w:rPr>
            </w:pPr>
            <w:r>
              <w:rPr>
                <w:b/>
              </w:rPr>
              <w:t>Pr.    20.03.2025</w:t>
            </w:r>
          </w:p>
        </w:tc>
        <w:tc>
          <w:tcPr>
            <w:tcW w:w="3935" w:type="dxa"/>
            <w:tcBorders>
              <w:top w:val="single" w:sz="4" w:space="0" w:color="auto"/>
              <w:left w:val="single" w:sz="4" w:space="0" w:color="auto"/>
              <w:bottom w:val="single" w:sz="4" w:space="0" w:color="auto"/>
              <w:right w:val="single" w:sz="4" w:space="0" w:color="auto"/>
            </w:tcBorders>
          </w:tcPr>
          <w:p w14:paraId="40FE11BD" w14:textId="77777777" w:rsidR="008C20EB" w:rsidRDefault="008D25BE">
            <w:pPr>
              <w:pStyle w:val="TableParagraph"/>
              <w:rPr>
                <w:b/>
                <w:bCs/>
              </w:rPr>
            </w:pPr>
            <w:r>
              <w:rPr>
                <w:bCs/>
              </w:rPr>
              <w:t>Se modifica el Capítulo I “Disposiciones Generales” del Manual de Contabilidad para las Empresas del Sistema Financiero. Dicha disposición es vigente a partir de la información     correspondiente de marzo 2025</w:t>
            </w:r>
            <w:r>
              <w:rPr>
                <w:b/>
                <w:bCs/>
              </w:rPr>
              <w:t>.</w:t>
            </w:r>
          </w:p>
          <w:p w14:paraId="40FE11BE" w14:textId="77777777" w:rsidR="008C20EB" w:rsidRDefault="008C20EB">
            <w:pPr>
              <w:pStyle w:val="TableParagraph"/>
              <w:shd w:val="clear" w:color="auto" w:fill="FFFFFF" w:themeFill="background1"/>
              <w:spacing w:line="234" w:lineRule="exact"/>
              <w:ind w:right="100"/>
              <w:jc w:val="both"/>
              <w:rPr>
                <w:bCs/>
              </w:rPr>
            </w:pPr>
          </w:p>
        </w:tc>
        <w:tc>
          <w:tcPr>
            <w:tcW w:w="8162" w:type="dxa"/>
            <w:tcBorders>
              <w:top w:val="single" w:sz="4" w:space="0" w:color="auto"/>
              <w:left w:val="single" w:sz="4" w:space="0" w:color="auto"/>
              <w:bottom w:val="single" w:sz="4" w:space="0" w:color="auto"/>
              <w:right w:val="single" w:sz="4" w:space="0" w:color="auto"/>
            </w:tcBorders>
          </w:tcPr>
          <w:p w14:paraId="40FE11BF" w14:textId="77777777" w:rsidR="008C20EB" w:rsidRDefault="008D25BE">
            <w:pPr>
              <w:pStyle w:val="TableParagraph"/>
              <w:rPr>
                <w:bCs/>
              </w:rPr>
            </w:pPr>
            <w:r>
              <w:rPr>
                <w:bCs/>
              </w:rPr>
              <w:t>Se modifica la denominación de la Tabla de Empresas, señalada en el acápite J del Capítulo I “Disposiciones Generales” del Manual de Contabilidad para las Empresas del Sistema Financiero:</w:t>
            </w:r>
          </w:p>
          <w:p w14:paraId="40FE11C0" w14:textId="77777777" w:rsidR="008C20EB" w:rsidRDefault="008D25BE">
            <w:pPr>
              <w:pStyle w:val="TableParagraph"/>
              <w:rPr>
                <w:bCs/>
              </w:rPr>
            </w:pPr>
            <w:r>
              <w:rPr>
                <w:bCs/>
                <w:lang w:val="es-PE"/>
              </w:rPr>
              <w:t>Se modifica en la Tabla de Financieras, en el código 10, la denominación de Crediscotia, por la que se indica a continuación:</w:t>
            </w:r>
          </w:p>
          <w:p w14:paraId="40FE11C1" w14:textId="77777777" w:rsidR="008C20EB" w:rsidRDefault="008D25BE">
            <w:pPr>
              <w:pStyle w:val="TableParagraph"/>
              <w:ind w:left="720"/>
              <w:rPr>
                <w:bCs/>
              </w:rPr>
            </w:pPr>
            <w:r>
              <w:rPr>
                <w:bCs/>
              </w:rPr>
              <w:t>Financiera Santander Consumer S.A.</w:t>
            </w:r>
          </w:p>
        </w:tc>
      </w:tr>
      <w:tr w:rsidR="008C20EB" w14:paraId="40FE11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574" w:type="dxa"/>
            <w:tcBorders>
              <w:top w:val="single" w:sz="4" w:space="0" w:color="auto"/>
              <w:left w:val="single" w:sz="4" w:space="0" w:color="auto"/>
              <w:bottom w:val="single" w:sz="4" w:space="0" w:color="auto"/>
              <w:right w:val="single" w:sz="4" w:space="0" w:color="auto"/>
            </w:tcBorders>
          </w:tcPr>
          <w:p w14:paraId="40FE11C3" w14:textId="77777777" w:rsidR="008C20EB" w:rsidRDefault="008D25BE">
            <w:pPr>
              <w:pStyle w:val="TableParagraph"/>
              <w:shd w:val="clear" w:color="auto" w:fill="FFFFFF" w:themeFill="background1"/>
              <w:spacing w:line="234" w:lineRule="exact"/>
              <w:jc w:val="both"/>
              <w:rPr>
                <w:b/>
              </w:rPr>
            </w:pPr>
            <w:r>
              <w:rPr>
                <w:b/>
              </w:rPr>
              <w:t xml:space="preserve">Oficio Múltiple </w:t>
            </w:r>
          </w:p>
          <w:p w14:paraId="40FE11C4" w14:textId="77777777" w:rsidR="008C20EB" w:rsidRDefault="008D25BE">
            <w:pPr>
              <w:pStyle w:val="TableParagraph"/>
              <w:shd w:val="clear" w:color="auto" w:fill="FFFFFF" w:themeFill="background1"/>
              <w:spacing w:line="234" w:lineRule="exact"/>
              <w:jc w:val="both"/>
              <w:rPr>
                <w:b/>
              </w:rPr>
            </w:pPr>
            <w:r>
              <w:rPr>
                <w:b/>
              </w:rPr>
              <w:t>11470 – 2025</w:t>
            </w:r>
          </w:p>
          <w:p w14:paraId="40FE11C5" w14:textId="77777777" w:rsidR="008C20EB" w:rsidRDefault="008C20EB">
            <w:pPr>
              <w:pStyle w:val="TableParagraph"/>
              <w:shd w:val="clear" w:color="auto" w:fill="FFFFFF" w:themeFill="background1"/>
              <w:spacing w:line="234" w:lineRule="exact"/>
              <w:jc w:val="both"/>
              <w:rPr>
                <w:b/>
              </w:rPr>
            </w:pPr>
          </w:p>
          <w:p w14:paraId="40FE11C6" w14:textId="77777777" w:rsidR="008C20EB" w:rsidRDefault="008C20EB">
            <w:pPr>
              <w:pStyle w:val="TableParagraph"/>
              <w:shd w:val="clear" w:color="auto" w:fill="FFFFFF" w:themeFill="background1"/>
              <w:spacing w:line="234" w:lineRule="exact"/>
              <w:jc w:val="both"/>
              <w:rPr>
                <w:b/>
              </w:rPr>
            </w:pPr>
          </w:p>
          <w:p w14:paraId="40FE11C7" w14:textId="77777777" w:rsidR="008C20EB" w:rsidRDefault="008C20EB">
            <w:pPr>
              <w:pStyle w:val="TableParagraph"/>
              <w:shd w:val="clear" w:color="auto" w:fill="FFFFFF" w:themeFill="background1"/>
              <w:spacing w:line="234" w:lineRule="exact"/>
              <w:jc w:val="both"/>
              <w:rPr>
                <w:b/>
              </w:rPr>
            </w:pPr>
          </w:p>
          <w:p w14:paraId="40FE11C8" w14:textId="77777777" w:rsidR="008C20EB" w:rsidRDefault="008C20EB">
            <w:pPr>
              <w:pStyle w:val="TableParagraph"/>
              <w:shd w:val="clear" w:color="auto" w:fill="FFFFFF" w:themeFill="background1"/>
              <w:spacing w:line="234" w:lineRule="exact"/>
              <w:jc w:val="both"/>
              <w:rPr>
                <w:b/>
              </w:rPr>
            </w:pPr>
          </w:p>
          <w:p w14:paraId="40FE11C9" w14:textId="77777777" w:rsidR="008C20EB" w:rsidRDefault="008C20EB">
            <w:pPr>
              <w:pStyle w:val="TableParagraph"/>
              <w:shd w:val="clear" w:color="auto" w:fill="FFFFFF" w:themeFill="background1"/>
              <w:spacing w:line="234" w:lineRule="exact"/>
              <w:jc w:val="both"/>
              <w:rPr>
                <w:b/>
              </w:rPr>
            </w:pPr>
          </w:p>
          <w:p w14:paraId="40FE11CA" w14:textId="77777777" w:rsidR="008C20EB" w:rsidRDefault="008C20EB">
            <w:pPr>
              <w:pStyle w:val="TableParagraph"/>
              <w:shd w:val="clear" w:color="auto" w:fill="FFFFFF" w:themeFill="background1"/>
              <w:spacing w:line="234" w:lineRule="exact"/>
              <w:jc w:val="both"/>
              <w:rPr>
                <w:b/>
              </w:rPr>
            </w:pPr>
          </w:p>
          <w:p w14:paraId="40FE11CB" w14:textId="77777777" w:rsidR="008C20EB" w:rsidRDefault="008C20EB">
            <w:pPr>
              <w:pStyle w:val="TableParagraph"/>
              <w:shd w:val="clear" w:color="auto" w:fill="FFFFFF" w:themeFill="background1"/>
              <w:spacing w:line="234" w:lineRule="exact"/>
              <w:jc w:val="both"/>
              <w:rPr>
                <w:b/>
              </w:rPr>
            </w:pPr>
          </w:p>
          <w:p w14:paraId="40FE11CC" w14:textId="77777777" w:rsidR="008C20EB" w:rsidRDefault="008C20EB">
            <w:pPr>
              <w:pStyle w:val="TableParagraph"/>
              <w:shd w:val="clear" w:color="auto" w:fill="FFFFFF" w:themeFill="background1"/>
              <w:spacing w:line="234" w:lineRule="exact"/>
              <w:jc w:val="both"/>
              <w:rPr>
                <w:b/>
              </w:rPr>
            </w:pPr>
          </w:p>
          <w:p w14:paraId="40FE11CD" w14:textId="77777777" w:rsidR="008C20EB" w:rsidRDefault="008C20EB">
            <w:pPr>
              <w:pStyle w:val="TableParagraph"/>
              <w:shd w:val="clear" w:color="auto" w:fill="FFFFFF" w:themeFill="background1"/>
              <w:spacing w:line="234" w:lineRule="exact"/>
              <w:jc w:val="both"/>
              <w:rPr>
                <w:b/>
              </w:rPr>
            </w:pPr>
          </w:p>
        </w:tc>
        <w:tc>
          <w:tcPr>
            <w:tcW w:w="1560" w:type="dxa"/>
            <w:tcBorders>
              <w:top w:val="single" w:sz="4" w:space="0" w:color="auto"/>
              <w:left w:val="single" w:sz="4" w:space="0" w:color="auto"/>
              <w:bottom w:val="single" w:sz="4" w:space="0" w:color="auto"/>
              <w:right w:val="single" w:sz="4" w:space="0" w:color="auto"/>
            </w:tcBorders>
          </w:tcPr>
          <w:p w14:paraId="40FE11CE" w14:textId="77777777" w:rsidR="008C20EB" w:rsidRDefault="008D25BE">
            <w:pPr>
              <w:pStyle w:val="TableParagraph"/>
              <w:shd w:val="clear" w:color="auto" w:fill="FFFFFF" w:themeFill="background1"/>
              <w:spacing w:line="234" w:lineRule="exact"/>
              <w:jc w:val="both"/>
              <w:rPr>
                <w:b/>
              </w:rPr>
            </w:pPr>
            <w:r>
              <w:rPr>
                <w:b/>
              </w:rPr>
              <w:t>Pr.    27.02.2025</w:t>
            </w:r>
          </w:p>
          <w:p w14:paraId="40FE11CF" w14:textId="77777777" w:rsidR="008C20EB" w:rsidRDefault="008C20EB">
            <w:pPr>
              <w:pStyle w:val="TableParagraph"/>
              <w:shd w:val="clear" w:color="auto" w:fill="FFFFFF" w:themeFill="background1"/>
              <w:spacing w:line="234" w:lineRule="exact"/>
              <w:jc w:val="both"/>
              <w:rPr>
                <w:b/>
              </w:rPr>
            </w:pPr>
          </w:p>
          <w:p w14:paraId="40FE11D0" w14:textId="77777777" w:rsidR="008C20EB" w:rsidRDefault="008C20EB">
            <w:pPr>
              <w:pStyle w:val="TableParagraph"/>
              <w:shd w:val="clear" w:color="auto" w:fill="FFFFFF" w:themeFill="background1"/>
              <w:spacing w:line="234" w:lineRule="exact"/>
              <w:jc w:val="both"/>
              <w:rPr>
                <w:b/>
              </w:rPr>
            </w:pPr>
          </w:p>
          <w:p w14:paraId="40FE11D1" w14:textId="77777777" w:rsidR="008C20EB" w:rsidRDefault="008C20EB">
            <w:pPr>
              <w:pStyle w:val="TableParagraph"/>
              <w:shd w:val="clear" w:color="auto" w:fill="FFFFFF" w:themeFill="background1"/>
              <w:spacing w:line="234" w:lineRule="exact"/>
              <w:jc w:val="both"/>
              <w:rPr>
                <w:b/>
              </w:rPr>
            </w:pPr>
          </w:p>
          <w:p w14:paraId="40FE11D2" w14:textId="77777777" w:rsidR="008C20EB" w:rsidRDefault="008C20EB">
            <w:pPr>
              <w:pStyle w:val="TableParagraph"/>
              <w:shd w:val="clear" w:color="auto" w:fill="FFFFFF" w:themeFill="background1"/>
              <w:spacing w:line="234" w:lineRule="exact"/>
              <w:jc w:val="both"/>
              <w:rPr>
                <w:b/>
              </w:rPr>
            </w:pPr>
          </w:p>
          <w:p w14:paraId="40FE11D3" w14:textId="77777777" w:rsidR="008C20EB" w:rsidRDefault="008C20EB">
            <w:pPr>
              <w:pStyle w:val="TableParagraph"/>
              <w:shd w:val="clear" w:color="auto" w:fill="FFFFFF" w:themeFill="background1"/>
              <w:spacing w:line="234" w:lineRule="exact"/>
              <w:jc w:val="both"/>
              <w:rPr>
                <w:b/>
              </w:rPr>
            </w:pPr>
          </w:p>
          <w:p w14:paraId="40FE11D4" w14:textId="77777777" w:rsidR="008C20EB" w:rsidRDefault="008C20EB">
            <w:pPr>
              <w:pStyle w:val="TableParagraph"/>
              <w:shd w:val="clear" w:color="auto" w:fill="FFFFFF" w:themeFill="background1"/>
              <w:spacing w:line="234" w:lineRule="exact"/>
              <w:jc w:val="both"/>
              <w:rPr>
                <w:b/>
              </w:rPr>
            </w:pPr>
          </w:p>
          <w:p w14:paraId="40FE11D5" w14:textId="77777777" w:rsidR="008C20EB" w:rsidRDefault="008C20EB">
            <w:pPr>
              <w:pStyle w:val="TableParagraph"/>
              <w:shd w:val="clear" w:color="auto" w:fill="FFFFFF" w:themeFill="background1"/>
              <w:spacing w:line="234" w:lineRule="exact"/>
              <w:jc w:val="both"/>
              <w:rPr>
                <w:b/>
              </w:rPr>
            </w:pPr>
          </w:p>
          <w:p w14:paraId="40FE11D6" w14:textId="77777777" w:rsidR="008C20EB" w:rsidRDefault="008C20EB">
            <w:pPr>
              <w:pStyle w:val="TableParagraph"/>
              <w:shd w:val="clear" w:color="auto" w:fill="FFFFFF" w:themeFill="background1"/>
              <w:spacing w:line="234" w:lineRule="exact"/>
              <w:jc w:val="both"/>
              <w:rPr>
                <w:b/>
              </w:rPr>
            </w:pPr>
          </w:p>
          <w:p w14:paraId="40FE11D7" w14:textId="77777777" w:rsidR="008C20EB" w:rsidRDefault="008C20EB">
            <w:pPr>
              <w:pStyle w:val="TableParagraph"/>
              <w:shd w:val="clear" w:color="auto" w:fill="FFFFFF" w:themeFill="background1"/>
              <w:spacing w:line="234" w:lineRule="exact"/>
              <w:jc w:val="both"/>
              <w:rPr>
                <w:b/>
              </w:rPr>
            </w:pPr>
          </w:p>
          <w:p w14:paraId="40FE11D8" w14:textId="77777777" w:rsidR="008C20EB" w:rsidRDefault="008C20EB">
            <w:pPr>
              <w:pStyle w:val="TableParagraph"/>
              <w:shd w:val="clear" w:color="auto" w:fill="FFFFFF" w:themeFill="background1"/>
              <w:spacing w:line="234" w:lineRule="exact"/>
              <w:jc w:val="both"/>
              <w:rPr>
                <w:b/>
              </w:rPr>
            </w:pPr>
          </w:p>
        </w:tc>
        <w:tc>
          <w:tcPr>
            <w:tcW w:w="3935" w:type="dxa"/>
            <w:tcBorders>
              <w:top w:val="single" w:sz="4" w:space="0" w:color="auto"/>
              <w:left w:val="single" w:sz="4" w:space="0" w:color="auto"/>
              <w:bottom w:val="single" w:sz="4" w:space="0" w:color="auto"/>
              <w:right w:val="single" w:sz="4" w:space="0" w:color="auto"/>
            </w:tcBorders>
          </w:tcPr>
          <w:p w14:paraId="40FE11D9" w14:textId="77777777" w:rsidR="008C20EB" w:rsidRDefault="008D25BE">
            <w:pPr>
              <w:pStyle w:val="TableParagraph"/>
              <w:shd w:val="clear" w:color="auto" w:fill="FFFFFF" w:themeFill="background1"/>
              <w:spacing w:line="234" w:lineRule="exact"/>
              <w:ind w:right="100"/>
              <w:jc w:val="both"/>
              <w:rPr>
                <w:b/>
              </w:rPr>
            </w:pPr>
            <w:r>
              <w:rPr>
                <w:bCs/>
              </w:rPr>
              <w:t>Se modifica el Capítulo I “Disposiciones Generales” del Manual de Contabilidad para las Empresas del Sistema Financiero. Dicha disposición es vigente a partir de la información     correspondiente de febrero 2025</w:t>
            </w:r>
            <w:r>
              <w:rPr>
                <w:b/>
              </w:rPr>
              <w:t>.</w:t>
            </w:r>
          </w:p>
          <w:p w14:paraId="40FE11DA" w14:textId="77777777" w:rsidR="008C20EB" w:rsidRDefault="008C20EB">
            <w:pPr>
              <w:pStyle w:val="TableParagraph"/>
              <w:shd w:val="clear" w:color="auto" w:fill="FFFFFF" w:themeFill="background1"/>
              <w:spacing w:line="234" w:lineRule="exact"/>
              <w:jc w:val="both"/>
              <w:rPr>
                <w:b/>
              </w:rPr>
            </w:pPr>
          </w:p>
          <w:p w14:paraId="40FE11DB" w14:textId="77777777" w:rsidR="008C20EB" w:rsidRDefault="008C20EB">
            <w:pPr>
              <w:pStyle w:val="TableParagraph"/>
              <w:shd w:val="clear" w:color="auto" w:fill="FFFFFF" w:themeFill="background1"/>
              <w:spacing w:line="234" w:lineRule="exact"/>
              <w:jc w:val="both"/>
              <w:rPr>
                <w:b/>
              </w:rPr>
            </w:pPr>
          </w:p>
          <w:p w14:paraId="40FE11DC" w14:textId="77777777" w:rsidR="008C20EB" w:rsidRDefault="008C20EB">
            <w:pPr>
              <w:pStyle w:val="TableParagraph"/>
              <w:shd w:val="clear" w:color="auto" w:fill="FFFFFF" w:themeFill="background1"/>
              <w:spacing w:line="234" w:lineRule="exact"/>
              <w:jc w:val="both"/>
              <w:rPr>
                <w:b/>
              </w:rPr>
            </w:pPr>
          </w:p>
          <w:p w14:paraId="40FE11DD" w14:textId="77777777" w:rsidR="008C20EB" w:rsidRDefault="008C20EB">
            <w:pPr>
              <w:pStyle w:val="TableParagraph"/>
              <w:shd w:val="clear" w:color="auto" w:fill="FFFFFF" w:themeFill="background1"/>
              <w:spacing w:line="234" w:lineRule="exact"/>
              <w:jc w:val="both"/>
              <w:rPr>
                <w:bCs/>
              </w:rPr>
            </w:pPr>
          </w:p>
          <w:p w14:paraId="40FE11DE" w14:textId="77777777" w:rsidR="008C20EB" w:rsidRDefault="008C20EB">
            <w:pPr>
              <w:pStyle w:val="TableParagraph"/>
              <w:shd w:val="clear" w:color="auto" w:fill="FFFFFF" w:themeFill="background1"/>
              <w:spacing w:line="234" w:lineRule="exact"/>
              <w:jc w:val="both"/>
              <w:rPr>
                <w:b/>
              </w:rPr>
            </w:pPr>
          </w:p>
          <w:p w14:paraId="40FE11DF" w14:textId="77777777" w:rsidR="008C20EB" w:rsidRDefault="008C20EB">
            <w:pPr>
              <w:pStyle w:val="TableParagraph"/>
              <w:shd w:val="clear" w:color="auto" w:fill="FFFFFF" w:themeFill="background1"/>
              <w:spacing w:line="234" w:lineRule="exact"/>
              <w:jc w:val="both"/>
              <w:rPr>
                <w:b/>
              </w:rPr>
            </w:pPr>
          </w:p>
        </w:tc>
        <w:tc>
          <w:tcPr>
            <w:tcW w:w="8162" w:type="dxa"/>
            <w:tcBorders>
              <w:top w:val="single" w:sz="4" w:space="0" w:color="auto"/>
              <w:left w:val="single" w:sz="4" w:space="0" w:color="auto"/>
              <w:bottom w:val="single" w:sz="4" w:space="0" w:color="auto"/>
              <w:right w:val="single" w:sz="4" w:space="0" w:color="auto"/>
            </w:tcBorders>
          </w:tcPr>
          <w:p w14:paraId="40FE11E0" w14:textId="77777777" w:rsidR="008C20EB" w:rsidRDefault="008D25BE">
            <w:pPr>
              <w:pStyle w:val="TableParagraph"/>
              <w:shd w:val="clear" w:color="auto" w:fill="FFFFFF" w:themeFill="background1"/>
              <w:spacing w:line="234" w:lineRule="exact"/>
              <w:ind w:right="180"/>
              <w:jc w:val="both"/>
              <w:rPr>
                <w:bCs/>
              </w:rPr>
            </w:pPr>
            <w:r>
              <w:rPr>
                <w:bCs/>
              </w:rPr>
              <w:t>Se elimina e incorpora el código y denominación de la Tabla de Empresas, señalada en el acápite J del Capítulo I “Disposiciones Generales” del Manual de Contabilidad para las Empresas del Sistema Financiero, conforme a lo siguiente:</w:t>
            </w:r>
          </w:p>
          <w:p w14:paraId="40FE11E1" w14:textId="77777777" w:rsidR="008C20EB" w:rsidRDefault="008C20EB">
            <w:pPr>
              <w:pStyle w:val="TableParagraph"/>
              <w:shd w:val="clear" w:color="auto" w:fill="FFFFFF" w:themeFill="background1"/>
              <w:spacing w:line="234" w:lineRule="exact"/>
              <w:ind w:right="180"/>
              <w:jc w:val="both"/>
              <w:rPr>
                <w:bCs/>
              </w:rPr>
            </w:pPr>
          </w:p>
          <w:p w14:paraId="40FE11E2" w14:textId="77777777" w:rsidR="008C20EB" w:rsidRDefault="008D25BE">
            <w:pPr>
              <w:pStyle w:val="TableParagraph"/>
              <w:numPr>
                <w:ilvl w:val="0"/>
                <w:numId w:val="9"/>
              </w:numPr>
              <w:shd w:val="clear" w:color="auto" w:fill="FFFFFF" w:themeFill="background1"/>
              <w:spacing w:line="234" w:lineRule="exact"/>
              <w:ind w:right="180"/>
              <w:jc w:val="both"/>
              <w:rPr>
                <w:bCs/>
              </w:rPr>
            </w:pPr>
            <w:r>
              <w:rPr>
                <w:bCs/>
              </w:rPr>
              <w:t>Se elimina en la Tabla de Financieras, el código y denominación que se indican a continuación:</w:t>
            </w:r>
          </w:p>
          <w:p w14:paraId="40FE11E3" w14:textId="77777777" w:rsidR="008C20EB" w:rsidRDefault="008D25BE">
            <w:pPr>
              <w:pStyle w:val="TableParagraph"/>
              <w:shd w:val="clear" w:color="auto" w:fill="FFFFFF" w:themeFill="background1"/>
              <w:spacing w:line="234" w:lineRule="exact"/>
              <w:ind w:left="738" w:right="180"/>
              <w:jc w:val="both"/>
              <w:rPr>
                <w:bCs/>
              </w:rPr>
            </w:pPr>
            <w:r>
              <w:rPr>
                <w:bCs/>
              </w:rPr>
              <w:t>Código: 11 Compartamos Financiera</w:t>
            </w:r>
          </w:p>
          <w:p w14:paraId="40FE11E4" w14:textId="77777777" w:rsidR="008C20EB" w:rsidRDefault="008D25BE">
            <w:pPr>
              <w:pStyle w:val="TableParagraph"/>
              <w:numPr>
                <w:ilvl w:val="0"/>
                <w:numId w:val="9"/>
              </w:numPr>
              <w:shd w:val="clear" w:color="auto" w:fill="FFFFFF" w:themeFill="background1"/>
              <w:spacing w:line="234" w:lineRule="exact"/>
              <w:ind w:right="180"/>
              <w:jc w:val="both"/>
              <w:rPr>
                <w:bCs/>
              </w:rPr>
            </w:pPr>
            <w:r>
              <w:rPr>
                <w:bCs/>
              </w:rPr>
              <w:t>Incorporar en la Tabla de Bancos, el código y denominación que se indica a continuación:</w:t>
            </w:r>
          </w:p>
          <w:p w14:paraId="40FE11E5" w14:textId="77777777" w:rsidR="008C20EB" w:rsidRDefault="008D25BE">
            <w:pPr>
              <w:pStyle w:val="TableParagraph"/>
              <w:shd w:val="clear" w:color="auto" w:fill="FFFFFF" w:themeFill="background1"/>
              <w:spacing w:line="234" w:lineRule="exact"/>
              <w:ind w:left="360" w:right="180" w:firstLine="378"/>
              <w:jc w:val="both"/>
              <w:rPr>
                <w:bCs/>
              </w:rPr>
            </w:pPr>
            <w:r>
              <w:rPr>
                <w:bCs/>
              </w:rPr>
              <w:t>Código: 42 Compartamos Banco</w:t>
            </w:r>
          </w:p>
          <w:p w14:paraId="40FE11E6" w14:textId="77777777" w:rsidR="008C20EB" w:rsidRDefault="008C20EB">
            <w:pPr>
              <w:pStyle w:val="TableParagraph"/>
              <w:shd w:val="clear" w:color="auto" w:fill="FFFFFF" w:themeFill="background1"/>
              <w:spacing w:line="234" w:lineRule="exact"/>
              <w:ind w:right="180"/>
              <w:jc w:val="both"/>
              <w:rPr>
                <w:b/>
              </w:rPr>
            </w:pPr>
          </w:p>
        </w:tc>
      </w:tr>
      <w:tr w:rsidR="008C20EB" w14:paraId="40FE123E" w14:textId="77777777">
        <w:trPr>
          <w:trHeight w:val="253"/>
        </w:trPr>
        <w:tc>
          <w:tcPr>
            <w:tcW w:w="1574" w:type="dxa"/>
            <w:tcBorders>
              <w:top w:val="single" w:sz="4" w:space="0" w:color="auto"/>
              <w:bottom w:val="single" w:sz="4" w:space="0" w:color="auto"/>
            </w:tcBorders>
            <w:vAlign w:val="bottom"/>
          </w:tcPr>
          <w:p w14:paraId="40FE11E8" w14:textId="77777777" w:rsidR="008C20EB" w:rsidRDefault="008D25BE">
            <w:pPr>
              <w:pStyle w:val="TableParagraph"/>
              <w:shd w:val="clear" w:color="auto" w:fill="FFFFFF" w:themeFill="background1"/>
              <w:spacing w:line="234" w:lineRule="exact"/>
              <w:jc w:val="both"/>
              <w:rPr>
                <w:b/>
                <w:sz w:val="20"/>
                <w:szCs w:val="20"/>
              </w:rPr>
            </w:pPr>
            <w:r>
              <w:rPr>
                <w:b/>
                <w:sz w:val="20"/>
                <w:szCs w:val="20"/>
              </w:rPr>
              <w:t>Resolución    SBS</w:t>
            </w:r>
          </w:p>
          <w:p w14:paraId="40FE11E9" w14:textId="77777777" w:rsidR="008C20EB" w:rsidRDefault="008D25BE">
            <w:pPr>
              <w:pStyle w:val="TableParagraph"/>
              <w:shd w:val="clear" w:color="auto" w:fill="FFFFFF" w:themeFill="background1"/>
              <w:spacing w:line="234" w:lineRule="exact"/>
              <w:jc w:val="both"/>
              <w:rPr>
                <w:b/>
                <w:sz w:val="20"/>
                <w:szCs w:val="20"/>
              </w:rPr>
            </w:pPr>
            <w:r>
              <w:rPr>
                <w:b/>
                <w:sz w:val="20"/>
                <w:szCs w:val="20"/>
              </w:rPr>
              <w:lastRenderedPageBreak/>
              <w:t>N° 00774-2025</w:t>
            </w:r>
          </w:p>
          <w:p w14:paraId="40FE11EA" w14:textId="77777777" w:rsidR="008C20EB" w:rsidRDefault="008C20EB">
            <w:pPr>
              <w:pStyle w:val="TableParagraph"/>
              <w:shd w:val="clear" w:color="auto" w:fill="FFFFFF" w:themeFill="background1"/>
              <w:spacing w:line="234" w:lineRule="exact"/>
              <w:jc w:val="both"/>
              <w:rPr>
                <w:b/>
                <w:sz w:val="20"/>
                <w:szCs w:val="20"/>
              </w:rPr>
            </w:pPr>
          </w:p>
          <w:p w14:paraId="40FE11EB" w14:textId="77777777" w:rsidR="008C20EB" w:rsidRDefault="008C20EB">
            <w:pPr>
              <w:pStyle w:val="TableParagraph"/>
              <w:shd w:val="clear" w:color="auto" w:fill="FFFFFF" w:themeFill="background1"/>
              <w:spacing w:line="234" w:lineRule="exact"/>
              <w:jc w:val="both"/>
              <w:rPr>
                <w:b/>
                <w:sz w:val="20"/>
                <w:szCs w:val="20"/>
              </w:rPr>
            </w:pPr>
          </w:p>
          <w:p w14:paraId="40FE11EC" w14:textId="77777777" w:rsidR="008C20EB" w:rsidRDefault="008C20EB">
            <w:pPr>
              <w:pStyle w:val="TableParagraph"/>
              <w:shd w:val="clear" w:color="auto" w:fill="FFFFFF" w:themeFill="background1"/>
              <w:spacing w:line="234" w:lineRule="exact"/>
              <w:jc w:val="both"/>
              <w:rPr>
                <w:b/>
                <w:sz w:val="20"/>
                <w:szCs w:val="20"/>
              </w:rPr>
            </w:pPr>
          </w:p>
          <w:p w14:paraId="40FE11ED" w14:textId="77777777" w:rsidR="008C20EB" w:rsidRDefault="008C20EB">
            <w:pPr>
              <w:pStyle w:val="TableParagraph"/>
              <w:shd w:val="clear" w:color="auto" w:fill="FFFFFF" w:themeFill="background1"/>
              <w:spacing w:line="234" w:lineRule="exact"/>
              <w:jc w:val="both"/>
              <w:rPr>
                <w:b/>
                <w:sz w:val="20"/>
                <w:szCs w:val="20"/>
              </w:rPr>
            </w:pPr>
          </w:p>
          <w:p w14:paraId="40FE11EE" w14:textId="77777777" w:rsidR="008C20EB" w:rsidRDefault="008C20EB">
            <w:pPr>
              <w:pStyle w:val="TableParagraph"/>
              <w:shd w:val="clear" w:color="auto" w:fill="FFFFFF" w:themeFill="background1"/>
              <w:spacing w:line="234" w:lineRule="exact"/>
              <w:jc w:val="both"/>
              <w:rPr>
                <w:b/>
                <w:sz w:val="20"/>
                <w:szCs w:val="20"/>
              </w:rPr>
            </w:pPr>
          </w:p>
          <w:p w14:paraId="40FE11EF" w14:textId="77777777" w:rsidR="008C20EB" w:rsidRDefault="008C20EB">
            <w:pPr>
              <w:pStyle w:val="TableParagraph"/>
              <w:shd w:val="clear" w:color="auto" w:fill="FFFFFF" w:themeFill="background1"/>
              <w:spacing w:line="234" w:lineRule="exact"/>
              <w:jc w:val="both"/>
              <w:rPr>
                <w:b/>
                <w:sz w:val="20"/>
                <w:szCs w:val="20"/>
              </w:rPr>
            </w:pPr>
          </w:p>
          <w:p w14:paraId="40FE11F0" w14:textId="77777777" w:rsidR="008C20EB" w:rsidRDefault="008C20EB">
            <w:pPr>
              <w:pStyle w:val="TableParagraph"/>
              <w:shd w:val="clear" w:color="auto" w:fill="FFFFFF" w:themeFill="background1"/>
              <w:spacing w:line="234" w:lineRule="exact"/>
              <w:jc w:val="both"/>
              <w:rPr>
                <w:b/>
                <w:sz w:val="20"/>
                <w:szCs w:val="20"/>
              </w:rPr>
            </w:pPr>
          </w:p>
          <w:p w14:paraId="40FE11F1" w14:textId="77777777" w:rsidR="008C20EB" w:rsidRDefault="008C20EB">
            <w:pPr>
              <w:pStyle w:val="TableParagraph"/>
              <w:shd w:val="clear" w:color="auto" w:fill="FFFFFF" w:themeFill="background1"/>
              <w:spacing w:line="234" w:lineRule="exact"/>
              <w:jc w:val="both"/>
              <w:rPr>
                <w:b/>
                <w:sz w:val="20"/>
                <w:szCs w:val="20"/>
              </w:rPr>
            </w:pPr>
          </w:p>
          <w:p w14:paraId="40FE11F2" w14:textId="77777777" w:rsidR="008C20EB" w:rsidRDefault="008C20EB">
            <w:pPr>
              <w:pStyle w:val="TableParagraph"/>
              <w:shd w:val="clear" w:color="auto" w:fill="FFFFFF" w:themeFill="background1"/>
              <w:spacing w:line="234" w:lineRule="exact"/>
              <w:jc w:val="both"/>
              <w:rPr>
                <w:b/>
                <w:sz w:val="20"/>
                <w:szCs w:val="20"/>
              </w:rPr>
            </w:pPr>
          </w:p>
          <w:p w14:paraId="40FE11F3" w14:textId="77777777" w:rsidR="008C20EB" w:rsidRDefault="008C20EB">
            <w:pPr>
              <w:pStyle w:val="TableParagraph"/>
              <w:shd w:val="clear" w:color="auto" w:fill="FFFFFF" w:themeFill="background1"/>
              <w:spacing w:line="234" w:lineRule="exact"/>
              <w:jc w:val="both"/>
              <w:rPr>
                <w:b/>
                <w:sz w:val="20"/>
                <w:szCs w:val="20"/>
              </w:rPr>
            </w:pPr>
          </w:p>
          <w:p w14:paraId="40FE11F4" w14:textId="77777777" w:rsidR="008C20EB" w:rsidRDefault="008C20EB">
            <w:pPr>
              <w:pStyle w:val="TableParagraph"/>
              <w:shd w:val="clear" w:color="auto" w:fill="FFFFFF" w:themeFill="background1"/>
              <w:spacing w:line="234" w:lineRule="exact"/>
              <w:jc w:val="both"/>
              <w:rPr>
                <w:b/>
                <w:sz w:val="20"/>
                <w:szCs w:val="20"/>
              </w:rPr>
            </w:pPr>
          </w:p>
          <w:p w14:paraId="40FE11F5" w14:textId="77777777" w:rsidR="008C20EB" w:rsidRDefault="008C20EB">
            <w:pPr>
              <w:pStyle w:val="TableParagraph"/>
              <w:shd w:val="clear" w:color="auto" w:fill="FFFFFF" w:themeFill="background1"/>
              <w:spacing w:line="234" w:lineRule="exact"/>
              <w:jc w:val="both"/>
              <w:rPr>
                <w:b/>
                <w:sz w:val="20"/>
                <w:szCs w:val="20"/>
              </w:rPr>
            </w:pPr>
          </w:p>
          <w:p w14:paraId="40FE11F6" w14:textId="77777777" w:rsidR="008C20EB" w:rsidRDefault="008C20EB">
            <w:pPr>
              <w:pStyle w:val="TableParagraph"/>
              <w:shd w:val="clear" w:color="auto" w:fill="FFFFFF" w:themeFill="background1"/>
              <w:spacing w:line="234" w:lineRule="exact"/>
              <w:jc w:val="both"/>
              <w:rPr>
                <w:b/>
                <w:sz w:val="20"/>
                <w:szCs w:val="20"/>
              </w:rPr>
            </w:pPr>
          </w:p>
          <w:p w14:paraId="40FE11F7" w14:textId="77777777" w:rsidR="008C20EB" w:rsidRDefault="008C20EB">
            <w:pPr>
              <w:pStyle w:val="TableParagraph"/>
              <w:shd w:val="clear" w:color="auto" w:fill="FFFFFF" w:themeFill="background1"/>
              <w:spacing w:line="234" w:lineRule="exact"/>
              <w:jc w:val="both"/>
              <w:rPr>
                <w:b/>
                <w:sz w:val="20"/>
                <w:szCs w:val="20"/>
              </w:rPr>
            </w:pPr>
          </w:p>
          <w:p w14:paraId="40FE11F8" w14:textId="77777777" w:rsidR="008C20EB" w:rsidRDefault="008C20EB">
            <w:pPr>
              <w:pStyle w:val="TableParagraph"/>
              <w:shd w:val="clear" w:color="auto" w:fill="FFFFFF" w:themeFill="background1"/>
              <w:spacing w:line="234" w:lineRule="exact"/>
              <w:jc w:val="both"/>
              <w:rPr>
                <w:b/>
                <w:sz w:val="20"/>
                <w:szCs w:val="20"/>
              </w:rPr>
            </w:pPr>
          </w:p>
          <w:p w14:paraId="40FE11F9" w14:textId="77777777" w:rsidR="008C20EB" w:rsidRDefault="008C20EB">
            <w:pPr>
              <w:pStyle w:val="TableParagraph"/>
              <w:shd w:val="clear" w:color="auto" w:fill="FFFFFF" w:themeFill="background1"/>
              <w:spacing w:line="234" w:lineRule="exact"/>
              <w:jc w:val="both"/>
              <w:rPr>
                <w:b/>
                <w:sz w:val="20"/>
                <w:szCs w:val="20"/>
              </w:rPr>
            </w:pPr>
          </w:p>
          <w:p w14:paraId="40FE11FA" w14:textId="77777777" w:rsidR="008C20EB" w:rsidRDefault="008C20EB">
            <w:pPr>
              <w:pStyle w:val="TableParagraph"/>
              <w:shd w:val="clear" w:color="auto" w:fill="FFFFFF" w:themeFill="background1"/>
              <w:spacing w:line="234" w:lineRule="exact"/>
              <w:jc w:val="both"/>
              <w:rPr>
                <w:b/>
                <w:sz w:val="20"/>
                <w:szCs w:val="20"/>
              </w:rPr>
            </w:pPr>
          </w:p>
          <w:p w14:paraId="40FE11FB" w14:textId="77777777" w:rsidR="008C20EB" w:rsidRDefault="008C20EB">
            <w:pPr>
              <w:pStyle w:val="TableParagraph"/>
              <w:shd w:val="clear" w:color="auto" w:fill="FFFFFF" w:themeFill="background1"/>
              <w:spacing w:line="234" w:lineRule="exact"/>
              <w:jc w:val="both"/>
              <w:rPr>
                <w:b/>
                <w:sz w:val="20"/>
                <w:szCs w:val="20"/>
              </w:rPr>
            </w:pPr>
          </w:p>
          <w:p w14:paraId="40FE11FC" w14:textId="77777777" w:rsidR="008C20EB" w:rsidRDefault="008C20EB">
            <w:pPr>
              <w:pStyle w:val="TableParagraph"/>
              <w:shd w:val="clear" w:color="auto" w:fill="FFFFFF" w:themeFill="background1"/>
              <w:spacing w:line="234" w:lineRule="exact"/>
              <w:jc w:val="both"/>
              <w:rPr>
                <w:b/>
                <w:sz w:val="20"/>
                <w:szCs w:val="20"/>
              </w:rPr>
            </w:pPr>
          </w:p>
          <w:p w14:paraId="40FE11FD" w14:textId="77777777" w:rsidR="008C20EB" w:rsidRDefault="008C20EB">
            <w:pPr>
              <w:pStyle w:val="TableParagraph"/>
              <w:shd w:val="clear" w:color="auto" w:fill="FFFFFF" w:themeFill="background1"/>
              <w:spacing w:line="234" w:lineRule="exact"/>
              <w:jc w:val="both"/>
              <w:rPr>
                <w:b/>
                <w:sz w:val="20"/>
                <w:szCs w:val="20"/>
              </w:rPr>
            </w:pPr>
          </w:p>
          <w:p w14:paraId="40FE11FE" w14:textId="77777777" w:rsidR="008C20EB" w:rsidRDefault="008C20EB">
            <w:pPr>
              <w:pStyle w:val="TableParagraph"/>
              <w:shd w:val="clear" w:color="auto" w:fill="FFFFFF" w:themeFill="background1"/>
              <w:spacing w:line="234" w:lineRule="exact"/>
              <w:jc w:val="both"/>
              <w:rPr>
                <w:b/>
                <w:sz w:val="20"/>
                <w:szCs w:val="20"/>
              </w:rPr>
            </w:pPr>
          </w:p>
          <w:p w14:paraId="40FE11FF" w14:textId="77777777" w:rsidR="008C20EB" w:rsidRDefault="008C20EB">
            <w:pPr>
              <w:pStyle w:val="TableParagraph"/>
              <w:shd w:val="clear" w:color="auto" w:fill="FFFFFF" w:themeFill="background1"/>
              <w:spacing w:line="234" w:lineRule="exact"/>
              <w:jc w:val="both"/>
              <w:rPr>
                <w:b/>
                <w:sz w:val="20"/>
                <w:szCs w:val="20"/>
              </w:rPr>
            </w:pPr>
          </w:p>
          <w:p w14:paraId="40FE1200" w14:textId="77777777" w:rsidR="008C20EB" w:rsidRDefault="008C20EB">
            <w:pPr>
              <w:pStyle w:val="TableParagraph"/>
              <w:shd w:val="clear" w:color="auto" w:fill="FFFFFF" w:themeFill="background1"/>
              <w:spacing w:line="234" w:lineRule="exact"/>
              <w:jc w:val="both"/>
              <w:rPr>
                <w:b/>
                <w:sz w:val="20"/>
                <w:szCs w:val="20"/>
              </w:rPr>
            </w:pPr>
          </w:p>
        </w:tc>
        <w:tc>
          <w:tcPr>
            <w:tcW w:w="1560" w:type="dxa"/>
            <w:tcBorders>
              <w:top w:val="single" w:sz="4" w:space="0" w:color="auto"/>
              <w:bottom w:val="single" w:sz="4" w:space="0" w:color="auto"/>
            </w:tcBorders>
            <w:vAlign w:val="bottom"/>
          </w:tcPr>
          <w:p w14:paraId="40FE1201" w14:textId="77777777" w:rsidR="008C20EB" w:rsidRDefault="008D25BE">
            <w:pPr>
              <w:pStyle w:val="TableParagraph"/>
              <w:shd w:val="clear" w:color="auto" w:fill="FFFFFF" w:themeFill="background1"/>
              <w:spacing w:line="234" w:lineRule="exact"/>
              <w:jc w:val="both"/>
              <w:rPr>
                <w:b/>
                <w:sz w:val="20"/>
                <w:szCs w:val="20"/>
              </w:rPr>
            </w:pPr>
            <w:r>
              <w:rPr>
                <w:b/>
                <w:sz w:val="20"/>
                <w:szCs w:val="20"/>
              </w:rPr>
              <w:lastRenderedPageBreak/>
              <w:t xml:space="preserve">Pr.    27.02.2025      </w:t>
            </w:r>
            <w:r>
              <w:rPr>
                <w:b/>
                <w:sz w:val="20"/>
                <w:szCs w:val="20"/>
              </w:rPr>
              <w:lastRenderedPageBreak/>
              <w:t>/Pub.   03.03.2025</w:t>
            </w:r>
          </w:p>
          <w:p w14:paraId="40FE1202" w14:textId="77777777" w:rsidR="008C20EB" w:rsidRDefault="008C20EB">
            <w:pPr>
              <w:pStyle w:val="TableParagraph"/>
              <w:shd w:val="clear" w:color="auto" w:fill="FFFFFF" w:themeFill="background1"/>
              <w:spacing w:line="234" w:lineRule="exact"/>
              <w:jc w:val="both"/>
              <w:rPr>
                <w:b/>
                <w:sz w:val="20"/>
                <w:szCs w:val="20"/>
              </w:rPr>
            </w:pPr>
          </w:p>
          <w:p w14:paraId="40FE1203" w14:textId="77777777" w:rsidR="008C20EB" w:rsidRDefault="008C20EB">
            <w:pPr>
              <w:pStyle w:val="TableParagraph"/>
              <w:shd w:val="clear" w:color="auto" w:fill="FFFFFF" w:themeFill="background1"/>
              <w:spacing w:line="234" w:lineRule="exact"/>
              <w:jc w:val="both"/>
              <w:rPr>
                <w:b/>
                <w:sz w:val="20"/>
                <w:szCs w:val="20"/>
              </w:rPr>
            </w:pPr>
          </w:p>
          <w:p w14:paraId="40FE1204" w14:textId="77777777" w:rsidR="008C20EB" w:rsidRDefault="008C20EB">
            <w:pPr>
              <w:pStyle w:val="TableParagraph"/>
              <w:shd w:val="clear" w:color="auto" w:fill="FFFFFF" w:themeFill="background1"/>
              <w:spacing w:line="234" w:lineRule="exact"/>
              <w:jc w:val="both"/>
              <w:rPr>
                <w:b/>
                <w:sz w:val="20"/>
                <w:szCs w:val="20"/>
              </w:rPr>
            </w:pPr>
          </w:p>
          <w:p w14:paraId="40FE1205" w14:textId="77777777" w:rsidR="008C20EB" w:rsidRDefault="008C20EB">
            <w:pPr>
              <w:pStyle w:val="TableParagraph"/>
              <w:shd w:val="clear" w:color="auto" w:fill="FFFFFF" w:themeFill="background1"/>
              <w:spacing w:line="234" w:lineRule="exact"/>
              <w:jc w:val="both"/>
              <w:rPr>
                <w:b/>
                <w:sz w:val="20"/>
                <w:szCs w:val="20"/>
              </w:rPr>
            </w:pPr>
          </w:p>
          <w:p w14:paraId="40FE1206" w14:textId="77777777" w:rsidR="008C20EB" w:rsidRDefault="008C20EB">
            <w:pPr>
              <w:pStyle w:val="TableParagraph"/>
              <w:shd w:val="clear" w:color="auto" w:fill="FFFFFF" w:themeFill="background1"/>
              <w:spacing w:line="234" w:lineRule="exact"/>
              <w:jc w:val="both"/>
              <w:rPr>
                <w:b/>
                <w:sz w:val="20"/>
                <w:szCs w:val="20"/>
              </w:rPr>
            </w:pPr>
          </w:p>
          <w:p w14:paraId="40FE1207" w14:textId="77777777" w:rsidR="008C20EB" w:rsidRDefault="008C20EB">
            <w:pPr>
              <w:pStyle w:val="TableParagraph"/>
              <w:shd w:val="clear" w:color="auto" w:fill="FFFFFF" w:themeFill="background1"/>
              <w:spacing w:line="234" w:lineRule="exact"/>
              <w:jc w:val="both"/>
              <w:rPr>
                <w:b/>
                <w:sz w:val="20"/>
                <w:szCs w:val="20"/>
              </w:rPr>
            </w:pPr>
          </w:p>
          <w:p w14:paraId="40FE1208" w14:textId="77777777" w:rsidR="008C20EB" w:rsidRDefault="008C20EB">
            <w:pPr>
              <w:pStyle w:val="TableParagraph"/>
              <w:shd w:val="clear" w:color="auto" w:fill="FFFFFF" w:themeFill="background1"/>
              <w:spacing w:line="234" w:lineRule="exact"/>
              <w:jc w:val="both"/>
              <w:rPr>
                <w:b/>
                <w:sz w:val="20"/>
                <w:szCs w:val="20"/>
              </w:rPr>
            </w:pPr>
          </w:p>
          <w:p w14:paraId="40FE1209" w14:textId="77777777" w:rsidR="008C20EB" w:rsidRDefault="008C20EB">
            <w:pPr>
              <w:pStyle w:val="TableParagraph"/>
              <w:shd w:val="clear" w:color="auto" w:fill="FFFFFF" w:themeFill="background1"/>
              <w:spacing w:line="234" w:lineRule="exact"/>
              <w:jc w:val="both"/>
              <w:rPr>
                <w:b/>
                <w:sz w:val="20"/>
                <w:szCs w:val="20"/>
              </w:rPr>
            </w:pPr>
          </w:p>
          <w:p w14:paraId="40FE120A" w14:textId="77777777" w:rsidR="008C20EB" w:rsidRDefault="008C20EB">
            <w:pPr>
              <w:pStyle w:val="TableParagraph"/>
              <w:shd w:val="clear" w:color="auto" w:fill="FFFFFF" w:themeFill="background1"/>
              <w:spacing w:line="234" w:lineRule="exact"/>
              <w:jc w:val="both"/>
              <w:rPr>
                <w:b/>
                <w:sz w:val="20"/>
                <w:szCs w:val="20"/>
              </w:rPr>
            </w:pPr>
          </w:p>
          <w:p w14:paraId="40FE120B" w14:textId="77777777" w:rsidR="008C20EB" w:rsidRDefault="008C20EB">
            <w:pPr>
              <w:pStyle w:val="TableParagraph"/>
              <w:shd w:val="clear" w:color="auto" w:fill="FFFFFF" w:themeFill="background1"/>
              <w:spacing w:line="234" w:lineRule="exact"/>
              <w:jc w:val="both"/>
              <w:rPr>
                <w:b/>
                <w:sz w:val="20"/>
                <w:szCs w:val="20"/>
              </w:rPr>
            </w:pPr>
          </w:p>
          <w:p w14:paraId="40FE120C" w14:textId="77777777" w:rsidR="008C20EB" w:rsidRDefault="008C20EB">
            <w:pPr>
              <w:pStyle w:val="TableParagraph"/>
              <w:shd w:val="clear" w:color="auto" w:fill="FFFFFF" w:themeFill="background1"/>
              <w:spacing w:line="234" w:lineRule="exact"/>
              <w:jc w:val="both"/>
              <w:rPr>
                <w:b/>
                <w:sz w:val="20"/>
                <w:szCs w:val="20"/>
              </w:rPr>
            </w:pPr>
          </w:p>
          <w:p w14:paraId="40FE120D" w14:textId="77777777" w:rsidR="008C20EB" w:rsidRDefault="008C20EB">
            <w:pPr>
              <w:pStyle w:val="TableParagraph"/>
              <w:shd w:val="clear" w:color="auto" w:fill="FFFFFF" w:themeFill="background1"/>
              <w:spacing w:line="234" w:lineRule="exact"/>
              <w:jc w:val="both"/>
              <w:rPr>
                <w:b/>
                <w:sz w:val="20"/>
                <w:szCs w:val="20"/>
              </w:rPr>
            </w:pPr>
          </w:p>
          <w:p w14:paraId="40FE120E" w14:textId="77777777" w:rsidR="008C20EB" w:rsidRDefault="008C20EB">
            <w:pPr>
              <w:pStyle w:val="TableParagraph"/>
              <w:shd w:val="clear" w:color="auto" w:fill="FFFFFF" w:themeFill="background1"/>
              <w:spacing w:line="234" w:lineRule="exact"/>
              <w:jc w:val="both"/>
              <w:rPr>
                <w:b/>
                <w:sz w:val="20"/>
                <w:szCs w:val="20"/>
              </w:rPr>
            </w:pPr>
          </w:p>
          <w:p w14:paraId="40FE120F" w14:textId="77777777" w:rsidR="008C20EB" w:rsidRDefault="008C20EB">
            <w:pPr>
              <w:pStyle w:val="TableParagraph"/>
              <w:shd w:val="clear" w:color="auto" w:fill="FFFFFF" w:themeFill="background1"/>
              <w:spacing w:line="234" w:lineRule="exact"/>
              <w:jc w:val="both"/>
              <w:rPr>
                <w:b/>
                <w:sz w:val="20"/>
                <w:szCs w:val="20"/>
              </w:rPr>
            </w:pPr>
          </w:p>
          <w:p w14:paraId="40FE1210" w14:textId="77777777" w:rsidR="008C20EB" w:rsidRDefault="008C20EB">
            <w:pPr>
              <w:pStyle w:val="TableParagraph"/>
              <w:shd w:val="clear" w:color="auto" w:fill="FFFFFF" w:themeFill="background1"/>
              <w:spacing w:line="234" w:lineRule="exact"/>
              <w:jc w:val="both"/>
              <w:rPr>
                <w:b/>
                <w:sz w:val="20"/>
                <w:szCs w:val="20"/>
              </w:rPr>
            </w:pPr>
          </w:p>
          <w:p w14:paraId="40FE1211" w14:textId="77777777" w:rsidR="008C20EB" w:rsidRDefault="008C20EB">
            <w:pPr>
              <w:pStyle w:val="TableParagraph"/>
              <w:shd w:val="clear" w:color="auto" w:fill="FFFFFF" w:themeFill="background1"/>
              <w:spacing w:line="234" w:lineRule="exact"/>
              <w:jc w:val="both"/>
              <w:rPr>
                <w:b/>
                <w:sz w:val="20"/>
                <w:szCs w:val="20"/>
              </w:rPr>
            </w:pPr>
          </w:p>
          <w:p w14:paraId="40FE1212" w14:textId="77777777" w:rsidR="008C20EB" w:rsidRDefault="008C20EB">
            <w:pPr>
              <w:pStyle w:val="TableParagraph"/>
              <w:shd w:val="clear" w:color="auto" w:fill="FFFFFF" w:themeFill="background1"/>
              <w:spacing w:line="234" w:lineRule="exact"/>
              <w:jc w:val="both"/>
              <w:rPr>
                <w:b/>
                <w:sz w:val="20"/>
                <w:szCs w:val="20"/>
              </w:rPr>
            </w:pPr>
          </w:p>
          <w:p w14:paraId="40FE1213" w14:textId="77777777" w:rsidR="008C20EB" w:rsidRDefault="008C20EB">
            <w:pPr>
              <w:pStyle w:val="TableParagraph"/>
              <w:shd w:val="clear" w:color="auto" w:fill="FFFFFF" w:themeFill="background1"/>
              <w:spacing w:line="234" w:lineRule="exact"/>
              <w:jc w:val="both"/>
              <w:rPr>
                <w:b/>
                <w:sz w:val="20"/>
                <w:szCs w:val="20"/>
              </w:rPr>
            </w:pPr>
          </w:p>
          <w:p w14:paraId="40FE1214" w14:textId="77777777" w:rsidR="008C20EB" w:rsidRDefault="008C20EB">
            <w:pPr>
              <w:pStyle w:val="TableParagraph"/>
              <w:shd w:val="clear" w:color="auto" w:fill="FFFFFF" w:themeFill="background1"/>
              <w:spacing w:line="234" w:lineRule="exact"/>
              <w:jc w:val="both"/>
              <w:rPr>
                <w:b/>
                <w:sz w:val="20"/>
                <w:szCs w:val="20"/>
              </w:rPr>
            </w:pPr>
          </w:p>
          <w:p w14:paraId="40FE1215" w14:textId="77777777" w:rsidR="008C20EB" w:rsidRDefault="008C20EB">
            <w:pPr>
              <w:pStyle w:val="TableParagraph"/>
              <w:shd w:val="clear" w:color="auto" w:fill="FFFFFF" w:themeFill="background1"/>
              <w:spacing w:line="234" w:lineRule="exact"/>
              <w:jc w:val="both"/>
              <w:rPr>
                <w:b/>
                <w:sz w:val="20"/>
                <w:szCs w:val="20"/>
              </w:rPr>
            </w:pPr>
          </w:p>
          <w:p w14:paraId="40FE1216" w14:textId="77777777" w:rsidR="008C20EB" w:rsidRDefault="008C20EB">
            <w:pPr>
              <w:pStyle w:val="TableParagraph"/>
              <w:shd w:val="clear" w:color="auto" w:fill="FFFFFF" w:themeFill="background1"/>
              <w:spacing w:line="234" w:lineRule="exact"/>
              <w:jc w:val="both"/>
              <w:rPr>
                <w:b/>
                <w:sz w:val="20"/>
                <w:szCs w:val="20"/>
              </w:rPr>
            </w:pPr>
          </w:p>
          <w:p w14:paraId="40FE1217" w14:textId="77777777" w:rsidR="008C20EB" w:rsidRDefault="008C20EB">
            <w:pPr>
              <w:pStyle w:val="TableParagraph"/>
              <w:shd w:val="clear" w:color="auto" w:fill="FFFFFF" w:themeFill="background1"/>
              <w:spacing w:line="234" w:lineRule="exact"/>
              <w:jc w:val="both"/>
              <w:rPr>
                <w:b/>
                <w:sz w:val="20"/>
                <w:szCs w:val="20"/>
              </w:rPr>
            </w:pPr>
          </w:p>
          <w:p w14:paraId="40FE1218" w14:textId="77777777" w:rsidR="008C20EB" w:rsidRDefault="008C20EB">
            <w:pPr>
              <w:pStyle w:val="TableParagraph"/>
              <w:shd w:val="clear" w:color="auto" w:fill="FFFFFF" w:themeFill="background1"/>
              <w:spacing w:line="234" w:lineRule="exact"/>
              <w:jc w:val="both"/>
              <w:rPr>
                <w:b/>
                <w:sz w:val="20"/>
                <w:szCs w:val="20"/>
              </w:rPr>
            </w:pPr>
          </w:p>
        </w:tc>
        <w:tc>
          <w:tcPr>
            <w:tcW w:w="3935" w:type="dxa"/>
            <w:tcBorders>
              <w:top w:val="single" w:sz="4" w:space="0" w:color="auto"/>
              <w:bottom w:val="single" w:sz="4" w:space="0" w:color="auto"/>
            </w:tcBorders>
            <w:vAlign w:val="bottom"/>
          </w:tcPr>
          <w:p w14:paraId="40FE1219" w14:textId="77777777" w:rsidR="008C20EB" w:rsidRDefault="008D25BE">
            <w:pPr>
              <w:pStyle w:val="TableParagraph"/>
              <w:shd w:val="clear" w:color="auto" w:fill="FFFFFF" w:themeFill="background1"/>
              <w:spacing w:line="234" w:lineRule="exact"/>
              <w:jc w:val="both"/>
              <w:rPr>
                <w:bCs/>
                <w:sz w:val="20"/>
                <w:szCs w:val="20"/>
              </w:rPr>
            </w:pPr>
            <w:r>
              <w:rPr>
                <w:bCs/>
                <w:sz w:val="20"/>
                <w:szCs w:val="20"/>
              </w:rPr>
              <w:lastRenderedPageBreak/>
              <w:t xml:space="preserve">Aprueban el nuevo Reglamento de Gestión de Riesgo </w:t>
            </w:r>
            <w:r>
              <w:rPr>
                <w:bCs/>
                <w:sz w:val="20"/>
                <w:szCs w:val="20"/>
              </w:rPr>
              <w:lastRenderedPageBreak/>
              <w:t>Cambiario Crediticio y modifican el Manual de Contabilidad para las empresas del sistema financiero.</w:t>
            </w:r>
          </w:p>
          <w:p w14:paraId="40FE121A" w14:textId="77777777" w:rsidR="008C20EB" w:rsidRDefault="008D25BE">
            <w:pPr>
              <w:pStyle w:val="TableParagraph"/>
              <w:shd w:val="clear" w:color="auto" w:fill="FFFFFF" w:themeFill="background1"/>
              <w:spacing w:line="234" w:lineRule="exact"/>
              <w:jc w:val="both"/>
              <w:rPr>
                <w:bCs/>
                <w:sz w:val="20"/>
                <w:szCs w:val="20"/>
              </w:rPr>
            </w:pPr>
            <w:r>
              <w:rPr>
                <w:bCs/>
                <w:sz w:val="20"/>
                <w:szCs w:val="20"/>
              </w:rPr>
              <w:t>Las modificaciones al Manual de Contabilidad para las empresas del sistema financiero, entra en vigencia para la información correspondiente a enero de 2026.</w:t>
            </w:r>
          </w:p>
          <w:p w14:paraId="40FE121B" w14:textId="77777777" w:rsidR="008C20EB" w:rsidRDefault="008C20EB">
            <w:pPr>
              <w:pStyle w:val="TableParagraph"/>
              <w:shd w:val="clear" w:color="auto" w:fill="FFFFFF" w:themeFill="background1"/>
              <w:spacing w:line="234" w:lineRule="exact"/>
              <w:jc w:val="both"/>
              <w:rPr>
                <w:bCs/>
                <w:sz w:val="20"/>
                <w:szCs w:val="20"/>
              </w:rPr>
            </w:pPr>
          </w:p>
          <w:p w14:paraId="40FE121C" w14:textId="77777777" w:rsidR="008C20EB" w:rsidRDefault="008C20EB">
            <w:pPr>
              <w:pStyle w:val="TableParagraph"/>
              <w:shd w:val="clear" w:color="auto" w:fill="FFFFFF" w:themeFill="background1"/>
              <w:spacing w:line="234" w:lineRule="exact"/>
              <w:jc w:val="both"/>
              <w:rPr>
                <w:bCs/>
                <w:sz w:val="20"/>
                <w:szCs w:val="20"/>
              </w:rPr>
            </w:pPr>
          </w:p>
          <w:p w14:paraId="40FE121D" w14:textId="77777777" w:rsidR="008C20EB" w:rsidRDefault="008C20EB">
            <w:pPr>
              <w:pStyle w:val="TableParagraph"/>
              <w:shd w:val="clear" w:color="auto" w:fill="FFFFFF" w:themeFill="background1"/>
              <w:spacing w:line="234" w:lineRule="exact"/>
              <w:jc w:val="both"/>
              <w:rPr>
                <w:bCs/>
                <w:sz w:val="20"/>
                <w:szCs w:val="20"/>
              </w:rPr>
            </w:pPr>
          </w:p>
          <w:p w14:paraId="40FE121E" w14:textId="77777777" w:rsidR="008C20EB" w:rsidRDefault="008C20EB">
            <w:pPr>
              <w:pStyle w:val="TableParagraph"/>
              <w:shd w:val="clear" w:color="auto" w:fill="FFFFFF" w:themeFill="background1"/>
              <w:spacing w:line="234" w:lineRule="exact"/>
              <w:jc w:val="both"/>
              <w:rPr>
                <w:bCs/>
                <w:sz w:val="20"/>
                <w:szCs w:val="20"/>
              </w:rPr>
            </w:pPr>
          </w:p>
          <w:p w14:paraId="40FE121F" w14:textId="77777777" w:rsidR="008C20EB" w:rsidRDefault="008C20EB">
            <w:pPr>
              <w:pStyle w:val="TableParagraph"/>
              <w:shd w:val="clear" w:color="auto" w:fill="FFFFFF" w:themeFill="background1"/>
              <w:spacing w:line="234" w:lineRule="exact"/>
              <w:jc w:val="both"/>
              <w:rPr>
                <w:bCs/>
                <w:sz w:val="20"/>
                <w:szCs w:val="20"/>
              </w:rPr>
            </w:pPr>
          </w:p>
          <w:p w14:paraId="40FE1220" w14:textId="77777777" w:rsidR="008C20EB" w:rsidRDefault="008C20EB">
            <w:pPr>
              <w:pStyle w:val="TableParagraph"/>
              <w:shd w:val="clear" w:color="auto" w:fill="FFFFFF" w:themeFill="background1"/>
              <w:spacing w:line="234" w:lineRule="exact"/>
              <w:jc w:val="both"/>
              <w:rPr>
                <w:bCs/>
                <w:sz w:val="20"/>
                <w:szCs w:val="20"/>
              </w:rPr>
            </w:pPr>
          </w:p>
          <w:p w14:paraId="40FE1221" w14:textId="77777777" w:rsidR="008C20EB" w:rsidRDefault="008C20EB">
            <w:pPr>
              <w:pStyle w:val="TableParagraph"/>
              <w:shd w:val="clear" w:color="auto" w:fill="FFFFFF" w:themeFill="background1"/>
              <w:spacing w:line="234" w:lineRule="exact"/>
              <w:jc w:val="both"/>
              <w:rPr>
                <w:bCs/>
                <w:sz w:val="20"/>
                <w:szCs w:val="20"/>
              </w:rPr>
            </w:pPr>
          </w:p>
          <w:p w14:paraId="40FE1222" w14:textId="77777777" w:rsidR="008C20EB" w:rsidRDefault="008C20EB">
            <w:pPr>
              <w:pStyle w:val="TableParagraph"/>
              <w:shd w:val="clear" w:color="auto" w:fill="FFFFFF" w:themeFill="background1"/>
              <w:spacing w:line="234" w:lineRule="exact"/>
              <w:jc w:val="both"/>
              <w:rPr>
                <w:bCs/>
                <w:sz w:val="20"/>
                <w:szCs w:val="20"/>
              </w:rPr>
            </w:pPr>
          </w:p>
          <w:p w14:paraId="40FE1223" w14:textId="77777777" w:rsidR="008C20EB" w:rsidRDefault="008C20EB">
            <w:pPr>
              <w:pStyle w:val="TableParagraph"/>
              <w:shd w:val="clear" w:color="auto" w:fill="FFFFFF" w:themeFill="background1"/>
              <w:spacing w:line="234" w:lineRule="exact"/>
              <w:jc w:val="both"/>
              <w:rPr>
                <w:bCs/>
                <w:sz w:val="20"/>
                <w:szCs w:val="20"/>
              </w:rPr>
            </w:pPr>
          </w:p>
          <w:p w14:paraId="40FE1224" w14:textId="77777777" w:rsidR="008C20EB" w:rsidRDefault="008C20EB">
            <w:pPr>
              <w:pStyle w:val="TableParagraph"/>
              <w:shd w:val="clear" w:color="auto" w:fill="FFFFFF" w:themeFill="background1"/>
              <w:spacing w:line="234" w:lineRule="exact"/>
              <w:jc w:val="both"/>
              <w:rPr>
                <w:bCs/>
                <w:sz w:val="20"/>
                <w:szCs w:val="20"/>
              </w:rPr>
            </w:pPr>
          </w:p>
          <w:p w14:paraId="40FE1225" w14:textId="77777777" w:rsidR="008C20EB" w:rsidRDefault="008C20EB">
            <w:pPr>
              <w:pStyle w:val="TableParagraph"/>
              <w:shd w:val="clear" w:color="auto" w:fill="FFFFFF" w:themeFill="background1"/>
              <w:spacing w:line="234" w:lineRule="exact"/>
              <w:jc w:val="both"/>
              <w:rPr>
                <w:bCs/>
                <w:sz w:val="20"/>
                <w:szCs w:val="20"/>
              </w:rPr>
            </w:pPr>
          </w:p>
          <w:p w14:paraId="40FE1226" w14:textId="77777777" w:rsidR="008C20EB" w:rsidRDefault="008C20EB">
            <w:pPr>
              <w:pStyle w:val="TableParagraph"/>
              <w:shd w:val="clear" w:color="auto" w:fill="FFFFFF" w:themeFill="background1"/>
              <w:spacing w:line="234" w:lineRule="exact"/>
              <w:jc w:val="both"/>
              <w:rPr>
                <w:bCs/>
                <w:sz w:val="20"/>
                <w:szCs w:val="20"/>
              </w:rPr>
            </w:pPr>
          </w:p>
          <w:p w14:paraId="40FE1227" w14:textId="77777777" w:rsidR="008C20EB" w:rsidRDefault="008C20EB">
            <w:pPr>
              <w:pStyle w:val="TableParagraph"/>
              <w:shd w:val="clear" w:color="auto" w:fill="FFFFFF" w:themeFill="background1"/>
              <w:spacing w:line="234" w:lineRule="exact"/>
              <w:jc w:val="both"/>
              <w:rPr>
                <w:bCs/>
                <w:sz w:val="20"/>
                <w:szCs w:val="20"/>
              </w:rPr>
            </w:pPr>
          </w:p>
          <w:p w14:paraId="40FE1228" w14:textId="77777777" w:rsidR="008C20EB" w:rsidRDefault="008C20EB">
            <w:pPr>
              <w:pStyle w:val="TableParagraph"/>
              <w:shd w:val="clear" w:color="auto" w:fill="FFFFFF" w:themeFill="background1"/>
              <w:spacing w:line="234" w:lineRule="exact"/>
              <w:jc w:val="both"/>
              <w:rPr>
                <w:bCs/>
                <w:sz w:val="20"/>
                <w:szCs w:val="20"/>
              </w:rPr>
            </w:pPr>
          </w:p>
          <w:p w14:paraId="40FE1229" w14:textId="77777777" w:rsidR="008C20EB" w:rsidRDefault="008C20EB">
            <w:pPr>
              <w:pStyle w:val="TableParagraph"/>
              <w:shd w:val="clear" w:color="auto" w:fill="FFFFFF" w:themeFill="background1"/>
              <w:spacing w:line="234" w:lineRule="exact"/>
              <w:jc w:val="both"/>
              <w:rPr>
                <w:bCs/>
                <w:sz w:val="20"/>
                <w:szCs w:val="20"/>
              </w:rPr>
            </w:pPr>
          </w:p>
          <w:p w14:paraId="40FE122A" w14:textId="77777777" w:rsidR="008C20EB" w:rsidRDefault="008C20EB">
            <w:pPr>
              <w:pStyle w:val="TableParagraph"/>
              <w:shd w:val="clear" w:color="auto" w:fill="FFFFFF" w:themeFill="background1"/>
              <w:spacing w:line="234" w:lineRule="exact"/>
              <w:jc w:val="both"/>
              <w:rPr>
                <w:bCs/>
                <w:sz w:val="20"/>
                <w:szCs w:val="20"/>
              </w:rPr>
            </w:pPr>
          </w:p>
          <w:p w14:paraId="40FE122B" w14:textId="77777777" w:rsidR="008C20EB" w:rsidRDefault="008C20EB">
            <w:pPr>
              <w:pStyle w:val="TableParagraph"/>
              <w:shd w:val="clear" w:color="auto" w:fill="FFFFFF" w:themeFill="background1"/>
              <w:spacing w:line="234" w:lineRule="exact"/>
              <w:jc w:val="both"/>
              <w:rPr>
                <w:bCs/>
                <w:sz w:val="20"/>
                <w:szCs w:val="20"/>
              </w:rPr>
            </w:pPr>
          </w:p>
          <w:p w14:paraId="40FE122C" w14:textId="77777777" w:rsidR="008C20EB" w:rsidRDefault="008C20EB">
            <w:pPr>
              <w:pStyle w:val="TableParagraph"/>
              <w:shd w:val="clear" w:color="auto" w:fill="FFFFFF" w:themeFill="background1"/>
              <w:spacing w:line="234" w:lineRule="exact"/>
              <w:jc w:val="both"/>
              <w:rPr>
                <w:bCs/>
                <w:sz w:val="20"/>
                <w:szCs w:val="20"/>
              </w:rPr>
            </w:pPr>
          </w:p>
          <w:p w14:paraId="40FE122D" w14:textId="77777777" w:rsidR="008C20EB" w:rsidRDefault="008C20EB">
            <w:pPr>
              <w:pStyle w:val="TableParagraph"/>
              <w:shd w:val="clear" w:color="auto" w:fill="FFFFFF" w:themeFill="background1"/>
              <w:spacing w:line="234" w:lineRule="exact"/>
              <w:jc w:val="both"/>
              <w:rPr>
                <w:bCs/>
                <w:sz w:val="20"/>
                <w:szCs w:val="20"/>
              </w:rPr>
            </w:pPr>
          </w:p>
        </w:tc>
        <w:tc>
          <w:tcPr>
            <w:tcW w:w="8162" w:type="dxa"/>
            <w:tcBorders>
              <w:top w:val="single" w:sz="4" w:space="0" w:color="auto"/>
              <w:bottom w:val="single" w:sz="4" w:space="0" w:color="auto"/>
            </w:tcBorders>
            <w:vAlign w:val="bottom"/>
          </w:tcPr>
          <w:p w14:paraId="40FE122E" w14:textId="77777777" w:rsidR="008C20EB" w:rsidRDefault="008D25BE">
            <w:pPr>
              <w:pStyle w:val="TableParagraph"/>
              <w:shd w:val="clear" w:color="auto" w:fill="FFFFFF" w:themeFill="background1"/>
              <w:spacing w:line="234" w:lineRule="exact"/>
              <w:ind w:right="3265"/>
              <w:jc w:val="both"/>
              <w:rPr>
                <w:bCs/>
                <w:sz w:val="20"/>
                <w:szCs w:val="20"/>
              </w:rPr>
            </w:pPr>
            <w:r>
              <w:rPr>
                <w:bCs/>
                <w:sz w:val="20"/>
                <w:szCs w:val="20"/>
              </w:rPr>
              <w:lastRenderedPageBreak/>
              <w:t xml:space="preserve"> En el capítulo III y IV:</w:t>
            </w:r>
          </w:p>
          <w:p w14:paraId="40FE122F"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lastRenderedPageBreak/>
              <w:t>Se sustituye la descripción del rubro 14 “Créditos”,</w:t>
            </w:r>
            <w:r>
              <w:rPr>
                <w:sz w:val="20"/>
                <w:szCs w:val="20"/>
              </w:rPr>
              <w:t xml:space="preserve"> l</w:t>
            </w:r>
            <w:r>
              <w:rPr>
                <w:bCs/>
                <w:sz w:val="20"/>
                <w:szCs w:val="20"/>
              </w:rPr>
              <w:t>a sección “Provisiones por Créditos”.</w:t>
            </w:r>
          </w:p>
          <w:p w14:paraId="40FE1230"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sustituye el primer párrafo de la descripción de la cuenta 1409 “Provisiones para créditos”.</w:t>
            </w:r>
          </w:p>
          <w:p w14:paraId="40FE1231"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elimina en la cuenta 1409 “Provisiones para créditos” las cuentas analíticas 1409.02.05,</w:t>
            </w:r>
          </w:p>
          <w:p w14:paraId="40FE1232" w14:textId="77777777" w:rsidR="008C20EB" w:rsidRDefault="008D25BE">
            <w:pPr>
              <w:pStyle w:val="TableParagraph"/>
              <w:shd w:val="clear" w:color="auto" w:fill="FFFFFF" w:themeFill="background1"/>
              <w:spacing w:line="234" w:lineRule="exact"/>
              <w:ind w:left="720" w:right="180"/>
              <w:jc w:val="both"/>
              <w:rPr>
                <w:bCs/>
                <w:sz w:val="20"/>
                <w:szCs w:val="20"/>
              </w:rPr>
            </w:pPr>
            <w:r>
              <w:rPr>
                <w:bCs/>
                <w:sz w:val="20"/>
                <w:szCs w:val="20"/>
              </w:rPr>
              <w:t>1409.03.05, 1409.04.05, 1409.05.05, 1409.06.05, 1409.07.05, 1409.08.05, 1409.09.05,</w:t>
            </w:r>
          </w:p>
          <w:p w14:paraId="40FE1233" w14:textId="77777777" w:rsidR="008C20EB" w:rsidRDefault="008D25BE">
            <w:pPr>
              <w:pStyle w:val="TableParagraph"/>
              <w:shd w:val="clear" w:color="auto" w:fill="FFFFFF" w:themeFill="background1"/>
              <w:spacing w:line="234" w:lineRule="exact"/>
              <w:ind w:left="720" w:right="180"/>
              <w:jc w:val="both"/>
              <w:rPr>
                <w:bCs/>
                <w:sz w:val="20"/>
                <w:szCs w:val="20"/>
              </w:rPr>
            </w:pPr>
            <w:r>
              <w:rPr>
                <w:bCs/>
                <w:sz w:val="20"/>
                <w:szCs w:val="20"/>
              </w:rPr>
              <w:t>1409.10.05, 1409.11.05, 1409.12.05, 1409.13.05; y en la dinámica aplicable a esta cuenta, el crédito: “Por la constitución de provisiones por riesgo cambiario crediticio”.</w:t>
            </w:r>
          </w:p>
          <w:p w14:paraId="40FE1234"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sustituye el primer párrafo de la descripción de la cuenta 4302 “Provisiones para incobrabilidad de créditos”.</w:t>
            </w:r>
          </w:p>
          <w:p w14:paraId="40FE1235" w14:textId="77777777" w:rsidR="008C20EB" w:rsidRDefault="008D25BE">
            <w:pPr>
              <w:pStyle w:val="TableParagraph"/>
              <w:numPr>
                <w:ilvl w:val="0"/>
                <w:numId w:val="10"/>
              </w:numPr>
              <w:shd w:val="clear" w:color="auto" w:fill="FFFFFF" w:themeFill="background1"/>
              <w:spacing w:line="234" w:lineRule="exact"/>
              <w:ind w:right="180"/>
              <w:jc w:val="both"/>
              <w:rPr>
                <w:bCs/>
                <w:sz w:val="20"/>
                <w:szCs w:val="20"/>
              </w:rPr>
            </w:pPr>
            <w:r>
              <w:rPr>
                <w:bCs/>
                <w:sz w:val="20"/>
                <w:szCs w:val="20"/>
              </w:rPr>
              <w:t>Se elimina en la cuenta 4302 “Provisiones para incobrabilidad de créditos”, las cuentas analíticas 4302.02.05, 4302.03.05, 4302.04.05, 4302.05.05, 4302.06.05, 4302.07.05, 4302.08.05, 4302.09.05, 4302.10.05, 4302.11.05, 4302.12.05, 4302.13.05; y en la dinámica aplicable a esta cuenta, el débito: “Por la constitución de provisiones por riesgo cambiario crediticio”.</w:t>
            </w:r>
          </w:p>
          <w:p w14:paraId="40FE1236" w14:textId="77777777" w:rsidR="008C20EB" w:rsidRDefault="008C20EB">
            <w:pPr>
              <w:pStyle w:val="TableParagraph"/>
              <w:shd w:val="clear" w:color="auto" w:fill="FFFFFF" w:themeFill="background1"/>
              <w:spacing w:line="234" w:lineRule="exact"/>
              <w:ind w:right="180"/>
              <w:jc w:val="both"/>
              <w:rPr>
                <w:bCs/>
                <w:sz w:val="20"/>
                <w:szCs w:val="20"/>
              </w:rPr>
            </w:pPr>
          </w:p>
          <w:p w14:paraId="40FE1237" w14:textId="77777777" w:rsidR="008C20EB" w:rsidRDefault="008D25BE">
            <w:pPr>
              <w:pStyle w:val="TableParagraph"/>
              <w:shd w:val="clear" w:color="auto" w:fill="FFFFFF" w:themeFill="background1"/>
              <w:spacing w:line="234" w:lineRule="exact"/>
              <w:ind w:right="180"/>
              <w:jc w:val="both"/>
              <w:rPr>
                <w:bCs/>
                <w:sz w:val="20"/>
                <w:szCs w:val="20"/>
              </w:rPr>
            </w:pPr>
            <w:r>
              <w:rPr>
                <w:bCs/>
                <w:sz w:val="20"/>
                <w:szCs w:val="20"/>
              </w:rPr>
              <w:t xml:space="preserve"> En el capítulo V:</w:t>
            </w:r>
          </w:p>
          <w:p w14:paraId="40FE1238" w14:textId="77777777" w:rsidR="008C20EB" w:rsidRDefault="008D25BE">
            <w:pPr>
              <w:pStyle w:val="TableParagraph"/>
              <w:numPr>
                <w:ilvl w:val="0"/>
                <w:numId w:val="11"/>
              </w:numPr>
              <w:shd w:val="clear" w:color="auto" w:fill="FFFFFF" w:themeFill="background1"/>
              <w:spacing w:line="234" w:lineRule="exact"/>
              <w:ind w:right="180"/>
              <w:jc w:val="both"/>
              <w:rPr>
                <w:bCs/>
                <w:sz w:val="20"/>
                <w:szCs w:val="20"/>
              </w:rPr>
            </w:pPr>
            <w:r>
              <w:rPr>
                <w:bCs/>
                <w:sz w:val="20"/>
                <w:szCs w:val="20"/>
              </w:rPr>
              <w:t>Eliminar del Anexo N°6 “Catálogo de Cuentas – RCD” las cuentas analíticas 1409.02.05, 1409.03.05, 1409.04.05, 1409.05.05, 1409.06.05, 1409.07.05, 1409.08.05, 1409.09.05, 1409.10.05, 1409.11.05, 1409.12.05 y 1409.13.05.</w:t>
            </w:r>
          </w:p>
          <w:p w14:paraId="40FE1239" w14:textId="77777777" w:rsidR="008C20EB" w:rsidRDefault="008D25BE">
            <w:pPr>
              <w:pStyle w:val="TableParagraph"/>
              <w:numPr>
                <w:ilvl w:val="0"/>
                <w:numId w:val="11"/>
              </w:numPr>
              <w:shd w:val="clear" w:color="auto" w:fill="FFFFFF" w:themeFill="background1"/>
              <w:spacing w:line="234" w:lineRule="exact"/>
              <w:ind w:right="180"/>
              <w:jc w:val="both"/>
              <w:rPr>
                <w:bCs/>
                <w:sz w:val="20"/>
                <w:szCs w:val="20"/>
              </w:rPr>
            </w:pPr>
            <w:r>
              <w:rPr>
                <w:bCs/>
                <w:sz w:val="20"/>
                <w:szCs w:val="20"/>
              </w:rPr>
              <w:t>Sustituir en el Anexo N° 06 “Reporte Crediticio de Deudores (RCD)” las instrucciones del campo A-24.</w:t>
            </w:r>
          </w:p>
          <w:p w14:paraId="40FE123A" w14:textId="77777777" w:rsidR="008C20EB" w:rsidRDefault="008D25BE">
            <w:pPr>
              <w:pStyle w:val="TableParagraph"/>
              <w:numPr>
                <w:ilvl w:val="0"/>
                <w:numId w:val="11"/>
              </w:numPr>
              <w:shd w:val="clear" w:color="auto" w:fill="FFFFFF" w:themeFill="background1"/>
              <w:spacing w:line="234" w:lineRule="exact"/>
              <w:ind w:right="180"/>
              <w:jc w:val="both"/>
              <w:rPr>
                <w:bCs/>
                <w:sz w:val="20"/>
                <w:szCs w:val="20"/>
              </w:rPr>
            </w:pPr>
            <w:r>
              <w:rPr>
                <w:bCs/>
                <w:sz w:val="20"/>
                <w:szCs w:val="20"/>
              </w:rPr>
              <w:t>Se modifica el tercer párrafo de las Notas Metodológicas del Anexo N° 05 y sus Anexos Complementarios.</w:t>
            </w:r>
          </w:p>
          <w:p w14:paraId="40FE123B" w14:textId="77777777" w:rsidR="008C20EB" w:rsidRDefault="008C20EB">
            <w:pPr>
              <w:pStyle w:val="TableParagraph"/>
              <w:shd w:val="clear" w:color="auto" w:fill="FFFFFF" w:themeFill="background1"/>
              <w:spacing w:line="234" w:lineRule="exact"/>
              <w:ind w:right="180"/>
              <w:jc w:val="both"/>
              <w:rPr>
                <w:bCs/>
                <w:sz w:val="20"/>
                <w:szCs w:val="20"/>
              </w:rPr>
            </w:pPr>
          </w:p>
          <w:p w14:paraId="40FE123C" w14:textId="77777777" w:rsidR="008C20EB" w:rsidRDefault="008C20EB">
            <w:pPr>
              <w:pStyle w:val="TableParagraph"/>
              <w:shd w:val="clear" w:color="auto" w:fill="FFFFFF" w:themeFill="background1"/>
              <w:spacing w:line="234" w:lineRule="exact"/>
              <w:ind w:right="180"/>
              <w:jc w:val="both"/>
              <w:rPr>
                <w:bCs/>
                <w:sz w:val="20"/>
                <w:szCs w:val="20"/>
              </w:rPr>
            </w:pPr>
          </w:p>
          <w:p w14:paraId="40FE123D" w14:textId="77777777" w:rsidR="008C20EB" w:rsidRDefault="008C20EB">
            <w:pPr>
              <w:pStyle w:val="TableParagraph"/>
              <w:shd w:val="clear" w:color="auto" w:fill="FFFFFF" w:themeFill="background1"/>
              <w:spacing w:line="234" w:lineRule="exact"/>
              <w:ind w:right="180"/>
              <w:jc w:val="both"/>
              <w:rPr>
                <w:b/>
                <w:sz w:val="20"/>
                <w:szCs w:val="20"/>
              </w:rPr>
            </w:pPr>
          </w:p>
        </w:tc>
      </w:tr>
      <w:tr w:rsidR="008C20EB" w14:paraId="40FE12C1" w14:textId="77777777">
        <w:trPr>
          <w:trHeight w:val="2259"/>
        </w:trPr>
        <w:tc>
          <w:tcPr>
            <w:tcW w:w="1574" w:type="dxa"/>
            <w:tcBorders>
              <w:bottom w:val="single" w:sz="4" w:space="0" w:color="auto"/>
            </w:tcBorders>
            <w:vAlign w:val="bottom"/>
          </w:tcPr>
          <w:p w14:paraId="40FE123F" w14:textId="77777777" w:rsidR="008C20EB" w:rsidRDefault="008D25BE">
            <w:pPr>
              <w:pStyle w:val="TableParagraph"/>
              <w:shd w:val="clear" w:color="auto" w:fill="FFFFFF" w:themeFill="background1"/>
              <w:spacing w:line="234" w:lineRule="exact"/>
              <w:jc w:val="both"/>
              <w:rPr>
                <w:b/>
              </w:rPr>
            </w:pPr>
            <w:r>
              <w:rPr>
                <w:b/>
              </w:rPr>
              <w:lastRenderedPageBreak/>
              <w:t>Resolución SBS N° 04347-2024</w:t>
            </w:r>
          </w:p>
          <w:p w14:paraId="40FE1240" w14:textId="77777777" w:rsidR="008C20EB" w:rsidRDefault="008C20EB">
            <w:pPr>
              <w:pStyle w:val="TableParagraph"/>
              <w:shd w:val="clear" w:color="auto" w:fill="FFFFFF" w:themeFill="background1"/>
              <w:spacing w:line="234" w:lineRule="exact"/>
              <w:jc w:val="both"/>
              <w:rPr>
                <w:b/>
              </w:rPr>
            </w:pPr>
          </w:p>
          <w:p w14:paraId="40FE1241" w14:textId="77777777" w:rsidR="008C20EB" w:rsidRDefault="008C20EB">
            <w:pPr>
              <w:pStyle w:val="TableParagraph"/>
              <w:shd w:val="clear" w:color="auto" w:fill="FFFFFF" w:themeFill="background1"/>
              <w:spacing w:line="234" w:lineRule="exact"/>
              <w:jc w:val="both"/>
              <w:rPr>
                <w:b/>
              </w:rPr>
            </w:pPr>
          </w:p>
          <w:p w14:paraId="40FE1242" w14:textId="77777777" w:rsidR="008C20EB" w:rsidRDefault="008C20EB">
            <w:pPr>
              <w:pStyle w:val="TableParagraph"/>
              <w:shd w:val="clear" w:color="auto" w:fill="FFFFFF" w:themeFill="background1"/>
              <w:spacing w:line="234" w:lineRule="exact"/>
              <w:jc w:val="both"/>
              <w:rPr>
                <w:b/>
              </w:rPr>
            </w:pPr>
          </w:p>
          <w:p w14:paraId="40FE1243" w14:textId="77777777" w:rsidR="008C20EB" w:rsidRDefault="008C20EB">
            <w:pPr>
              <w:pStyle w:val="TableParagraph"/>
              <w:shd w:val="clear" w:color="auto" w:fill="FFFFFF" w:themeFill="background1"/>
              <w:spacing w:line="234" w:lineRule="exact"/>
              <w:jc w:val="both"/>
              <w:rPr>
                <w:b/>
              </w:rPr>
            </w:pPr>
          </w:p>
          <w:p w14:paraId="40FE1244" w14:textId="77777777" w:rsidR="008C20EB" w:rsidRDefault="008C20EB">
            <w:pPr>
              <w:pStyle w:val="TableParagraph"/>
              <w:shd w:val="clear" w:color="auto" w:fill="FFFFFF" w:themeFill="background1"/>
              <w:spacing w:line="234" w:lineRule="exact"/>
              <w:jc w:val="both"/>
              <w:rPr>
                <w:b/>
              </w:rPr>
            </w:pPr>
          </w:p>
          <w:p w14:paraId="40FE1245" w14:textId="77777777" w:rsidR="008C20EB" w:rsidRDefault="008C20EB">
            <w:pPr>
              <w:pStyle w:val="TableParagraph"/>
              <w:shd w:val="clear" w:color="auto" w:fill="FFFFFF" w:themeFill="background1"/>
              <w:spacing w:line="234" w:lineRule="exact"/>
              <w:jc w:val="both"/>
              <w:rPr>
                <w:b/>
              </w:rPr>
            </w:pPr>
          </w:p>
          <w:p w14:paraId="40FE1246" w14:textId="77777777" w:rsidR="008C20EB" w:rsidRDefault="008C20EB">
            <w:pPr>
              <w:pStyle w:val="TableParagraph"/>
              <w:shd w:val="clear" w:color="auto" w:fill="FFFFFF" w:themeFill="background1"/>
              <w:spacing w:line="234" w:lineRule="exact"/>
              <w:jc w:val="both"/>
              <w:rPr>
                <w:b/>
              </w:rPr>
            </w:pPr>
          </w:p>
          <w:p w14:paraId="40FE1247" w14:textId="77777777" w:rsidR="008C20EB" w:rsidRDefault="008C20EB">
            <w:pPr>
              <w:pStyle w:val="TableParagraph"/>
              <w:shd w:val="clear" w:color="auto" w:fill="FFFFFF" w:themeFill="background1"/>
              <w:spacing w:line="234" w:lineRule="exact"/>
              <w:jc w:val="both"/>
              <w:rPr>
                <w:b/>
              </w:rPr>
            </w:pPr>
          </w:p>
          <w:p w14:paraId="40FE1248" w14:textId="77777777" w:rsidR="008C20EB" w:rsidRDefault="008C20EB">
            <w:pPr>
              <w:pStyle w:val="TableParagraph"/>
              <w:shd w:val="clear" w:color="auto" w:fill="FFFFFF" w:themeFill="background1"/>
              <w:spacing w:line="234" w:lineRule="exact"/>
              <w:jc w:val="both"/>
              <w:rPr>
                <w:b/>
              </w:rPr>
            </w:pPr>
          </w:p>
          <w:p w14:paraId="40FE1249" w14:textId="77777777" w:rsidR="008C20EB" w:rsidRDefault="008C20EB">
            <w:pPr>
              <w:pStyle w:val="TableParagraph"/>
              <w:shd w:val="clear" w:color="auto" w:fill="FFFFFF" w:themeFill="background1"/>
              <w:spacing w:line="234" w:lineRule="exact"/>
              <w:jc w:val="both"/>
              <w:rPr>
                <w:b/>
              </w:rPr>
            </w:pPr>
          </w:p>
          <w:p w14:paraId="40FE124A" w14:textId="77777777" w:rsidR="008C20EB" w:rsidRDefault="008C20EB">
            <w:pPr>
              <w:pStyle w:val="TableParagraph"/>
              <w:shd w:val="clear" w:color="auto" w:fill="FFFFFF" w:themeFill="background1"/>
              <w:spacing w:line="234" w:lineRule="exact"/>
              <w:jc w:val="both"/>
              <w:rPr>
                <w:b/>
              </w:rPr>
            </w:pPr>
          </w:p>
          <w:p w14:paraId="40FE124B" w14:textId="77777777" w:rsidR="008C20EB" w:rsidRDefault="008C20EB">
            <w:pPr>
              <w:pStyle w:val="TableParagraph"/>
              <w:shd w:val="clear" w:color="auto" w:fill="FFFFFF" w:themeFill="background1"/>
              <w:spacing w:line="234" w:lineRule="exact"/>
              <w:jc w:val="both"/>
              <w:rPr>
                <w:b/>
              </w:rPr>
            </w:pPr>
          </w:p>
          <w:p w14:paraId="40FE124C" w14:textId="77777777" w:rsidR="008C20EB" w:rsidRDefault="008C20EB">
            <w:pPr>
              <w:pStyle w:val="TableParagraph"/>
              <w:shd w:val="clear" w:color="auto" w:fill="FFFFFF" w:themeFill="background1"/>
              <w:spacing w:line="234" w:lineRule="exact"/>
              <w:jc w:val="both"/>
              <w:rPr>
                <w:b/>
              </w:rPr>
            </w:pPr>
          </w:p>
          <w:p w14:paraId="40FE124D" w14:textId="77777777" w:rsidR="008C20EB" w:rsidRDefault="008C20EB">
            <w:pPr>
              <w:pStyle w:val="TableParagraph"/>
              <w:shd w:val="clear" w:color="auto" w:fill="FFFFFF" w:themeFill="background1"/>
              <w:spacing w:line="234" w:lineRule="exact"/>
              <w:jc w:val="both"/>
              <w:rPr>
                <w:b/>
              </w:rPr>
            </w:pPr>
          </w:p>
          <w:p w14:paraId="40FE124E" w14:textId="77777777" w:rsidR="008C20EB" w:rsidRDefault="008C20EB">
            <w:pPr>
              <w:pStyle w:val="TableParagraph"/>
              <w:shd w:val="clear" w:color="auto" w:fill="FFFFFF" w:themeFill="background1"/>
              <w:spacing w:line="234" w:lineRule="exact"/>
              <w:jc w:val="both"/>
              <w:rPr>
                <w:b/>
              </w:rPr>
            </w:pPr>
          </w:p>
          <w:p w14:paraId="40FE124F" w14:textId="77777777" w:rsidR="008C20EB" w:rsidRDefault="008C20EB">
            <w:pPr>
              <w:pStyle w:val="TableParagraph"/>
              <w:shd w:val="clear" w:color="auto" w:fill="FFFFFF" w:themeFill="background1"/>
              <w:spacing w:line="234" w:lineRule="exact"/>
              <w:jc w:val="both"/>
              <w:rPr>
                <w:b/>
              </w:rPr>
            </w:pPr>
          </w:p>
          <w:p w14:paraId="40FE1250" w14:textId="77777777" w:rsidR="008C20EB" w:rsidRDefault="008C20EB">
            <w:pPr>
              <w:pStyle w:val="TableParagraph"/>
              <w:shd w:val="clear" w:color="auto" w:fill="FFFFFF" w:themeFill="background1"/>
              <w:spacing w:line="234" w:lineRule="exact"/>
              <w:jc w:val="both"/>
              <w:rPr>
                <w:b/>
              </w:rPr>
            </w:pPr>
          </w:p>
          <w:p w14:paraId="40FE1251" w14:textId="77777777" w:rsidR="008C20EB" w:rsidRDefault="008C20EB">
            <w:pPr>
              <w:pStyle w:val="TableParagraph"/>
              <w:shd w:val="clear" w:color="auto" w:fill="FFFFFF" w:themeFill="background1"/>
              <w:spacing w:line="234" w:lineRule="exact"/>
              <w:jc w:val="both"/>
              <w:rPr>
                <w:b/>
              </w:rPr>
            </w:pPr>
          </w:p>
          <w:p w14:paraId="40FE1252" w14:textId="77777777" w:rsidR="008C20EB" w:rsidRDefault="008C20EB">
            <w:pPr>
              <w:pStyle w:val="TableParagraph"/>
              <w:shd w:val="clear" w:color="auto" w:fill="FFFFFF" w:themeFill="background1"/>
              <w:spacing w:line="234" w:lineRule="exact"/>
              <w:jc w:val="both"/>
              <w:rPr>
                <w:b/>
              </w:rPr>
            </w:pPr>
          </w:p>
          <w:p w14:paraId="40FE1253" w14:textId="77777777" w:rsidR="008C20EB" w:rsidRDefault="008C20EB">
            <w:pPr>
              <w:pStyle w:val="TableParagraph"/>
              <w:shd w:val="clear" w:color="auto" w:fill="FFFFFF" w:themeFill="background1"/>
              <w:spacing w:line="234" w:lineRule="exact"/>
              <w:jc w:val="both"/>
              <w:rPr>
                <w:b/>
              </w:rPr>
            </w:pPr>
          </w:p>
          <w:p w14:paraId="40FE1254" w14:textId="77777777" w:rsidR="008C20EB" w:rsidRDefault="008C20EB">
            <w:pPr>
              <w:pStyle w:val="TableParagraph"/>
              <w:shd w:val="clear" w:color="auto" w:fill="FFFFFF" w:themeFill="background1"/>
              <w:spacing w:line="234" w:lineRule="exact"/>
              <w:jc w:val="both"/>
              <w:rPr>
                <w:b/>
              </w:rPr>
            </w:pPr>
          </w:p>
          <w:p w14:paraId="40FE1255" w14:textId="77777777" w:rsidR="008C20EB" w:rsidRDefault="008C20EB">
            <w:pPr>
              <w:pStyle w:val="TableParagraph"/>
              <w:shd w:val="clear" w:color="auto" w:fill="FFFFFF" w:themeFill="background1"/>
              <w:spacing w:line="234" w:lineRule="exact"/>
              <w:jc w:val="both"/>
              <w:rPr>
                <w:b/>
              </w:rPr>
            </w:pPr>
          </w:p>
          <w:p w14:paraId="40FE1256" w14:textId="77777777" w:rsidR="008C20EB" w:rsidRDefault="008C20EB">
            <w:pPr>
              <w:pStyle w:val="TableParagraph"/>
              <w:shd w:val="clear" w:color="auto" w:fill="FFFFFF" w:themeFill="background1"/>
              <w:spacing w:line="234" w:lineRule="exact"/>
              <w:jc w:val="both"/>
              <w:rPr>
                <w:b/>
              </w:rPr>
            </w:pPr>
          </w:p>
          <w:p w14:paraId="40FE1257" w14:textId="77777777" w:rsidR="008C20EB" w:rsidRDefault="008C20EB">
            <w:pPr>
              <w:pStyle w:val="TableParagraph"/>
              <w:shd w:val="clear" w:color="auto" w:fill="FFFFFF" w:themeFill="background1"/>
              <w:spacing w:line="234" w:lineRule="exact"/>
              <w:jc w:val="both"/>
              <w:rPr>
                <w:b/>
              </w:rPr>
            </w:pPr>
          </w:p>
          <w:p w14:paraId="40FE1258" w14:textId="77777777" w:rsidR="008C20EB" w:rsidRDefault="008C20EB">
            <w:pPr>
              <w:pStyle w:val="TableParagraph"/>
              <w:shd w:val="clear" w:color="auto" w:fill="FFFFFF" w:themeFill="background1"/>
              <w:spacing w:line="234" w:lineRule="exact"/>
              <w:jc w:val="both"/>
              <w:rPr>
                <w:b/>
              </w:rPr>
            </w:pPr>
          </w:p>
          <w:p w14:paraId="40FE1259" w14:textId="77777777" w:rsidR="008C20EB" w:rsidRDefault="008C20EB">
            <w:pPr>
              <w:pStyle w:val="TableParagraph"/>
              <w:shd w:val="clear" w:color="auto" w:fill="FFFFFF" w:themeFill="background1"/>
              <w:spacing w:line="234" w:lineRule="exact"/>
              <w:jc w:val="both"/>
              <w:rPr>
                <w:b/>
              </w:rPr>
            </w:pPr>
          </w:p>
          <w:p w14:paraId="40FE125A" w14:textId="77777777" w:rsidR="008C20EB" w:rsidRDefault="008C20EB">
            <w:pPr>
              <w:pStyle w:val="TableParagraph"/>
              <w:shd w:val="clear" w:color="auto" w:fill="FFFFFF" w:themeFill="background1"/>
              <w:spacing w:line="234" w:lineRule="exact"/>
              <w:jc w:val="both"/>
              <w:rPr>
                <w:b/>
              </w:rPr>
            </w:pPr>
          </w:p>
          <w:p w14:paraId="40FE125B" w14:textId="77777777" w:rsidR="008C20EB" w:rsidRDefault="008C20EB">
            <w:pPr>
              <w:pStyle w:val="TableParagraph"/>
              <w:shd w:val="clear" w:color="auto" w:fill="FFFFFF" w:themeFill="background1"/>
              <w:spacing w:line="234" w:lineRule="exact"/>
              <w:jc w:val="both"/>
              <w:rPr>
                <w:b/>
              </w:rPr>
            </w:pPr>
          </w:p>
          <w:p w14:paraId="40FE125C" w14:textId="77777777" w:rsidR="008C20EB" w:rsidRDefault="008C20EB">
            <w:pPr>
              <w:pStyle w:val="TableParagraph"/>
              <w:shd w:val="clear" w:color="auto" w:fill="FFFFFF" w:themeFill="background1"/>
              <w:spacing w:line="234" w:lineRule="exact"/>
              <w:jc w:val="both"/>
              <w:rPr>
                <w:b/>
              </w:rPr>
            </w:pPr>
          </w:p>
          <w:p w14:paraId="40FE125D" w14:textId="77777777" w:rsidR="008C20EB" w:rsidRDefault="008C20EB">
            <w:pPr>
              <w:pStyle w:val="TableParagraph"/>
              <w:shd w:val="clear" w:color="auto" w:fill="FFFFFF" w:themeFill="background1"/>
              <w:spacing w:line="234" w:lineRule="exact"/>
              <w:jc w:val="both"/>
              <w:rPr>
                <w:b/>
              </w:rPr>
            </w:pPr>
          </w:p>
          <w:p w14:paraId="40FE125E" w14:textId="77777777" w:rsidR="008C20EB" w:rsidRDefault="008C20EB">
            <w:pPr>
              <w:pStyle w:val="TableParagraph"/>
              <w:shd w:val="clear" w:color="auto" w:fill="FFFFFF" w:themeFill="background1"/>
              <w:spacing w:line="234" w:lineRule="exact"/>
              <w:jc w:val="both"/>
              <w:rPr>
                <w:b/>
              </w:rPr>
            </w:pPr>
          </w:p>
          <w:p w14:paraId="40FE125F" w14:textId="77777777" w:rsidR="008C20EB" w:rsidRDefault="008C20EB">
            <w:pPr>
              <w:pStyle w:val="TableParagraph"/>
              <w:shd w:val="clear" w:color="auto" w:fill="FFFFFF" w:themeFill="background1"/>
              <w:spacing w:line="234" w:lineRule="exact"/>
              <w:jc w:val="both"/>
              <w:rPr>
                <w:b/>
              </w:rPr>
            </w:pPr>
          </w:p>
          <w:p w14:paraId="40FE1260" w14:textId="77777777" w:rsidR="008C20EB" w:rsidRDefault="008C20EB">
            <w:pPr>
              <w:pStyle w:val="TableParagraph"/>
              <w:shd w:val="clear" w:color="auto" w:fill="FFFFFF" w:themeFill="background1"/>
              <w:spacing w:line="234" w:lineRule="exact"/>
              <w:jc w:val="both"/>
              <w:rPr>
                <w:b/>
              </w:rPr>
            </w:pPr>
          </w:p>
          <w:p w14:paraId="40FE1261" w14:textId="77777777" w:rsidR="008C20EB" w:rsidRDefault="008C20EB">
            <w:pPr>
              <w:pStyle w:val="TableParagraph"/>
              <w:shd w:val="clear" w:color="auto" w:fill="FFFFFF" w:themeFill="background1"/>
              <w:spacing w:line="234" w:lineRule="exact"/>
              <w:jc w:val="both"/>
              <w:rPr>
                <w:b/>
              </w:rPr>
            </w:pPr>
          </w:p>
          <w:p w14:paraId="40FE1262" w14:textId="77777777" w:rsidR="008C20EB" w:rsidRDefault="008C20EB">
            <w:pPr>
              <w:pStyle w:val="TableParagraph"/>
              <w:shd w:val="clear" w:color="auto" w:fill="FFFFFF" w:themeFill="background1"/>
              <w:spacing w:line="234" w:lineRule="exact"/>
              <w:jc w:val="both"/>
              <w:rPr>
                <w:b/>
              </w:rPr>
            </w:pPr>
          </w:p>
        </w:tc>
        <w:tc>
          <w:tcPr>
            <w:tcW w:w="1560" w:type="dxa"/>
            <w:tcBorders>
              <w:bottom w:val="single" w:sz="4" w:space="0" w:color="auto"/>
            </w:tcBorders>
            <w:vAlign w:val="bottom"/>
          </w:tcPr>
          <w:p w14:paraId="40FE1263" w14:textId="77777777" w:rsidR="008C20EB" w:rsidRDefault="008D25BE">
            <w:pPr>
              <w:pStyle w:val="TableParagraph"/>
              <w:shd w:val="clear" w:color="auto" w:fill="FFFFFF" w:themeFill="background1"/>
              <w:spacing w:line="234" w:lineRule="exact"/>
              <w:jc w:val="both"/>
              <w:rPr>
                <w:b/>
              </w:rPr>
            </w:pPr>
            <w:r>
              <w:rPr>
                <w:b/>
              </w:rPr>
              <w:lastRenderedPageBreak/>
              <w:t xml:space="preserve">Pr.   18.12.2024  </w:t>
            </w:r>
          </w:p>
          <w:p w14:paraId="40FE1264" w14:textId="77777777" w:rsidR="008C20EB" w:rsidRDefault="008D25BE">
            <w:pPr>
              <w:pStyle w:val="TableParagraph"/>
              <w:shd w:val="clear" w:color="auto" w:fill="FFFFFF" w:themeFill="background1"/>
              <w:spacing w:line="234" w:lineRule="exact"/>
              <w:jc w:val="both"/>
              <w:rPr>
                <w:b/>
              </w:rPr>
            </w:pPr>
            <w:r>
              <w:rPr>
                <w:b/>
              </w:rPr>
              <w:t>/Pub. 20.12.2024</w:t>
            </w:r>
          </w:p>
          <w:p w14:paraId="40FE1265" w14:textId="77777777" w:rsidR="008C20EB" w:rsidRDefault="008C20EB">
            <w:pPr>
              <w:pStyle w:val="TableParagraph"/>
              <w:shd w:val="clear" w:color="auto" w:fill="FFFFFF" w:themeFill="background1"/>
              <w:spacing w:line="234" w:lineRule="exact"/>
              <w:jc w:val="both"/>
              <w:rPr>
                <w:b/>
              </w:rPr>
            </w:pPr>
          </w:p>
          <w:p w14:paraId="40FE1266" w14:textId="77777777" w:rsidR="008C20EB" w:rsidRDefault="008C20EB">
            <w:pPr>
              <w:pStyle w:val="TableParagraph"/>
              <w:shd w:val="clear" w:color="auto" w:fill="FFFFFF" w:themeFill="background1"/>
              <w:spacing w:line="234" w:lineRule="exact"/>
              <w:jc w:val="both"/>
              <w:rPr>
                <w:b/>
              </w:rPr>
            </w:pPr>
          </w:p>
          <w:p w14:paraId="40FE1267" w14:textId="77777777" w:rsidR="008C20EB" w:rsidRDefault="008C20EB">
            <w:pPr>
              <w:pStyle w:val="TableParagraph"/>
              <w:shd w:val="clear" w:color="auto" w:fill="FFFFFF" w:themeFill="background1"/>
              <w:spacing w:line="234" w:lineRule="exact"/>
              <w:jc w:val="both"/>
              <w:rPr>
                <w:b/>
              </w:rPr>
            </w:pPr>
          </w:p>
          <w:p w14:paraId="40FE1268" w14:textId="77777777" w:rsidR="008C20EB" w:rsidRDefault="008C20EB">
            <w:pPr>
              <w:pStyle w:val="TableParagraph"/>
              <w:shd w:val="clear" w:color="auto" w:fill="FFFFFF" w:themeFill="background1"/>
              <w:spacing w:line="234" w:lineRule="exact"/>
              <w:jc w:val="both"/>
              <w:rPr>
                <w:b/>
              </w:rPr>
            </w:pPr>
          </w:p>
          <w:p w14:paraId="40FE1269" w14:textId="77777777" w:rsidR="008C20EB" w:rsidRDefault="008C20EB">
            <w:pPr>
              <w:pStyle w:val="TableParagraph"/>
              <w:shd w:val="clear" w:color="auto" w:fill="FFFFFF" w:themeFill="background1"/>
              <w:spacing w:line="234" w:lineRule="exact"/>
              <w:jc w:val="both"/>
              <w:rPr>
                <w:b/>
              </w:rPr>
            </w:pPr>
          </w:p>
          <w:p w14:paraId="40FE126A" w14:textId="77777777" w:rsidR="008C20EB" w:rsidRDefault="008C20EB">
            <w:pPr>
              <w:pStyle w:val="TableParagraph"/>
              <w:shd w:val="clear" w:color="auto" w:fill="FFFFFF" w:themeFill="background1"/>
              <w:spacing w:line="234" w:lineRule="exact"/>
              <w:jc w:val="both"/>
              <w:rPr>
                <w:b/>
              </w:rPr>
            </w:pPr>
          </w:p>
          <w:p w14:paraId="40FE126B" w14:textId="77777777" w:rsidR="008C20EB" w:rsidRDefault="008C20EB">
            <w:pPr>
              <w:pStyle w:val="TableParagraph"/>
              <w:shd w:val="clear" w:color="auto" w:fill="FFFFFF" w:themeFill="background1"/>
              <w:spacing w:line="234" w:lineRule="exact"/>
              <w:jc w:val="both"/>
              <w:rPr>
                <w:b/>
              </w:rPr>
            </w:pPr>
          </w:p>
          <w:p w14:paraId="40FE126C" w14:textId="77777777" w:rsidR="008C20EB" w:rsidRDefault="008C20EB">
            <w:pPr>
              <w:pStyle w:val="TableParagraph"/>
              <w:shd w:val="clear" w:color="auto" w:fill="FFFFFF" w:themeFill="background1"/>
              <w:spacing w:line="234" w:lineRule="exact"/>
              <w:jc w:val="both"/>
              <w:rPr>
                <w:b/>
              </w:rPr>
            </w:pPr>
          </w:p>
          <w:p w14:paraId="40FE126D" w14:textId="77777777" w:rsidR="008C20EB" w:rsidRDefault="008C20EB">
            <w:pPr>
              <w:pStyle w:val="TableParagraph"/>
              <w:shd w:val="clear" w:color="auto" w:fill="FFFFFF" w:themeFill="background1"/>
              <w:spacing w:line="234" w:lineRule="exact"/>
              <w:jc w:val="both"/>
              <w:rPr>
                <w:b/>
              </w:rPr>
            </w:pPr>
          </w:p>
          <w:p w14:paraId="40FE126E" w14:textId="77777777" w:rsidR="008C20EB" w:rsidRDefault="008C20EB">
            <w:pPr>
              <w:pStyle w:val="TableParagraph"/>
              <w:shd w:val="clear" w:color="auto" w:fill="FFFFFF" w:themeFill="background1"/>
              <w:spacing w:line="234" w:lineRule="exact"/>
              <w:jc w:val="both"/>
              <w:rPr>
                <w:b/>
              </w:rPr>
            </w:pPr>
          </w:p>
          <w:p w14:paraId="40FE126F" w14:textId="77777777" w:rsidR="008C20EB" w:rsidRDefault="008C20EB">
            <w:pPr>
              <w:pStyle w:val="TableParagraph"/>
              <w:shd w:val="clear" w:color="auto" w:fill="FFFFFF" w:themeFill="background1"/>
              <w:spacing w:line="234" w:lineRule="exact"/>
              <w:jc w:val="both"/>
              <w:rPr>
                <w:b/>
              </w:rPr>
            </w:pPr>
          </w:p>
          <w:p w14:paraId="40FE1270" w14:textId="77777777" w:rsidR="008C20EB" w:rsidRDefault="008C20EB">
            <w:pPr>
              <w:pStyle w:val="TableParagraph"/>
              <w:shd w:val="clear" w:color="auto" w:fill="FFFFFF" w:themeFill="background1"/>
              <w:spacing w:line="234" w:lineRule="exact"/>
              <w:jc w:val="both"/>
              <w:rPr>
                <w:b/>
              </w:rPr>
            </w:pPr>
          </w:p>
          <w:p w14:paraId="40FE1271" w14:textId="77777777" w:rsidR="008C20EB" w:rsidRDefault="008C20EB">
            <w:pPr>
              <w:pStyle w:val="TableParagraph"/>
              <w:shd w:val="clear" w:color="auto" w:fill="FFFFFF" w:themeFill="background1"/>
              <w:spacing w:line="234" w:lineRule="exact"/>
              <w:jc w:val="both"/>
              <w:rPr>
                <w:b/>
              </w:rPr>
            </w:pPr>
          </w:p>
          <w:p w14:paraId="40FE1272" w14:textId="77777777" w:rsidR="008C20EB" w:rsidRDefault="008C20EB">
            <w:pPr>
              <w:pStyle w:val="TableParagraph"/>
              <w:shd w:val="clear" w:color="auto" w:fill="FFFFFF" w:themeFill="background1"/>
              <w:spacing w:line="234" w:lineRule="exact"/>
              <w:jc w:val="both"/>
              <w:rPr>
                <w:b/>
              </w:rPr>
            </w:pPr>
          </w:p>
          <w:p w14:paraId="40FE1273" w14:textId="77777777" w:rsidR="008C20EB" w:rsidRDefault="008C20EB">
            <w:pPr>
              <w:pStyle w:val="TableParagraph"/>
              <w:shd w:val="clear" w:color="auto" w:fill="FFFFFF" w:themeFill="background1"/>
              <w:spacing w:line="234" w:lineRule="exact"/>
              <w:jc w:val="both"/>
              <w:rPr>
                <w:b/>
              </w:rPr>
            </w:pPr>
          </w:p>
          <w:p w14:paraId="40FE1274" w14:textId="77777777" w:rsidR="008C20EB" w:rsidRDefault="008C20EB">
            <w:pPr>
              <w:pStyle w:val="TableParagraph"/>
              <w:shd w:val="clear" w:color="auto" w:fill="FFFFFF" w:themeFill="background1"/>
              <w:spacing w:line="234" w:lineRule="exact"/>
              <w:jc w:val="both"/>
              <w:rPr>
                <w:b/>
              </w:rPr>
            </w:pPr>
          </w:p>
          <w:p w14:paraId="40FE1275" w14:textId="77777777" w:rsidR="008C20EB" w:rsidRDefault="008C20EB">
            <w:pPr>
              <w:pStyle w:val="TableParagraph"/>
              <w:shd w:val="clear" w:color="auto" w:fill="FFFFFF" w:themeFill="background1"/>
              <w:spacing w:line="234" w:lineRule="exact"/>
              <w:jc w:val="both"/>
              <w:rPr>
                <w:b/>
              </w:rPr>
            </w:pPr>
          </w:p>
          <w:p w14:paraId="40FE1276" w14:textId="77777777" w:rsidR="008C20EB" w:rsidRDefault="008C20EB">
            <w:pPr>
              <w:pStyle w:val="TableParagraph"/>
              <w:shd w:val="clear" w:color="auto" w:fill="FFFFFF" w:themeFill="background1"/>
              <w:spacing w:line="234" w:lineRule="exact"/>
              <w:jc w:val="both"/>
              <w:rPr>
                <w:b/>
              </w:rPr>
            </w:pPr>
          </w:p>
          <w:p w14:paraId="40FE1277" w14:textId="77777777" w:rsidR="008C20EB" w:rsidRDefault="008C20EB">
            <w:pPr>
              <w:pStyle w:val="TableParagraph"/>
              <w:shd w:val="clear" w:color="auto" w:fill="FFFFFF" w:themeFill="background1"/>
              <w:spacing w:line="234" w:lineRule="exact"/>
              <w:jc w:val="both"/>
              <w:rPr>
                <w:b/>
              </w:rPr>
            </w:pPr>
          </w:p>
          <w:p w14:paraId="40FE1278" w14:textId="77777777" w:rsidR="008C20EB" w:rsidRDefault="008C20EB">
            <w:pPr>
              <w:pStyle w:val="TableParagraph"/>
              <w:shd w:val="clear" w:color="auto" w:fill="FFFFFF" w:themeFill="background1"/>
              <w:spacing w:line="234" w:lineRule="exact"/>
              <w:jc w:val="both"/>
              <w:rPr>
                <w:b/>
              </w:rPr>
            </w:pPr>
          </w:p>
          <w:p w14:paraId="40FE1279" w14:textId="77777777" w:rsidR="008C20EB" w:rsidRDefault="008C20EB">
            <w:pPr>
              <w:pStyle w:val="TableParagraph"/>
              <w:shd w:val="clear" w:color="auto" w:fill="FFFFFF" w:themeFill="background1"/>
              <w:spacing w:line="234" w:lineRule="exact"/>
              <w:jc w:val="both"/>
              <w:rPr>
                <w:b/>
              </w:rPr>
            </w:pPr>
          </w:p>
          <w:p w14:paraId="40FE127A" w14:textId="77777777" w:rsidR="008C20EB" w:rsidRDefault="008C20EB">
            <w:pPr>
              <w:pStyle w:val="TableParagraph"/>
              <w:shd w:val="clear" w:color="auto" w:fill="FFFFFF" w:themeFill="background1"/>
              <w:spacing w:line="234" w:lineRule="exact"/>
              <w:jc w:val="both"/>
              <w:rPr>
                <w:b/>
              </w:rPr>
            </w:pPr>
          </w:p>
          <w:p w14:paraId="40FE127B" w14:textId="77777777" w:rsidR="008C20EB" w:rsidRDefault="008C20EB">
            <w:pPr>
              <w:pStyle w:val="TableParagraph"/>
              <w:shd w:val="clear" w:color="auto" w:fill="FFFFFF" w:themeFill="background1"/>
              <w:spacing w:line="234" w:lineRule="exact"/>
              <w:jc w:val="both"/>
              <w:rPr>
                <w:b/>
              </w:rPr>
            </w:pPr>
          </w:p>
          <w:p w14:paraId="40FE127C" w14:textId="77777777" w:rsidR="008C20EB" w:rsidRDefault="008C20EB">
            <w:pPr>
              <w:pStyle w:val="TableParagraph"/>
              <w:shd w:val="clear" w:color="auto" w:fill="FFFFFF" w:themeFill="background1"/>
              <w:spacing w:line="234" w:lineRule="exact"/>
              <w:jc w:val="both"/>
              <w:rPr>
                <w:b/>
              </w:rPr>
            </w:pPr>
          </w:p>
          <w:p w14:paraId="40FE127D" w14:textId="77777777" w:rsidR="008C20EB" w:rsidRDefault="008C20EB">
            <w:pPr>
              <w:pStyle w:val="TableParagraph"/>
              <w:shd w:val="clear" w:color="auto" w:fill="FFFFFF" w:themeFill="background1"/>
              <w:spacing w:line="234" w:lineRule="exact"/>
              <w:jc w:val="both"/>
              <w:rPr>
                <w:b/>
              </w:rPr>
            </w:pPr>
          </w:p>
          <w:p w14:paraId="40FE127E" w14:textId="77777777" w:rsidR="008C20EB" w:rsidRDefault="008C20EB">
            <w:pPr>
              <w:pStyle w:val="TableParagraph"/>
              <w:shd w:val="clear" w:color="auto" w:fill="FFFFFF" w:themeFill="background1"/>
              <w:spacing w:line="234" w:lineRule="exact"/>
              <w:jc w:val="both"/>
              <w:rPr>
                <w:b/>
              </w:rPr>
            </w:pPr>
          </w:p>
          <w:p w14:paraId="40FE127F" w14:textId="77777777" w:rsidR="008C20EB" w:rsidRDefault="008C20EB">
            <w:pPr>
              <w:pStyle w:val="TableParagraph"/>
              <w:shd w:val="clear" w:color="auto" w:fill="FFFFFF" w:themeFill="background1"/>
              <w:spacing w:line="234" w:lineRule="exact"/>
              <w:jc w:val="both"/>
              <w:rPr>
                <w:b/>
              </w:rPr>
            </w:pPr>
          </w:p>
          <w:p w14:paraId="40FE1280" w14:textId="77777777" w:rsidR="008C20EB" w:rsidRDefault="008C20EB">
            <w:pPr>
              <w:pStyle w:val="TableParagraph"/>
              <w:shd w:val="clear" w:color="auto" w:fill="FFFFFF" w:themeFill="background1"/>
              <w:spacing w:line="234" w:lineRule="exact"/>
              <w:jc w:val="both"/>
              <w:rPr>
                <w:b/>
              </w:rPr>
            </w:pPr>
          </w:p>
          <w:p w14:paraId="40FE1281" w14:textId="77777777" w:rsidR="008C20EB" w:rsidRDefault="008C20EB">
            <w:pPr>
              <w:pStyle w:val="TableParagraph"/>
              <w:shd w:val="clear" w:color="auto" w:fill="FFFFFF" w:themeFill="background1"/>
              <w:spacing w:line="234" w:lineRule="exact"/>
              <w:jc w:val="both"/>
              <w:rPr>
                <w:b/>
              </w:rPr>
            </w:pPr>
          </w:p>
          <w:p w14:paraId="40FE1282" w14:textId="77777777" w:rsidR="008C20EB" w:rsidRDefault="008C20EB">
            <w:pPr>
              <w:pStyle w:val="TableParagraph"/>
              <w:shd w:val="clear" w:color="auto" w:fill="FFFFFF" w:themeFill="background1"/>
              <w:spacing w:line="234" w:lineRule="exact"/>
              <w:jc w:val="both"/>
              <w:rPr>
                <w:b/>
              </w:rPr>
            </w:pPr>
          </w:p>
          <w:p w14:paraId="40FE1283" w14:textId="77777777" w:rsidR="008C20EB" w:rsidRDefault="008C20EB">
            <w:pPr>
              <w:pStyle w:val="TableParagraph"/>
              <w:shd w:val="clear" w:color="auto" w:fill="FFFFFF" w:themeFill="background1"/>
              <w:spacing w:line="234" w:lineRule="exact"/>
              <w:jc w:val="both"/>
              <w:rPr>
                <w:b/>
              </w:rPr>
            </w:pPr>
          </w:p>
          <w:p w14:paraId="40FE1284" w14:textId="77777777" w:rsidR="008C20EB" w:rsidRDefault="008C20EB">
            <w:pPr>
              <w:pStyle w:val="TableParagraph"/>
              <w:shd w:val="clear" w:color="auto" w:fill="FFFFFF" w:themeFill="background1"/>
              <w:spacing w:line="234" w:lineRule="exact"/>
              <w:jc w:val="both"/>
              <w:rPr>
                <w:b/>
              </w:rPr>
            </w:pPr>
          </w:p>
          <w:p w14:paraId="40FE1285" w14:textId="77777777" w:rsidR="008C20EB" w:rsidRDefault="008C20EB">
            <w:pPr>
              <w:pStyle w:val="TableParagraph"/>
              <w:shd w:val="clear" w:color="auto" w:fill="FFFFFF" w:themeFill="background1"/>
              <w:spacing w:line="234" w:lineRule="exact"/>
              <w:jc w:val="both"/>
              <w:rPr>
                <w:b/>
              </w:rPr>
            </w:pPr>
          </w:p>
          <w:p w14:paraId="40FE1286" w14:textId="77777777" w:rsidR="008C20EB" w:rsidRDefault="008C20EB">
            <w:pPr>
              <w:pStyle w:val="TableParagraph"/>
              <w:shd w:val="clear" w:color="auto" w:fill="FFFFFF" w:themeFill="background1"/>
              <w:spacing w:line="234" w:lineRule="exact"/>
              <w:jc w:val="both"/>
              <w:rPr>
                <w:b/>
              </w:rPr>
            </w:pPr>
          </w:p>
          <w:p w14:paraId="40FE1287" w14:textId="77777777" w:rsidR="008C20EB" w:rsidRDefault="008C20EB">
            <w:pPr>
              <w:pStyle w:val="TableParagraph"/>
              <w:shd w:val="clear" w:color="auto" w:fill="FFFFFF" w:themeFill="background1"/>
              <w:spacing w:line="234" w:lineRule="exact"/>
              <w:jc w:val="both"/>
              <w:rPr>
                <w:b/>
              </w:rPr>
            </w:pPr>
          </w:p>
        </w:tc>
        <w:tc>
          <w:tcPr>
            <w:tcW w:w="3935" w:type="dxa"/>
            <w:tcBorders>
              <w:bottom w:val="single" w:sz="4" w:space="0" w:color="auto"/>
            </w:tcBorders>
            <w:vAlign w:val="bottom"/>
          </w:tcPr>
          <w:p w14:paraId="40FE1288" w14:textId="77777777" w:rsidR="008C20EB" w:rsidRDefault="008D25BE">
            <w:pPr>
              <w:pStyle w:val="TableParagraph"/>
              <w:shd w:val="clear" w:color="auto" w:fill="FFFFFF" w:themeFill="background1"/>
              <w:spacing w:line="234" w:lineRule="exact"/>
              <w:jc w:val="both"/>
              <w:rPr>
                <w:bCs/>
                <w:sz w:val="20"/>
                <w:szCs w:val="20"/>
              </w:rPr>
            </w:pPr>
            <w:r>
              <w:rPr>
                <w:bCs/>
                <w:sz w:val="20"/>
                <w:szCs w:val="20"/>
              </w:rPr>
              <w:lastRenderedPageBreak/>
              <w:t>Modifica la Resolución SBS N° 04345-2023 y otras normas para eliminar el concepto de créditos concedidos no desembolsados y otorgan mayor plazo para la entrada en vigor de las definiciones de compromisos y de las modificaciones de normativa contable relacionada.</w:t>
            </w:r>
          </w:p>
          <w:p w14:paraId="40FE1289" w14:textId="77777777" w:rsidR="008C20EB" w:rsidRDefault="008D25BE">
            <w:pPr>
              <w:pStyle w:val="TableParagraph"/>
              <w:shd w:val="clear" w:color="auto" w:fill="FFFFFF" w:themeFill="background1"/>
              <w:spacing w:line="234" w:lineRule="exact"/>
              <w:jc w:val="both"/>
              <w:rPr>
                <w:bCs/>
                <w:sz w:val="20"/>
                <w:szCs w:val="20"/>
              </w:rPr>
            </w:pPr>
            <w:r>
              <w:rPr>
                <w:bCs/>
                <w:sz w:val="20"/>
                <w:szCs w:val="20"/>
              </w:rPr>
              <w:t>Las modificaciones al Manual de Contabilidad entran en vigencia a partir de la información de marzo de 2026.</w:t>
            </w:r>
          </w:p>
          <w:p w14:paraId="40FE128A" w14:textId="77777777" w:rsidR="008C20EB" w:rsidRDefault="008C20EB">
            <w:pPr>
              <w:pStyle w:val="TableParagraph"/>
              <w:shd w:val="clear" w:color="auto" w:fill="FFFFFF" w:themeFill="background1"/>
              <w:spacing w:line="234" w:lineRule="exact"/>
              <w:jc w:val="both"/>
              <w:rPr>
                <w:bCs/>
                <w:sz w:val="20"/>
                <w:szCs w:val="20"/>
              </w:rPr>
            </w:pPr>
          </w:p>
          <w:p w14:paraId="40FE128B" w14:textId="77777777" w:rsidR="008C20EB" w:rsidRDefault="008C20EB">
            <w:pPr>
              <w:pStyle w:val="TableParagraph"/>
              <w:shd w:val="clear" w:color="auto" w:fill="FFFFFF" w:themeFill="background1"/>
              <w:spacing w:line="234" w:lineRule="exact"/>
              <w:jc w:val="both"/>
              <w:rPr>
                <w:b/>
              </w:rPr>
            </w:pPr>
          </w:p>
          <w:p w14:paraId="40FE128C" w14:textId="77777777" w:rsidR="008C20EB" w:rsidRDefault="008C20EB">
            <w:pPr>
              <w:pStyle w:val="TableParagraph"/>
              <w:shd w:val="clear" w:color="auto" w:fill="FFFFFF" w:themeFill="background1"/>
              <w:spacing w:line="234" w:lineRule="exact"/>
              <w:jc w:val="both"/>
              <w:rPr>
                <w:b/>
              </w:rPr>
            </w:pPr>
          </w:p>
          <w:p w14:paraId="40FE128D" w14:textId="77777777" w:rsidR="008C20EB" w:rsidRDefault="008C20EB">
            <w:pPr>
              <w:pStyle w:val="TableParagraph"/>
              <w:shd w:val="clear" w:color="auto" w:fill="FFFFFF" w:themeFill="background1"/>
              <w:spacing w:line="234" w:lineRule="exact"/>
              <w:jc w:val="both"/>
              <w:rPr>
                <w:b/>
              </w:rPr>
            </w:pPr>
          </w:p>
          <w:p w14:paraId="40FE128E" w14:textId="77777777" w:rsidR="008C20EB" w:rsidRDefault="008C20EB">
            <w:pPr>
              <w:pStyle w:val="TableParagraph"/>
              <w:shd w:val="clear" w:color="auto" w:fill="FFFFFF" w:themeFill="background1"/>
              <w:spacing w:line="234" w:lineRule="exact"/>
              <w:jc w:val="both"/>
              <w:rPr>
                <w:b/>
              </w:rPr>
            </w:pPr>
          </w:p>
          <w:p w14:paraId="40FE128F" w14:textId="77777777" w:rsidR="008C20EB" w:rsidRDefault="008C20EB">
            <w:pPr>
              <w:pStyle w:val="TableParagraph"/>
              <w:shd w:val="clear" w:color="auto" w:fill="FFFFFF" w:themeFill="background1"/>
              <w:spacing w:line="234" w:lineRule="exact"/>
              <w:jc w:val="both"/>
              <w:rPr>
                <w:b/>
              </w:rPr>
            </w:pPr>
          </w:p>
          <w:p w14:paraId="40FE1290" w14:textId="77777777" w:rsidR="008C20EB" w:rsidRDefault="008C20EB">
            <w:pPr>
              <w:pStyle w:val="TableParagraph"/>
              <w:shd w:val="clear" w:color="auto" w:fill="FFFFFF" w:themeFill="background1"/>
              <w:spacing w:line="234" w:lineRule="exact"/>
              <w:jc w:val="both"/>
              <w:rPr>
                <w:b/>
              </w:rPr>
            </w:pPr>
          </w:p>
          <w:p w14:paraId="40FE1291" w14:textId="77777777" w:rsidR="008C20EB" w:rsidRDefault="008C20EB">
            <w:pPr>
              <w:pStyle w:val="TableParagraph"/>
              <w:shd w:val="clear" w:color="auto" w:fill="FFFFFF" w:themeFill="background1"/>
              <w:spacing w:line="234" w:lineRule="exact"/>
              <w:jc w:val="both"/>
              <w:rPr>
                <w:b/>
              </w:rPr>
            </w:pPr>
          </w:p>
          <w:p w14:paraId="40FE1292" w14:textId="77777777" w:rsidR="008C20EB" w:rsidRDefault="008C20EB">
            <w:pPr>
              <w:pStyle w:val="TableParagraph"/>
              <w:shd w:val="clear" w:color="auto" w:fill="FFFFFF" w:themeFill="background1"/>
              <w:spacing w:line="234" w:lineRule="exact"/>
              <w:jc w:val="both"/>
              <w:rPr>
                <w:b/>
              </w:rPr>
            </w:pPr>
          </w:p>
          <w:p w14:paraId="40FE1293" w14:textId="77777777" w:rsidR="008C20EB" w:rsidRDefault="008C20EB">
            <w:pPr>
              <w:pStyle w:val="TableParagraph"/>
              <w:shd w:val="clear" w:color="auto" w:fill="FFFFFF" w:themeFill="background1"/>
              <w:spacing w:line="234" w:lineRule="exact"/>
              <w:jc w:val="both"/>
              <w:rPr>
                <w:b/>
              </w:rPr>
            </w:pPr>
          </w:p>
          <w:p w14:paraId="40FE1294" w14:textId="77777777" w:rsidR="008C20EB" w:rsidRDefault="008C20EB">
            <w:pPr>
              <w:pStyle w:val="TableParagraph"/>
              <w:shd w:val="clear" w:color="auto" w:fill="FFFFFF" w:themeFill="background1"/>
              <w:spacing w:line="234" w:lineRule="exact"/>
              <w:jc w:val="both"/>
              <w:rPr>
                <w:b/>
              </w:rPr>
            </w:pPr>
          </w:p>
          <w:p w14:paraId="40FE1295" w14:textId="77777777" w:rsidR="008C20EB" w:rsidRDefault="008C20EB">
            <w:pPr>
              <w:pStyle w:val="TableParagraph"/>
              <w:shd w:val="clear" w:color="auto" w:fill="FFFFFF" w:themeFill="background1"/>
              <w:spacing w:line="234" w:lineRule="exact"/>
              <w:jc w:val="both"/>
              <w:rPr>
                <w:b/>
              </w:rPr>
            </w:pPr>
          </w:p>
          <w:p w14:paraId="40FE1296" w14:textId="77777777" w:rsidR="008C20EB" w:rsidRDefault="008C20EB">
            <w:pPr>
              <w:pStyle w:val="TableParagraph"/>
              <w:shd w:val="clear" w:color="auto" w:fill="FFFFFF" w:themeFill="background1"/>
              <w:spacing w:line="234" w:lineRule="exact"/>
              <w:jc w:val="both"/>
              <w:rPr>
                <w:b/>
              </w:rPr>
            </w:pPr>
          </w:p>
          <w:p w14:paraId="40FE1297" w14:textId="77777777" w:rsidR="008C20EB" w:rsidRDefault="008C20EB">
            <w:pPr>
              <w:pStyle w:val="TableParagraph"/>
              <w:shd w:val="clear" w:color="auto" w:fill="FFFFFF" w:themeFill="background1"/>
              <w:spacing w:line="234" w:lineRule="exact"/>
              <w:jc w:val="both"/>
              <w:rPr>
                <w:b/>
              </w:rPr>
            </w:pPr>
          </w:p>
          <w:p w14:paraId="40FE1298" w14:textId="77777777" w:rsidR="008C20EB" w:rsidRDefault="008C20EB">
            <w:pPr>
              <w:pStyle w:val="TableParagraph"/>
              <w:shd w:val="clear" w:color="auto" w:fill="FFFFFF" w:themeFill="background1"/>
              <w:spacing w:line="234" w:lineRule="exact"/>
              <w:jc w:val="both"/>
              <w:rPr>
                <w:b/>
              </w:rPr>
            </w:pPr>
          </w:p>
          <w:p w14:paraId="40FE1299" w14:textId="77777777" w:rsidR="008C20EB" w:rsidRDefault="008C20EB">
            <w:pPr>
              <w:pStyle w:val="TableParagraph"/>
              <w:shd w:val="clear" w:color="auto" w:fill="FFFFFF" w:themeFill="background1"/>
              <w:spacing w:line="234" w:lineRule="exact"/>
              <w:jc w:val="both"/>
              <w:rPr>
                <w:b/>
              </w:rPr>
            </w:pPr>
          </w:p>
          <w:p w14:paraId="40FE129A" w14:textId="77777777" w:rsidR="008C20EB" w:rsidRDefault="008C20EB">
            <w:pPr>
              <w:pStyle w:val="TableParagraph"/>
              <w:shd w:val="clear" w:color="auto" w:fill="FFFFFF" w:themeFill="background1"/>
              <w:spacing w:line="234" w:lineRule="exact"/>
              <w:jc w:val="both"/>
              <w:rPr>
                <w:b/>
              </w:rPr>
            </w:pPr>
          </w:p>
          <w:p w14:paraId="40FE129B" w14:textId="77777777" w:rsidR="008C20EB" w:rsidRDefault="008C20EB">
            <w:pPr>
              <w:pStyle w:val="TableParagraph"/>
              <w:shd w:val="clear" w:color="auto" w:fill="FFFFFF" w:themeFill="background1"/>
              <w:spacing w:line="234" w:lineRule="exact"/>
              <w:jc w:val="both"/>
              <w:rPr>
                <w:b/>
              </w:rPr>
            </w:pPr>
          </w:p>
          <w:p w14:paraId="40FE129C" w14:textId="77777777" w:rsidR="008C20EB" w:rsidRDefault="008C20EB">
            <w:pPr>
              <w:pStyle w:val="TableParagraph"/>
              <w:shd w:val="clear" w:color="auto" w:fill="FFFFFF" w:themeFill="background1"/>
              <w:spacing w:line="234" w:lineRule="exact"/>
              <w:jc w:val="both"/>
              <w:rPr>
                <w:b/>
              </w:rPr>
            </w:pPr>
          </w:p>
          <w:p w14:paraId="40FE129D" w14:textId="77777777" w:rsidR="008C20EB" w:rsidRDefault="008C20EB">
            <w:pPr>
              <w:pStyle w:val="TableParagraph"/>
              <w:shd w:val="clear" w:color="auto" w:fill="FFFFFF" w:themeFill="background1"/>
              <w:spacing w:line="234" w:lineRule="exact"/>
              <w:jc w:val="both"/>
              <w:rPr>
                <w:b/>
              </w:rPr>
            </w:pPr>
          </w:p>
          <w:p w14:paraId="40FE129E" w14:textId="77777777" w:rsidR="008C20EB" w:rsidRDefault="008C20EB">
            <w:pPr>
              <w:pStyle w:val="TableParagraph"/>
              <w:shd w:val="clear" w:color="auto" w:fill="FFFFFF" w:themeFill="background1"/>
              <w:spacing w:line="234" w:lineRule="exact"/>
              <w:jc w:val="both"/>
              <w:rPr>
                <w:b/>
              </w:rPr>
            </w:pPr>
          </w:p>
          <w:p w14:paraId="40FE129F" w14:textId="77777777" w:rsidR="008C20EB" w:rsidRDefault="008C20EB">
            <w:pPr>
              <w:pStyle w:val="TableParagraph"/>
              <w:shd w:val="clear" w:color="auto" w:fill="FFFFFF" w:themeFill="background1"/>
              <w:spacing w:line="234" w:lineRule="exact"/>
              <w:jc w:val="both"/>
              <w:rPr>
                <w:b/>
              </w:rPr>
            </w:pPr>
          </w:p>
          <w:p w14:paraId="40FE12A0" w14:textId="77777777" w:rsidR="008C20EB" w:rsidRDefault="008C20EB">
            <w:pPr>
              <w:pStyle w:val="TableParagraph"/>
              <w:shd w:val="clear" w:color="auto" w:fill="FFFFFF" w:themeFill="background1"/>
              <w:spacing w:line="234" w:lineRule="exact"/>
              <w:jc w:val="both"/>
              <w:rPr>
                <w:b/>
              </w:rPr>
            </w:pPr>
          </w:p>
          <w:p w14:paraId="40FE12A1" w14:textId="77777777" w:rsidR="008C20EB" w:rsidRDefault="008C20EB">
            <w:pPr>
              <w:pStyle w:val="TableParagraph"/>
              <w:shd w:val="clear" w:color="auto" w:fill="FFFFFF" w:themeFill="background1"/>
              <w:spacing w:line="234" w:lineRule="exact"/>
              <w:jc w:val="both"/>
              <w:rPr>
                <w:b/>
              </w:rPr>
            </w:pPr>
          </w:p>
          <w:p w14:paraId="40FE12A2" w14:textId="77777777" w:rsidR="008C20EB" w:rsidRDefault="008C20EB">
            <w:pPr>
              <w:pStyle w:val="TableParagraph"/>
              <w:shd w:val="clear" w:color="auto" w:fill="FFFFFF" w:themeFill="background1"/>
              <w:spacing w:line="234" w:lineRule="exact"/>
              <w:jc w:val="both"/>
              <w:rPr>
                <w:b/>
              </w:rPr>
            </w:pPr>
          </w:p>
          <w:p w14:paraId="40FE12A3" w14:textId="77777777" w:rsidR="008C20EB" w:rsidRDefault="008C20EB">
            <w:pPr>
              <w:pStyle w:val="TableParagraph"/>
              <w:shd w:val="clear" w:color="auto" w:fill="FFFFFF" w:themeFill="background1"/>
              <w:spacing w:line="234" w:lineRule="exact"/>
              <w:jc w:val="both"/>
              <w:rPr>
                <w:b/>
              </w:rPr>
            </w:pPr>
          </w:p>
          <w:p w14:paraId="40FE12A4" w14:textId="77777777" w:rsidR="008C20EB" w:rsidRDefault="008C20EB">
            <w:pPr>
              <w:pStyle w:val="TableParagraph"/>
              <w:shd w:val="clear" w:color="auto" w:fill="FFFFFF" w:themeFill="background1"/>
              <w:spacing w:line="234" w:lineRule="exact"/>
              <w:jc w:val="both"/>
              <w:rPr>
                <w:b/>
              </w:rPr>
            </w:pPr>
          </w:p>
          <w:p w14:paraId="40FE12A5" w14:textId="77777777" w:rsidR="008C20EB" w:rsidRDefault="008C20EB">
            <w:pPr>
              <w:pStyle w:val="TableParagraph"/>
              <w:shd w:val="clear" w:color="auto" w:fill="FFFFFF" w:themeFill="background1"/>
              <w:spacing w:line="234" w:lineRule="exact"/>
              <w:jc w:val="both"/>
              <w:rPr>
                <w:b/>
              </w:rPr>
            </w:pPr>
          </w:p>
        </w:tc>
        <w:tc>
          <w:tcPr>
            <w:tcW w:w="8162" w:type="dxa"/>
            <w:tcBorders>
              <w:bottom w:val="single" w:sz="4" w:space="0" w:color="auto"/>
            </w:tcBorders>
            <w:vAlign w:val="bottom"/>
          </w:tcPr>
          <w:p w14:paraId="40FE12A6" w14:textId="77777777" w:rsidR="008C20EB" w:rsidRDefault="008D25BE">
            <w:pPr>
              <w:pStyle w:val="TableParagraph"/>
              <w:shd w:val="clear" w:color="auto" w:fill="FFFFFF" w:themeFill="background1"/>
              <w:spacing w:line="234" w:lineRule="exact"/>
              <w:ind w:right="39"/>
              <w:jc w:val="both"/>
              <w:rPr>
                <w:rFonts w:cs="Segoe UI"/>
                <w:bCs/>
                <w:sz w:val="20"/>
                <w:szCs w:val="20"/>
              </w:rPr>
            </w:pPr>
            <w:r>
              <w:rPr>
                <w:rFonts w:cs="Segoe UI"/>
                <w:bCs/>
                <w:sz w:val="20"/>
                <w:szCs w:val="20"/>
              </w:rPr>
              <w:lastRenderedPageBreak/>
              <w:t>En el capítulo III y IV:</w:t>
            </w:r>
          </w:p>
          <w:p w14:paraId="40FE12A7"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elimina, la Descripción del Rubro 14 Créditos la sección “Créditos aprobados pendientes de desembolso”.</w:t>
            </w:r>
          </w:p>
          <w:p w14:paraId="40FE12A8"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el segundo párrafo de la clase 7 “Contingentes”.</w:t>
            </w:r>
          </w:p>
          <w:p w14:paraId="40FE12A9"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descripción del rubro 71 “Contingentes deudoras”.</w:t>
            </w:r>
          </w:p>
          <w:p w14:paraId="40FE12AA"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elimina, en</w:t>
            </w:r>
            <w:r>
              <w:rPr>
                <w:rFonts w:cs="Segoe UI"/>
                <w:bCs/>
                <w:sz w:val="20"/>
                <w:szCs w:val="20"/>
                <w:lang w:val="es-PE"/>
              </w:rPr>
              <w:t xml:space="preserve"> el rubro 71 “Contingentes deudoras”, la cuenta 7105 “Líneas de crédito no utilizadas y créditos concedidos no desembolsados”.</w:t>
            </w:r>
          </w:p>
          <w:p w14:paraId="40FE12AB"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descripción del rubro 72 “Contingentes Acreedora”.</w:t>
            </w:r>
          </w:p>
          <w:p w14:paraId="40FE12AC"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elimina, en el rubro 72” Contingente Acreedoras” la cuenta 7205 “Responsabilidad por líneas de crédito no utilizadas y créditos concedidos no desembolsados”.</w:t>
            </w:r>
          </w:p>
          <w:p w14:paraId="40FE12AD" w14:textId="77777777" w:rsidR="008C20EB" w:rsidRDefault="008C20EB">
            <w:pPr>
              <w:pStyle w:val="TableParagraph"/>
              <w:shd w:val="clear" w:color="auto" w:fill="FFFFFF" w:themeFill="background1"/>
              <w:spacing w:line="234" w:lineRule="exact"/>
              <w:ind w:right="39"/>
              <w:jc w:val="both"/>
              <w:rPr>
                <w:rFonts w:cs="Segoe UI"/>
                <w:bCs/>
                <w:sz w:val="20"/>
                <w:szCs w:val="20"/>
              </w:rPr>
            </w:pPr>
          </w:p>
          <w:p w14:paraId="40FE12AE" w14:textId="77777777" w:rsidR="008C20EB" w:rsidRDefault="008D25BE">
            <w:pPr>
              <w:pStyle w:val="TableParagraph"/>
              <w:shd w:val="clear" w:color="auto" w:fill="FFFFFF" w:themeFill="background1"/>
              <w:spacing w:line="234" w:lineRule="exact"/>
              <w:ind w:right="39"/>
              <w:jc w:val="both"/>
              <w:rPr>
                <w:rFonts w:cs="Segoe UI"/>
                <w:bCs/>
                <w:sz w:val="20"/>
                <w:szCs w:val="20"/>
              </w:rPr>
            </w:pPr>
            <w:r>
              <w:rPr>
                <w:rFonts w:cs="Segoe UI"/>
                <w:bCs/>
                <w:sz w:val="20"/>
                <w:szCs w:val="20"/>
              </w:rPr>
              <w:t xml:space="preserve">En el capítulo V: </w:t>
            </w:r>
          </w:p>
          <w:p w14:paraId="40FE12AF"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modifica el concepto del literal d) de la sección “Créditos Indirectos” del cuadre del Anexo 5 Informe de clasificación de deudores y provisiones.</w:t>
            </w:r>
          </w:p>
          <w:p w14:paraId="40FE12B0" w14:textId="77777777" w:rsidR="008C20EB" w:rsidRDefault="008C20EB">
            <w:pPr>
              <w:pStyle w:val="TableParagraph"/>
              <w:shd w:val="clear" w:color="auto" w:fill="FFFFFF" w:themeFill="background1"/>
              <w:spacing w:line="234" w:lineRule="exact"/>
              <w:ind w:right="39"/>
              <w:jc w:val="both"/>
              <w:rPr>
                <w:rFonts w:cs="Segoe UI"/>
                <w:bCs/>
                <w:sz w:val="20"/>
                <w:szCs w:val="20"/>
              </w:rPr>
            </w:pPr>
          </w:p>
          <w:p w14:paraId="40FE12B1"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sección “Obligaciones contingentes” y se elimina la nota metodológica  49 y se modifica la nota metodológica 47 del Anexo 15-B “Ratio de cobertura de liquidez</w:t>
            </w:r>
          </w:p>
          <w:p w14:paraId="40FE12B2" w14:textId="77777777" w:rsidR="008C20EB" w:rsidRDefault="008C20EB">
            <w:pPr>
              <w:pStyle w:val="TableParagraph"/>
              <w:shd w:val="clear" w:color="auto" w:fill="FFFFFF" w:themeFill="background1"/>
              <w:spacing w:line="234" w:lineRule="exact"/>
              <w:ind w:right="39"/>
              <w:jc w:val="both"/>
              <w:rPr>
                <w:rFonts w:cs="Segoe UI"/>
                <w:bCs/>
                <w:sz w:val="20"/>
                <w:szCs w:val="20"/>
              </w:rPr>
            </w:pPr>
          </w:p>
          <w:p w14:paraId="40FE12B3"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lastRenderedPageBreak/>
              <w:t>Se sustituye la sección “Obligaciones Contingentes” del Anexo 16-C “Ratio de Financiación Neta Estable”.</w:t>
            </w:r>
          </w:p>
          <w:p w14:paraId="40FE12B4" w14:textId="77777777" w:rsidR="008C20EB" w:rsidRDefault="008C20EB">
            <w:pPr>
              <w:pStyle w:val="Prrafodelista"/>
              <w:rPr>
                <w:rFonts w:cs="Segoe UI"/>
                <w:bCs/>
                <w:sz w:val="20"/>
                <w:szCs w:val="20"/>
              </w:rPr>
            </w:pPr>
          </w:p>
          <w:p w14:paraId="40FE12B5"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modifico</w:t>
            </w:r>
            <w:r>
              <w:t xml:space="preserve"> </w:t>
            </w:r>
            <w:r>
              <w:rPr>
                <w:rFonts w:cs="Segoe UI"/>
                <w:bCs/>
                <w:sz w:val="20"/>
                <w:szCs w:val="20"/>
              </w:rPr>
              <w:t>el Catálogo de Cuentas del RCD del Anexo N° 6 “Reporte Crediticio de Deudores - RCD”</w:t>
            </w:r>
          </w:p>
          <w:p w14:paraId="40FE12B6"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rPr>
            </w:pPr>
            <w:r>
              <w:rPr>
                <w:rFonts w:cs="Segoe UI"/>
                <w:bCs/>
                <w:sz w:val="20"/>
                <w:szCs w:val="20"/>
              </w:rPr>
              <w:t>Se sustituye la Nota 2 del Reporte 4-A1 “Requerimiento de colchón por ciclo económico – empresas que aplican método estándar”</w:t>
            </w:r>
          </w:p>
          <w:p w14:paraId="40FE12B7" w14:textId="77777777" w:rsidR="008C20EB" w:rsidRDefault="008C20EB">
            <w:pPr>
              <w:pStyle w:val="TableParagraph"/>
              <w:shd w:val="clear" w:color="auto" w:fill="FFFFFF" w:themeFill="background1"/>
              <w:spacing w:line="234" w:lineRule="exact"/>
              <w:ind w:right="39"/>
              <w:jc w:val="both"/>
              <w:rPr>
                <w:rFonts w:cs="Segoe UI"/>
                <w:bCs/>
                <w:sz w:val="20"/>
                <w:szCs w:val="20"/>
                <w:lang w:val="es-PE"/>
              </w:rPr>
            </w:pPr>
          </w:p>
          <w:p w14:paraId="40FE12B8"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lang w:val="es-PE"/>
              </w:rPr>
            </w:pPr>
            <w:r>
              <w:rPr>
                <w:rFonts w:cs="Segoe UI"/>
                <w:bCs/>
                <w:sz w:val="20"/>
                <w:szCs w:val="20"/>
                <w:lang w:val="es-PE"/>
              </w:rPr>
              <w:t>Se modifica el primer párrafo de las consideraciones generales en el listado de contingentes, se sustituye la nota número 6 del Reporte 23 “Exposición al Riesgo País”.</w:t>
            </w:r>
          </w:p>
          <w:p w14:paraId="40FE12B9" w14:textId="77777777" w:rsidR="008C20EB" w:rsidRDefault="008D25BE">
            <w:pPr>
              <w:pStyle w:val="TableParagraph"/>
              <w:numPr>
                <w:ilvl w:val="0"/>
                <w:numId w:val="12"/>
              </w:numPr>
              <w:shd w:val="clear" w:color="auto" w:fill="FFFFFF" w:themeFill="background1"/>
              <w:spacing w:line="234" w:lineRule="exact"/>
              <w:ind w:right="39"/>
              <w:jc w:val="both"/>
              <w:rPr>
                <w:rFonts w:cs="Segoe UI"/>
                <w:bCs/>
                <w:sz w:val="20"/>
                <w:szCs w:val="20"/>
                <w:lang w:val="es-PE"/>
              </w:rPr>
            </w:pPr>
            <w:r>
              <w:rPr>
                <w:rFonts w:cs="Segoe UI"/>
                <w:bCs/>
                <w:sz w:val="20"/>
                <w:szCs w:val="20"/>
                <w:lang w:val="es-PE"/>
              </w:rPr>
              <w:t>Se sustituye la nota número 9 del Reporte 23-A “Detalle de exposición a riesgo país con residentes en el exterior”</w:t>
            </w:r>
          </w:p>
          <w:p w14:paraId="40FE12BA" w14:textId="77777777" w:rsidR="008C20EB" w:rsidRDefault="008C20EB">
            <w:pPr>
              <w:pStyle w:val="TableParagraph"/>
              <w:shd w:val="clear" w:color="auto" w:fill="FFFFFF" w:themeFill="background1"/>
              <w:spacing w:line="234" w:lineRule="exact"/>
              <w:ind w:left="720" w:right="39"/>
              <w:jc w:val="both"/>
              <w:rPr>
                <w:rFonts w:cs="Segoe UI"/>
                <w:bCs/>
                <w:sz w:val="20"/>
                <w:szCs w:val="20"/>
                <w:lang w:val="es-PE"/>
              </w:rPr>
            </w:pPr>
          </w:p>
          <w:p w14:paraId="40FE12BB" w14:textId="77777777" w:rsidR="008C20EB" w:rsidRDefault="008D25BE">
            <w:pPr>
              <w:pStyle w:val="TableParagraph"/>
              <w:numPr>
                <w:ilvl w:val="0"/>
                <w:numId w:val="12"/>
              </w:numPr>
              <w:shd w:val="clear" w:color="auto" w:fill="FFFFFF" w:themeFill="background1"/>
              <w:spacing w:line="234" w:lineRule="exact"/>
              <w:ind w:right="39"/>
              <w:jc w:val="both"/>
              <w:rPr>
                <w:b/>
                <w:sz w:val="20"/>
                <w:szCs w:val="20"/>
              </w:rPr>
            </w:pPr>
            <w:r>
              <w:rPr>
                <w:rFonts w:cs="Segoe UI"/>
                <w:bCs/>
                <w:sz w:val="20"/>
                <w:szCs w:val="20"/>
                <w:lang w:val="es-PE"/>
              </w:rPr>
              <w:t>Se sustituye la sección “Otras exposiciones fuera del balance” del numeral I. Medida de la Exposición y se modifica la nota metodológica 11 del Reporte 37 “Ratio de Apalancamiento”.</w:t>
            </w:r>
          </w:p>
          <w:p w14:paraId="40FE12BC" w14:textId="77777777" w:rsidR="008C20EB" w:rsidRDefault="008C20EB">
            <w:pPr>
              <w:pStyle w:val="Prrafodelista"/>
              <w:rPr>
                <w:b/>
                <w:sz w:val="20"/>
                <w:szCs w:val="20"/>
              </w:rPr>
            </w:pPr>
          </w:p>
          <w:p w14:paraId="40FE12BD" w14:textId="77777777" w:rsidR="008C20EB" w:rsidRDefault="008C20EB">
            <w:pPr>
              <w:pStyle w:val="TableParagraph"/>
              <w:shd w:val="clear" w:color="auto" w:fill="FFFFFF" w:themeFill="background1"/>
              <w:spacing w:line="234" w:lineRule="exact"/>
              <w:ind w:right="39"/>
              <w:jc w:val="both"/>
              <w:rPr>
                <w:b/>
                <w:sz w:val="20"/>
                <w:szCs w:val="20"/>
              </w:rPr>
            </w:pPr>
          </w:p>
          <w:p w14:paraId="40FE12BE" w14:textId="77777777" w:rsidR="008C20EB" w:rsidRDefault="008C20EB">
            <w:pPr>
              <w:pStyle w:val="TableParagraph"/>
              <w:shd w:val="clear" w:color="auto" w:fill="FFFFFF" w:themeFill="background1"/>
              <w:spacing w:line="234" w:lineRule="exact"/>
              <w:ind w:right="39"/>
              <w:jc w:val="both"/>
              <w:rPr>
                <w:b/>
                <w:sz w:val="20"/>
                <w:szCs w:val="20"/>
              </w:rPr>
            </w:pPr>
          </w:p>
          <w:p w14:paraId="40FE12BF" w14:textId="77777777" w:rsidR="008C20EB" w:rsidRDefault="008C20EB">
            <w:pPr>
              <w:pStyle w:val="TableParagraph"/>
              <w:shd w:val="clear" w:color="auto" w:fill="FFFFFF" w:themeFill="background1"/>
              <w:spacing w:line="234" w:lineRule="exact"/>
              <w:ind w:right="39"/>
              <w:jc w:val="both"/>
              <w:rPr>
                <w:b/>
                <w:sz w:val="20"/>
                <w:szCs w:val="20"/>
              </w:rPr>
            </w:pPr>
          </w:p>
          <w:p w14:paraId="40FE12C0" w14:textId="77777777" w:rsidR="008C20EB" w:rsidRDefault="008C20EB">
            <w:pPr>
              <w:pStyle w:val="TableParagraph"/>
              <w:shd w:val="clear" w:color="auto" w:fill="FFFFFF" w:themeFill="background1"/>
              <w:spacing w:line="234" w:lineRule="exact"/>
              <w:ind w:right="39"/>
              <w:jc w:val="both"/>
              <w:rPr>
                <w:b/>
                <w:sz w:val="20"/>
                <w:szCs w:val="20"/>
              </w:rPr>
            </w:pPr>
          </w:p>
        </w:tc>
      </w:tr>
      <w:tr w:rsidR="008C20EB" w14:paraId="40FE12C7" w14:textId="77777777">
        <w:trPr>
          <w:trHeight w:val="2151"/>
        </w:trPr>
        <w:tc>
          <w:tcPr>
            <w:tcW w:w="1574" w:type="dxa"/>
            <w:tcBorders>
              <w:bottom w:val="single" w:sz="4" w:space="0" w:color="auto"/>
            </w:tcBorders>
          </w:tcPr>
          <w:p w14:paraId="40FE12C2" w14:textId="77777777" w:rsidR="008C20EB" w:rsidRDefault="008D25BE">
            <w:pPr>
              <w:pStyle w:val="TableParagraph"/>
              <w:shd w:val="clear" w:color="auto" w:fill="FFFFFF" w:themeFill="background1"/>
              <w:spacing w:line="234" w:lineRule="exact"/>
              <w:rPr>
                <w:rFonts w:cs="Segoe UI"/>
                <w:b/>
                <w:bCs/>
                <w:color w:val="000000"/>
                <w:sz w:val="20"/>
                <w:szCs w:val="20"/>
                <w:shd w:val="clear" w:color="auto" w:fill="FFFFFF"/>
              </w:rPr>
            </w:pPr>
            <w:r>
              <w:rPr>
                <w:rFonts w:cs="Segoe UI"/>
                <w:b/>
                <w:bCs/>
                <w:color w:val="000000"/>
                <w:sz w:val="20"/>
                <w:szCs w:val="20"/>
                <w:shd w:val="clear" w:color="auto" w:fill="FFFFFF"/>
              </w:rPr>
              <w:lastRenderedPageBreak/>
              <w:t>Resolución SBS N° 03986-2024</w:t>
            </w:r>
          </w:p>
        </w:tc>
        <w:tc>
          <w:tcPr>
            <w:tcW w:w="1560" w:type="dxa"/>
            <w:tcBorders>
              <w:bottom w:val="single" w:sz="4" w:space="0" w:color="auto"/>
            </w:tcBorders>
          </w:tcPr>
          <w:p w14:paraId="40FE12C3" w14:textId="77777777" w:rsidR="008C20EB" w:rsidRDefault="008D25BE">
            <w:pPr>
              <w:pStyle w:val="TableParagraph"/>
              <w:shd w:val="clear" w:color="auto" w:fill="FFFFFF" w:themeFill="background1"/>
              <w:spacing w:line="234" w:lineRule="exact"/>
              <w:rPr>
                <w:b/>
              </w:rPr>
            </w:pPr>
            <w:r>
              <w:rPr>
                <w:b/>
              </w:rPr>
              <w:t>Pr. 21.11.2024      /Pub. 25.11.2024</w:t>
            </w:r>
          </w:p>
        </w:tc>
        <w:tc>
          <w:tcPr>
            <w:tcW w:w="3935" w:type="dxa"/>
            <w:tcBorders>
              <w:bottom w:val="single" w:sz="4" w:space="0" w:color="auto"/>
            </w:tcBorders>
          </w:tcPr>
          <w:p w14:paraId="40FE12C4" w14:textId="77777777" w:rsidR="008C20EB" w:rsidRDefault="008D25BE">
            <w:pPr>
              <w:pStyle w:val="TableParagraph"/>
              <w:shd w:val="clear" w:color="auto" w:fill="FFFFFF" w:themeFill="background1"/>
              <w:spacing w:line="234" w:lineRule="exact"/>
              <w:rPr>
                <w:sz w:val="20"/>
                <w:szCs w:val="20"/>
              </w:rPr>
            </w:pPr>
            <w:r>
              <w:rPr>
                <w:rFonts w:cs="Segoe UI"/>
                <w:color w:val="000000"/>
                <w:sz w:val="20"/>
                <w:szCs w:val="20"/>
                <w:shd w:val="clear" w:color="auto" w:fill="FFFFFF"/>
              </w:rPr>
              <w:t>Sustituir el Reporte N° 25-A denominado Detalle de Transferencias de Cartera Crediticia (directa e indirecta) Realizadas Durante el Trimestre del Capítulo V Información Complementaria del Manual de Contabilidad para las Empresas del Sistema Financiero.</w:t>
            </w:r>
            <w:r>
              <w:rPr>
                <w:sz w:val="20"/>
                <w:szCs w:val="20"/>
              </w:rPr>
              <w:t xml:space="preserve"> La presente entra en vigencia a partir de la información correspondiente al segundo trimestre del 2025.</w:t>
            </w:r>
          </w:p>
        </w:tc>
        <w:tc>
          <w:tcPr>
            <w:tcW w:w="8162" w:type="dxa"/>
            <w:tcBorders>
              <w:bottom w:val="single" w:sz="4" w:space="0" w:color="auto"/>
            </w:tcBorders>
          </w:tcPr>
          <w:p w14:paraId="40FE12C5" w14:textId="77777777" w:rsidR="008C20EB" w:rsidRDefault="008D25BE">
            <w:pPr>
              <w:pStyle w:val="TableParagraph"/>
              <w:shd w:val="clear" w:color="auto" w:fill="FFFFFF" w:themeFill="background1"/>
              <w:spacing w:after="240"/>
              <w:ind w:right="61"/>
              <w:rPr>
                <w:color w:val="000000"/>
                <w:sz w:val="20"/>
                <w:szCs w:val="20"/>
                <w:lang w:val="es-PE"/>
              </w:rPr>
            </w:pPr>
            <w:r>
              <w:rPr>
                <w:color w:val="000000"/>
                <w:sz w:val="20"/>
                <w:szCs w:val="20"/>
                <w:lang w:val="es-PE"/>
              </w:rPr>
              <w:t>En el Capítulo V:</w:t>
            </w:r>
          </w:p>
          <w:p w14:paraId="40FE12C6" w14:textId="77777777" w:rsidR="008C20EB" w:rsidRDefault="008D25BE">
            <w:pPr>
              <w:pStyle w:val="TableParagraph"/>
              <w:numPr>
                <w:ilvl w:val="0"/>
                <w:numId w:val="13"/>
              </w:numPr>
              <w:ind w:right="61"/>
              <w:rPr>
                <w:color w:val="000000"/>
                <w:sz w:val="20"/>
                <w:szCs w:val="20"/>
                <w:lang w:val="es-PE"/>
              </w:rPr>
            </w:pPr>
            <w:r>
              <w:rPr>
                <w:color w:val="000000"/>
                <w:sz w:val="20"/>
                <w:szCs w:val="20"/>
                <w:lang w:val="es-PE"/>
              </w:rPr>
              <w:t xml:space="preserve">Se sustituye, </w:t>
            </w:r>
            <w:r>
              <w:rPr>
                <w:rFonts w:ascii="Segoe UI" w:hAnsi="Segoe UI" w:cs="Segoe UI"/>
                <w:color w:val="000000"/>
                <w:sz w:val="18"/>
                <w:szCs w:val="18"/>
                <w:shd w:val="clear" w:color="auto" w:fill="FFFFFF"/>
              </w:rPr>
              <w:t>el Reporte N° 25-A denominado Detalle de Transferencias de Cartera Crediticia.</w:t>
            </w:r>
          </w:p>
        </w:tc>
      </w:tr>
      <w:tr w:rsidR="008C20EB" w14:paraId="40FE12CF" w14:textId="77777777">
        <w:trPr>
          <w:trHeight w:val="1478"/>
        </w:trPr>
        <w:tc>
          <w:tcPr>
            <w:tcW w:w="1574" w:type="dxa"/>
            <w:tcBorders>
              <w:bottom w:val="single" w:sz="4" w:space="0" w:color="auto"/>
            </w:tcBorders>
          </w:tcPr>
          <w:p w14:paraId="40FE12C8" w14:textId="77777777" w:rsidR="008C20EB" w:rsidRDefault="008D25BE">
            <w:pPr>
              <w:pStyle w:val="TableParagraph"/>
              <w:shd w:val="clear" w:color="auto" w:fill="FFFFFF" w:themeFill="background1"/>
              <w:spacing w:line="234" w:lineRule="exact"/>
              <w:rPr>
                <w:b/>
                <w:sz w:val="20"/>
                <w:szCs w:val="20"/>
              </w:rPr>
            </w:pPr>
            <w:r>
              <w:rPr>
                <w:b/>
                <w:sz w:val="20"/>
                <w:szCs w:val="20"/>
              </w:rPr>
              <w:t>Resolución SBS N° 03993-2024</w:t>
            </w:r>
          </w:p>
          <w:p w14:paraId="40FE12C9" w14:textId="77777777" w:rsidR="008C20EB" w:rsidRDefault="008C20EB">
            <w:pPr>
              <w:pStyle w:val="TableParagraph"/>
              <w:shd w:val="clear" w:color="auto" w:fill="FFFFFF" w:themeFill="background1"/>
              <w:spacing w:line="234" w:lineRule="exact"/>
              <w:ind w:left="383"/>
              <w:rPr>
                <w:b/>
                <w:bCs/>
              </w:rPr>
            </w:pPr>
          </w:p>
        </w:tc>
        <w:tc>
          <w:tcPr>
            <w:tcW w:w="1560" w:type="dxa"/>
            <w:tcBorders>
              <w:bottom w:val="single" w:sz="4" w:space="0" w:color="auto"/>
            </w:tcBorders>
          </w:tcPr>
          <w:p w14:paraId="40FE12CA" w14:textId="77777777" w:rsidR="008C20EB" w:rsidRDefault="008D25BE">
            <w:pPr>
              <w:pStyle w:val="TableParagraph"/>
              <w:shd w:val="clear" w:color="auto" w:fill="FFFFFF" w:themeFill="background1"/>
              <w:spacing w:line="234" w:lineRule="exact"/>
              <w:rPr>
                <w:b/>
              </w:rPr>
            </w:pPr>
            <w:r>
              <w:rPr>
                <w:b/>
              </w:rPr>
              <w:t>Pr. 21.11.2024         / Pub. 26.11.2024</w:t>
            </w:r>
          </w:p>
          <w:p w14:paraId="40FE12CB" w14:textId="77777777" w:rsidR="008C20EB" w:rsidRDefault="008C20EB">
            <w:pPr>
              <w:pStyle w:val="TableParagraph"/>
              <w:shd w:val="clear" w:color="auto" w:fill="FFFFFF" w:themeFill="background1"/>
              <w:spacing w:line="234" w:lineRule="exact"/>
              <w:rPr>
                <w:b/>
              </w:rPr>
            </w:pPr>
          </w:p>
        </w:tc>
        <w:tc>
          <w:tcPr>
            <w:tcW w:w="3935" w:type="dxa"/>
            <w:tcBorders>
              <w:bottom w:val="single" w:sz="4" w:space="0" w:color="auto"/>
            </w:tcBorders>
          </w:tcPr>
          <w:p w14:paraId="40FE12CC" w14:textId="77777777" w:rsidR="008C20EB" w:rsidRDefault="008D25BE">
            <w:pPr>
              <w:pStyle w:val="TableParagraph"/>
              <w:shd w:val="clear" w:color="auto" w:fill="FFFFFF" w:themeFill="background1"/>
              <w:spacing w:line="234" w:lineRule="exact"/>
              <w:rPr>
                <w:rFonts w:cs="Segoe UI"/>
                <w:color w:val="000000"/>
                <w:sz w:val="20"/>
                <w:szCs w:val="20"/>
                <w:shd w:val="clear" w:color="auto" w:fill="FFFFFF"/>
              </w:rPr>
            </w:pPr>
            <w:r>
              <w:rPr>
                <w:rFonts w:cs="Segoe UI"/>
                <w:color w:val="000000"/>
                <w:sz w:val="20"/>
                <w:szCs w:val="20"/>
                <w:shd w:val="clear" w:color="auto" w:fill="FFFFFF"/>
              </w:rPr>
              <w:t xml:space="preserve"> Se sustituye el Reporte N° 11 denominado Activos Transferidos al Fondo de Seguro de Depósitos del Capítulo V Información Complementaria del Manual de Contabilidad para las Empresas del Sistema Financiero. La presente entra en vigencia a partir de la información correspondiente a marzo 2025.</w:t>
            </w:r>
          </w:p>
        </w:tc>
        <w:tc>
          <w:tcPr>
            <w:tcW w:w="8162" w:type="dxa"/>
            <w:tcBorders>
              <w:bottom w:val="single" w:sz="4" w:space="0" w:color="auto"/>
            </w:tcBorders>
          </w:tcPr>
          <w:p w14:paraId="40FE12CD" w14:textId="77777777" w:rsidR="008C20EB" w:rsidRDefault="008D25BE">
            <w:pPr>
              <w:pStyle w:val="TableParagraph"/>
              <w:shd w:val="clear" w:color="auto" w:fill="FFFFFF" w:themeFill="background1"/>
              <w:spacing w:after="240"/>
              <w:ind w:right="61"/>
              <w:rPr>
                <w:rFonts w:cs="Segoe UI"/>
                <w:color w:val="000000"/>
                <w:sz w:val="20"/>
                <w:szCs w:val="20"/>
                <w:shd w:val="clear" w:color="auto" w:fill="FFFFFF"/>
              </w:rPr>
            </w:pPr>
            <w:r>
              <w:rPr>
                <w:rFonts w:cs="Segoe UI"/>
                <w:color w:val="000000"/>
                <w:sz w:val="20"/>
                <w:szCs w:val="20"/>
                <w:shd w:val="clear" w:color="auto" w:fill="FFFFFF"/>
              </w:rPr>
              <w:t>En el Capítulo V:</w:t>
            </w:r>
          </w:p>
          <w:p w14:paraId="40FE12CE" w14:textId="77777777" w:rsidR="008C20EB" w:rsidRDefault="008D25BE">
            <w:pPr>
              <w:pStyle w:val="TableParagraph"/>
              <w:numPr>
                <w:ilvl w:val="0"/>
                <w:numId w:val="13"/>
              </w:numPr>
              <w:shd w:val="clear" w:color="auto" w:fill="FFFFFF" w:themeFill="background1"/>
              <w:spacing w:line="234" w:lineRule="exact"/>
              <w:rPr>
                <w:rFonts w:cs="Segoe UI"/>
                <w:color w:val="000000"/>
                <w:sz w:val="20"/>
                <w:szCs w:val="20"/>
                <w:shd w:val="clear" w:color="auto" w:fill="FFFFFF"/>
              </w:rPr>
            </w:pPr>
            <w:r>
              <w:rPr>
                <w:rFonts w:cs="Segoe UI"/>
                <w:color w:val="000000"/>
                <w:sz w:val="20"/>
                <w:szCs w:val="20"/>
                <w:shd w:val="clear" w:color="auto" w:fill="FFFFFF"/>
              </w:rPr>
              <w:t>Se sustituye, el Reporte N° 11 denominado Activos Transferidos al Fondo de Seguro de Depósitos</w:t>
            </w:r>
          </w:p>
        </w:tc>
      </w:tr>
      <w:tr w:rsidR="008C20EB" w14:paraId="40FE12E1" w14:textId="77777777">
        <w:trPr>
          <w:trHeight w:val="253"/>
        </w:trPr>
        <w:tc>
          <w:tcPr>
            <w:tcW w:w="1574" w:type="dxa"/>
            <w:tcBorders>
              <w:bottom w:val="single" w:sz="4" w:space="0" w:color="auto"/>
            </w:tcBorders>
          </w:tcPr>
          <w:p w14:paraId="40FE12D0" w14:textId="77777777" w:rsidR="008C20EB" w:rsidRDefault="008D25BE">
            <w:pPr>
              <w:pStyle w:val="TableParagraph"/>
              <w:shd w:val="clear" w:color="auto" w:fill="FFFFFF" w:themeFill="background1"/>
              <w:spacing w:line="234" w:lineRule="exact"/>
              <w:jc w:val="both"/>
              <w:rPr>
                <w:b/>
              </w:rPr>
            </w:pPr>
            <w:r>
              <w:rPr>
                <w:b/>
                <w:sz w:val="20"/>
                <w:szCs w:val="20"/>
              </w:rPr>
              <w:t>Resolución SBS N° 2597-2024</w:t>
            </w:r>
          </w:p>
        </w:tc>
        <w:tc>
          <w:tcPr>
            <w:tcW w:w="1560" w:type="dxa"/>
            <w:tcBorders>
              <w:bottom w:val="single" w:sz="4" w:space="0" w:color="auto"/>
            </w:tcBorders>
          </w:tcPr>
          <w:p w14:paraId="40FE12D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24.07.2024</w:t>
            </w:r>
          </w:p>
          <w:p w14:paraId="40FE12D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2D3" w14:textId="77777777" w:rsidR="008C20EB" w:rsidRDefault="008D25BE">
            <w:pPr>
              <w:pStyle w:val="TableParagraph"/>
              <w:shd w:val="clear" w:color="auto" w:fill="FFFFFF" w:themeFill="background1"/>
              <w:spacing w:line="234" w:lineRule="exact"/>
              <w:jc w:val="both"/>
              <w:rPr>
                <w:b/>
              </w:rPr>
            </w:pPr>
            <w:r>
              <w:rPr>
                <w:b/>
                <w:sz w:val="20"/>
                <w:szCs w:val="20"/>
              </w:rPr>
              <w:t>Pub. 25.07.2024</w:t>
            </w:r>
          </w:p>
        </w:tc>
        <w:tc>
          <w:tcPr>
            <w:tcW w:w="3935" w:type="dxa"/>
            <w:tcBorders>
              <w:bottom w:val="single" w:sz="4" w:space="0" w:color="auto"/>
            </w:tcBorders>
          </w:tcPr>
          <w:p w14:paraId="40FE12D4" w14:textId="77777777" w:rsidR="008C20EB" w:rsidRDefault="008D25BE">
            <w:pPr>
              <w:pStyle w:val="TableParagraph"/>
              <w:shd w:val="clear" w:color="auto" w:fill="FFFFFF" w:themeFill="background1"/>
              <w:spacing w:line="234" w:lineRule="exact"/>
              <w:rPr>
                <w:sz w:val="20"/>
                <w:szCs w:val="20"/>
              </w:rPr>
            </w:pPr>
            <w:r>
              <w:rPr>
                <w:sz w:val="20"/>
                <w:szCs w:val="20"/>
              </w:rPr>
              <w:t xml:space="preserve">Se realizan modificaciones a los Capítulos III “Catálogo de Cuentas”, IV “Descripción y Dinámica de Cuentas” y V “Información Complementaria” del Manual de Contabilidad para Empresas del Sistema Financiero. Dichas modificaciones entran en vigencia a partir de la información correspondiente a setiembre de 2024. Excepto el numeral 2 del acápite </w:t>
            </w:r>
            <w:r>
              <w:rPr>
                <w:sz w:val="20"/>
                <w:szCs w:val="20"/>
              </w:rPr>
              <w:lastRenderedPageBreak/>
              <w:t>II del Anexo que entra en vigencia a partir de la información de julio de 2024.</w:t>
            </w:r>
          </w:p>
          <w:p w14:paraId="40FE12D5" w14:textId="77777777" w:rsidR="008C20EB" w:rsidRDefault="008C20EB">
            <w:pPr>
              <w:pStyle w:val="TableParagraph"/>
              <w:shd w:val="clear" w:color="auto" w:fill="FFFFFF" w:themeFill="background1"/>
              <w:spacing w:line="234" w:lineRule="exact"/>
            </w:pPr>
          </w:p>
        </w:tc>
        <w:tc>
          <w:tcPr>
            <w:tcW w:w="8162" w:type="dxa"/>
            <w:tcBorders>
              <w:bottom w:val="single" w:sz="4" w:space="0" w:color="auto"/>
            </w:tcBorders>
          </w:tcPr>
          <w:p w14:paraId="40FE12D6"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lastRenderedPageBreak/>
              <w:t>En el Capítulo III  y IV:</w:t>
            </w:r>
          </w:p>
          <w:p w14:paraId="40FE12D7"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Se sustituye, en el rubro 14 “Créditos”, la descripción de la cuenta analítica 1401.02.10 “Factoring” y 1401.02.05 “Descuento”.</w:t>
            </w:r>
          </w:p>
          <w:p w14:paraId="40FE12D8"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Se incorpora, en el rubro 14 “Créditos”, la cuenta analítica 1401.02.35 “Confirming”, así como su descripción.</w:t>
            </w:r>
          </w:p>
          <w:p w14:paraId="40FE12D9"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Se incorpora,</w:t>
            </w:r>
            <w:r>
              <w:t xml:space="preserve"> </w:t>
            </w:r>
            <w:r>
              <w:rPr>
                <w:color w:val="000000"/>
                <w:sz w:val="20"/>
                <w:szCs w:val="20"/>
                <w:lang w:val="es-PE"/>
              </w:rPr>
              <w:t xml:space="preserve">en el rubro 14 “Créditos”, las cuentas analíticas y subcuentas analíticas correspondiente </w:t>
            </w:r>
            <w:r>
              <w:rPr>
                <w:color w:val="000000"/>
                <w:sz w:val="20"/>
                <w:szCs w:val="20"/>
                <w:lang w:val="es-PE"/>
              </w:rPr>
              <w:lastRenderedPageBreak/>
              <w:t>a confirming.</w:t>
            </w:r>
          </w:p>
          <w:p w14:paraId="40FE12DA"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 xml:space="preserve">Se incorpora, en la cuenta 5104 “Intereses por Créditos”, las subcuentas analíticas de ingreso relacionados con la operación de confirming. </w:t>
            </w:r>
          </w:p>
          <w:p w14:paraId="40FE12DB" w14:textId="77777777" w:rsidR="008C20EB" w:rsidRDefault="008C20EB">
            <w:pPr>
              <w:pStyle w:val="TableParagraph"/>
              <w:ind w:left="720" w:right="61"/>
              <w:jc w:val="both"/>
              <w:rPr>
                <w:color w:val="000000"/>
                <w:sz w:val="20"/>
                <w:szCs w:val="20"/>
                <w:lang w:val="es-PE"/>
              </w:rPr>
            </w:pPr>
          </w:p>
          <w:p w14:paraId="40FE12DC"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2DD"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 xml:space="preserve">Se modifica el Anexo N°6 “Reporte Crediticio de Deudores - RCD”, las subcuentas analíticas correspondiente a confirming. </w:t>
            </w:r>
          </w:p>
          <w:p w14:paraId="40FE12DE" w14:textId="77777777" w:rsidR="008C20EB" w:rsidRDefault="008D25BE">
            <w:pPr>
              <w:pStyle w:val="TableParagraph"/>
              <w:numPr>
                <w:ilvl w:val="0"/>
                <w:numId w:val="13"/>
              </w:numPr>
              <w:ind w:right="61"/>
              <w:jc w:val="both"/>
              <w:rPr>
                <w:color w:val="000000"/>
                <w:sz w:val="20"/>
                <w:szCs w:val="20"/>
                <w:lang w:val="es-PE"/>
              </w:rPr>
            </w:pPr>
            <w:r>
              <w:rPr>
                <w:color w:val="000000"/>
                <w:sz w:val="20"/>
                <w:szCs w:val="20"/>
                <w:lang w:val="es-PE"/>
              </w:rPr>
              <w:t>Se sustituye, en las Instrucciones del RCD, los campos A-11 “Código de CIIU” y A-20 “Magnitud”.</w:t>
            </w:r>
          </w:p>
          <w:p w14:paraId="40FE12DF" w14:textId="77777777" w:rsidR="008C20EB" w:rsidRDefault="008C20EB">
            <w:pPr>
              <w:pStyle w:val="TableParagraph"/>
              <w:ind w:right="61"/>
              <w:jc w:val="both"/>
              <w:rPr>
                <w:color w:val="000000"/>
                <w:sz w:val="20"/>
                <w:szCs w:val="20"/>
                <w:lang w:val="es-PE"/>
              </w:rPr>
            </w:pPr>
          </w:p>
          <w:p w14:paraId="40FE12E0" w14:textId="77777777" w:rsidR="008C20EB" w:rsidRDefault="008C20EB">
            <w:pPr>
              <w:pStyle w:val="TableParagraph"/>
              <w:ind w:right="61"/>
              <w:jc w:val="both"/>
              <w:rPr>
                <w:color w:val="000000"/>
                <w:sz w:val="20"/>
                <w:szCs w:val="20"/>
                <w:lang w:val="es-PE"/>
              </w:rPr>
            </w:pPr>
          </w:p>
        </w:tc>
      </w:tr>
      <w:tr w:rsidR="008C20EB" w14:paraId="40FE12F2" w14:textId="77777777">
        <w:trPr>
          <w:trHeight w:val="253"/>
        </w:trPr>
        <w:tc>
          <w:tcPr>
            <w:tcW w:w="1574" w:type="dxa"/>
            <w:tcBorders>
              <w:bottom w:val="single" w:sz="4" w:space="0" w:color="auto"/>
            </w:tcBorders>
          </w:tcPr>
          <w:p w14:paraId="40FE12E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Resolución SBS N° 02110-2024</w:t>
            </w:r>
          </w:p>
        </w:tc>
        <w:tc>
          <w:tcPr>
            <w:tcW w:w="1560" w:type="dxa"/>
            <w:tcBorders>
              <w:bottom w:val="single" w:sz="4" w:space="0" w:color="auto"/>
            </w:tcBorders>
          </w:tcPr>
          <w:p w14:paraId="40FE12E3"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06. 06.2024</w:t>
            </w:r>
          </w:p>
          <w:p w14:paraId="40FE12E4"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2E5"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11.06.2024</w:t>
            </w:r>
          </w:p>
        </w:tc>
        <w:tc>
          <w:tcPr>
            <w:tcW w:w="3935" w:type="dxa"/>
            <w:tcBorders>
              <w:bottom w:val="single" w:sz="4" w:space="0" w:color="auto"/>
            </w:tcBorders>
          </w:tcPr>
          <w:p w14:paraId="40FE12E6" w14:textId="77777777" w:rsidR="008C20EB" w:rsidRDefault="008D25BE">
            <w:pPr>
              <w:pStyle w:val="TableParagraph"/>
              <w:shd w:val="clear" w:color="auto" w:fill="FFFFFF" w:themeFill="background1"/>
              <w:spacing w:line="234" w:lineRule="exact"/>
              <w:rPr>
                <w:sz w:val="20"/>
                <w:szCs w:val="20"/>
              </w:rPr>
            </w:pPr>
            <w:r>
              <w:rPr>
                <w:sz w:val="20"/>
                <w:szCs w:val="20"/>
              </w:rPr>
              <w:t>Se realizan modificaciones a los Capítulos IV “Descripción y Dinámica” y V “Información Complementaria” del Manual de Contabilidad para las Empresas del Sistema Financiero.  Dichas modificaciones entran en vigencia conforme a lo dispuesto a continuación:</w:t>
            </w:r>
          </w:p>
          <w:p w14:paraId="40FE12E7" w14:textId="77777777" w:rsidR="008C20EB" w:rsidRDefault="008D25BE">
            <w:pPr>
              <w:pStyle w:val="TableParagraph"/>
              <w:numPr>
                <w:ilvl w:val="0"/>
                <w:numId w:val="14"/>
              </w:numPr>
              <w:shd w:val="clear" w:color="auto" w:fill="FFFFFF" w:themeFill="background1"/>
              <w:spacing w:line="234" w:lineRule="exact"/>
              <w:ind w:left="280" w:hanging="280"/>
              <w:rPr>
                <w:sz w:val="20"/>
                <w:szCs w:val="20"/>
              </w:rPr>
            </w:pPr>
            <w:r>
              <w:rPr>
                <w:sz w:val="20"/>
                <w:szCs w:val="20"/>
              </w:rPr>
              <w:t>El Capítulo IV “Descripción y Dinámica” entra en vigencia a partir del 01 de octubre de 2024.</w:t>
            </w:r>
          </w:p>
          <w:p w14:paraId="40FE12E8" w14:textId="77777777" w:rsidR="008C20EB" w:rsidRDefault="008D25BE">
            <w:pPr>
              <w:pStyle w:val="TableParagraph"/>
              <w:numPr>
                <w:ilvl w:val="0"/>
                <w:numId w:val="14"/>
              </w:numPr>
              <w:shd w:val="clear" w:color="auto" w:fill="FFFFFF" w:themeFill="background1"/>
              <w:spacing w:line="234" w:lineRule="exact"/>
              <w:ind w:left="280" w:hanging="280"/>
              <w:rPr>
                <w:sz w:val="20"/>
                <w:szCs w:val="20"/>
              </w:rPr>
            </w:pPr>
            <w:r>
              <w:rPr>
                <w:sz w:val="20"/>
                <w:szCs w:val="20"/>
              </w:rPr>
              <w:t>El Anexo N° 5 “Información de clasificación de deudores y provisiones” entra en vigencia a partir de la información de julio de 2025.</w:t>
            </w:r>
          </w:p>
          <w:p w14:paraId="40FE12E9" w14:textId="77777777" w:rsidR="008C20EB" w:rsidRDefault="008D25BE">
            <w:pPr>
              <w:pStyle w:val="TableParagraph"/>
              <w:numPr>
                <w:ilvl w:val="0"/>
                <w:numId w:val="14"/>
              </w:numPr>
              <w:shd w:val="clear" w:color="auto" w:fill="FFFFFF" w:themeFill="background1"/>
              <w:spacing w:line="234" w:lineRule="exact"/>
              <w:ind w:left="280" w:hanging="280"/>
              <w:rPr>
                <w:sz w:val="20"/>
                <w:szCs w:val="20"/>
              </w:rPr>
            </w:pPr>
            <w:r>
              <w:rPr>
                <w:sz w:val="20"/>
                <w:szCs w:val="20"/>
              </w:rPr>
              <w:t>El Reporte N° 3 “Patrimonio Efectivo” en vigencia a partir de la información de junio de 2024.</w:t>
            </w:r>
          </w:p>
          <w:p w14:paraId="40FE12EA" w14:textId="77777777" w:rsidR="008C20EB" w:rsidRDefault="008C20EB">
            <w:pPr>
              <w:pStyle w:val="TableParagraph"/>
              <w:shd w:val="clear" w:color="auto" w:fill="FFFFFF" w:themeFill="background1"/>
              <w:spacing w:line="234" w:lineRule="exact"/>
              <w:ind w:left="280"/>
              <w:rPr>
                <w:sz w:val="20"/>
                <w:szCs w:val="20"/>
              </w:rPr>
            </w:pPr>
          </w:p>
        </w:tc>
        <w:tc>
          <w:tcPr>
            <w:tcW w:w="8162" w:type="dxa"/>
            <w:tcBorders>
              <w:bottom w:val="single" w:sz="4" w:space="0" w:color="auto"/>
            </w:tcBorders>
          </w:tcPr>
          <w:p w14:paraId="40FE12EB" w14:textId="77777777" w:rsidR="008C20EB" w:rsidRDefault="008D25BE">
            <w:pPr>
              <w:pStyle w:val="TableParagraph"/>
              <w:ind w:right="61"/>
              <w:jc w:val="both"/>
              <w:rPr>
                <w:color w:val="000000"/>
                <w:sz w:val="20"/>
                <w:szCs w:val="20"/>
                <w:lang w:val="es-PE"/>
              </w:rPr>
            </w:pPr>
            <w:r>
              <w:rPr>
                <w:color w:val="000000"/>
                <w:sz w:val="20"/>
                <w:szCs w:val="20"/>
                <w:lang w:val="es-PE"/>
              </w:rPr>
              <w:t>En el Capítulo IV:</w:t>
            </w:r>
          </w:p>
          <w:p w14:paraId="40FE12EC" w14:textId="77777777" w:rsidR="008C20EB" w:rsidRDefault="008D25BE">
            <w:pPr>
              <w:pStyle w:val="TableParagraph"/>
              <w:numPr>
                <w:ilvl w:val="0"/>
                <w:numId w:val="15"/>
              </w:numPr>
              <w:ind w:right="61"/>
              <w:jc w:val="both"/>
              <w:rPr>
                <w:color w:val="000000"/>
                <w:sz w:val="20"/>
                <w:szCs w:val="20"/>
                <w:lang w:val="es-PE"/>
              </w:rPr>
            </w:pPr>
            <w:r>
              <w:rPr>
                <w:color w:val="000000"/>
                <w:sz w:val="20"/>
                <w:szCs w:val="20"/>
                <w:lang w:val="es-PE"/>
              </w:rPr>
              <w:t>Se sustituye, en la descripción del Rubro: 14 “Créditos”, en la parte de tipos de créditos.</w:t>
            </w:r>
          </w:p>
          <w:p w14:paraId="40FE12ED" w14:textId="77777777" w:rsidR="008C20EB" w:rsidRDefault="008C20EB">
            <w:pPr>
              <w:pStyle w:val="TableParagraph"/>
              <w:ind w:right="61"/>
              <w:jc w:val="both"/>
              <w:rPr>
                <w:color w:val="000000"/>
                <w:sz w:val="20"/>
                <w:szCs w:val="20"/>
                <w:lang w:val="es-PE"/>
              </w:rPr>
            </w:pPr>
          </w:p>
          <w:p w14:paraId="40FE12EE" w14:textId="77777777" w:rsidR="008C20EB" w:rsidRDefault="008D25BE">
            <w:pPr>
              <w:pStyle w:val="TableParagraph"/>
              <w:ind w:right="61"/>
              <w:jc w:val="both"/>
              <w:rPr>
                <w:color w:val="000000"/>
                <w:sz w:val="20"/>
                <w:szCs w:val="20"/>
                <w:lang w:val="es-PE"/>
              </w:rPr>
            </w:pPr>
            <w:r>
              <w:rPr>
                <w:color w:val="000000"/>
                <w:sz w:val="20"/>
                <w:szCs w:val="20"/>
                <w:lang w:val="es-PE"/>
              </w:rPr>
              <w:t>En el Capítulo V:</w:t>
            </w:r>
          </w:p>
          <w:p w14:paraId="40FE12EF" w14:textId="77777777" w:rsidR="008C20EB" w:rsidRDefault="008D25BE">
            <w:pPr>
              <w:pStyle w:val="TableParagraph"/>
              <w:numPr>
                <w:ilvl w:val="0"/>
                <w:numId w:val="15"/>
              </w:numPr>
              <w:ind w:right="61"/>
              <w:jc w:val="both"/>
              <w:rPr>
                <w:color w:val="000000"/>
                <w:sz w:val="20"/>
                <w:szCs w:val="20"/>
                <w:lang w:val="es-PE"/>
              </w:rPr>
            </w:pPr>
            <w:r>
              <w:rPr>
                <w:color w:val="000000"/>
                <w:sz w:val="20"/>
                <w:szCs w:val="20"/>
                <w:lang w:val="es-PE"/>
              </w:rPr>
              <w:t>Se modifica el Anexo N° 5 “Informe de clasificación de deudores y provisiones”</w:t>
            </w:r>
          </w:p>
          <w:p w14:paraId="40FE12F0" w14:textId="77777777" w:rsidR="008C20EB" w:rsidRDefault="008D25BE">
            <w:pPr>
              <w:pStyle w:val="TableParagraph"/>
              <w:numPr>
                <w:ilvl w:val="0"/>
                <w:numId w:val="15"/>
              </w:numPr>
              <w:ind w:right="61"/>
              <w:jc w:val="both"/>
              <w:rPr>
                <w:color w:val="000000"/>
                <w:sz w:val="20"/>
                <w:szCs w:val="20"/>
                <w:lang w:val="es-PE"/>
              </w:rPr>
            </w:pPr>
            <w:r>
              <w:rPr>
                <w:color w:val="000000"/>
                <w:sz w:val="20"/>
                <w:szCs w:val="20"/>
                <w:lang w:val="es-PE"/>
              </w:rPr>
              <w:t>Se modifica el Reporte N°3 “Patrimonio Efectivo”</w:t>
            </w:r>
          </w:p>
          <w:p w14:paraId="40FE12F1" w14:textId="77777777" w:rsidR="008C20EB" w:rsidRDefault="008C20EB">
            <w:pPr>
              <w:pStyle w:val="TableParagraph"/>
              <w:ind w:right="61"/>
              <w:jc w:val="both"/>
              <w:rPr>
                <w:color w:val="000000"/>
                <w:sz w:val="20"/>
                <w:szCs w:val="20"/>
                <w:lang w:val="es-PE"/>
              </w:rPr>
            </w:pPr>
          </w:p>
        </w:tc>
      </w:tr>
      <w:tr w:rsidR="008C20EB" w14:paraId="40FE130F" w14:textId="77777777">
        <w:trPr>
          <w:trHeight w:val="253"/>
        </w:trPr>
        <w:tc>
          <w:tcPr>
            <w:tcW w:w="1574" w:type="dxa"/>
            <w:tcBorders>
              <w:bottom w:val="single" w:sz="4" w:space="0" w:color="auto"/>
            </w:tcBorders>
          </w:tcPr>
          <w:p w14:paraId="40FE12F3"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Resolución SBS N° 04345-2023</w:t>
            </w:r>
          </w:p>
        </w:tc>
        <w:tc>
          <w:tcPr>
            <w:tcW w:w="1560" w:type="dxa"/>
            <w:tcBorders>
              <w:bottom w:val="single" w:sz="4" w:space="0" w:color="auto"/>
            </w:tcBorders>
          </w:tcPr>
          <w:p w14:paraId="40FE12F4"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29. 12.2023</w:t>
            </w:r>
          </w:p>
          <w:p w14:paraId="40FE12F5"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2F6"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04.01.2024</w:t>
            </w:r>
          </w:p>
        </w:tc>
        <w:tc>
          <w:tcPr>
            <w:tcW w:w="3935" w:type="dxa"/>
            <w:tcBorders>
              <w:bottom w:val="single" w:sz="4" w:space="0" w:color="auto"/>
            </w:tcBorders>
          </w:tcPr>
          <w:p w14:paraId="40FE12F7" w14:textId="77777777" w:rsidR="008C20EB" w:rsidRDefault="008D25BE">
            <w:pPr>
              <w:pStyle w:val="TableParagraph"/>
              <w:shd w:val="clear" w:color="auto" w:fill="FFFFFF" w:themeFill="background1"/>
              <w:spacing w:line="234" w:lineRule="exact"/>
              <w:rPr>
                <w:sz w:val="20"/>
                <w:szCs w:val="20"/>
              </w:rPr>
            </w:pPr>
            <w:r>
              <w:rPr>
                <w:sz w:val="20"/>
                <w:szCs w:val="20"/>
              </w:rPr>
              <w:t>Se realizan modificaciones al Capítulo I, III, IV y V del Manual de Contabilidad para las Empresas del Sistema Financiero.  Dichas modificaciones entran en vigencia a partir de la información correspondiente de marzo 2026 (vigencia aplazada mediante Resolución SBS N° 4347-2024).</w:t>
            </w:r>
          </w:p>
          <w:p w14:paraId="40FE12F8" w14:textId="77777777" w:rsidR="008C20EB" w:rsidRDefault="008C20EB">
            <w:pPr>
              <w:pStyle w:val="TableParagraph"/>
              <w:shd w:val="clear" w:color="auto" w:fill="FFFFFF" w:themeFill="background1"/>
              <w:spacing w:line="234" w:lineRule="exact"/>
              <w:rPr>
                <w:sz w:val="20"/>
                <w:szCs w:val="20"/>
              </w:rPr>
            </w:pPr>
          </w:p>
        </w:tc>
        <w:tc>
          <w:tcPr>
            <w:tcW w:w="8162" w:type="dxa"/>
            <w:tcBorders>
              <w:bottom w:val="single" w:sz="4" w:space="0" w:color="auto"/>
            </w:tcBorders>
          </w:tcPr>
          <w:p w14:paraId="40FE12F9"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I:</w:t>
            </w:r>
          </w:p>
          <w:p w14:paraId="40FE12FA"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 xml:space="preserve">Se elimina </w:t>
            </w:r>
            <w:r>
              <w:rPr>
                <w:sz w:val="20"/>
                <w:szCs w:val="20"/>
              </w:rPr>
              <w:t>la definición “Contrato” del numeral 2. “Instrumentos Financieros”</w:t>
            </w:r>
          </w:p>
          <w:p w14:paraId="40FE12FB"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los numerales 3.3 y 3.4 en el numeral 3. “Créditos”</w:t>
            </w:r>
          </w:p>
          <w:p w14:paraId="40FE12FC" w14:textId="77777777" w:rsidR="008C20EB" w:rsidRDefault="008C20EB">
            <w:pPr>
              <w:pStyle w:val="TableParagraph"/>
              <w:ind w:left="720" w:right="61"/>
              <w:jc w:val="both"/>
              <w:rPr>
                <w:color w:val="000000"/>
                <w:sz w:val="20"/>
                <w:szCs w:val="20"/>
                <w:lang w:val="es-PE"/>
              </w:rPr>
            </w:pPr>
          </w:p>
          <w:p w14:paraId="40FE12FD"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los Capítulos III y IV:</w:t>
            </w:r>
          </w:p>
          <w:p w14:paraId="40FE12FE"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en la Descripción del Rubro 14 Créditos, la sección “Créditos aprobados pendientes de desembolso”</w:t>
            </w:r>
          </w:p>
          <w:p w14:paraId="40FE12FF"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el segundo párrafo de la clase 7 “Contingentes” y la descripción del rubro 71 “Contingentes deudoras”</w:t>
            </w:r>
          </w:p>
          <w:p w14:paraId="40FE1300"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las subcuentas y cuentas analíticas en las cuentas 7102 “Cartas fianza otorgadas” y 7103 “Cartas de crédito”</w:t>
            </w:r>
          </w:p>
          <w:p w14:paraId="40FE1301"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denominación, descripción y dinámica de la cuenta 7105 “Líneas de crédito no utilizadas y créditos concedidos no desembolsados”</w:t>
            </w:r>
          </w:p>
          <w:p w14:paraId="40FE1302"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en el rubro 71 “Contingentes deudoras”, la cuenta 7107 “Compromisos no utilizados”</w:t>
            </w:r>
          </w:p>
          <w:p w14:paraId="40FE1303"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 xml:space="preserve">Se sustituye la descripción: del rubro 72 “Contingentes A creedoras”, de la cuenta 7201 “Responsabilidad </w:t>
            </w:r>
            <w:r>
              <w:rPr>
                <w:color w:val="000000"/>
                <w:sz w:val="20"/>
                <w:szCs w:val="20"/>
                <w:lang w:val="es-PE"/>
              </w:rPr>
              <w:lastRenderedPageBreak/>
              <w:t>por avales otorgados” y 7202 “Responsabilidad por cartas fianza otorgadas”</w:t>
            </w:r>
          </w:p>
          <w:p w14:paraId="40FE1304"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denominación de la cuenta 7205 “Responsabilidad por líneas de crédito no utilizadas y créditos concedidos no desembolsados” y se elimina las subcuentas 7205.01, 7205.02, 7205.03, 7205.04, 7205.05, 7205.06, 7205.08 y 7205.09.</w:t>
            </w:r>
          </w:p>
          <w:p w14:paraId="40FE1305"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en el rubro 72 “Contingentes acreedoras”, la cuenta 7207 “Responsabilidad por compromisos no utilizados” así como sus subcuentas, cuentas analíticas, subcuentas analíticas y sus descripciones</w:t>
            </w:r>
          </w:p>
          <w:p w14:paraId="40FE1306"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elimina en la cuenta 8109 “Otras cuentas de orden deudoras”, la subcuenta 8109.31 “Total de líneas de crédito bajo el esquema multilínea”, así como sus divisionarias y descripciones</w:t>
            </w:r>
          </w:p>
          <w:p w14:paraId="40FE1307"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denominación y descripción de la subcuenta 8109.32 “Líneas de crédito no utilizadas que se encuentran bloqueadas”</w:t>
            </w:r>
          </w:p>
          <w:p w14:paraId="40FE1308"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incorpora en la cuenta 8109 “Otras cuentas de orden deudoras”, la subcuenta 8109.71 “Total de compromisos”, así como sus cuentas analíticas, subcuentas analíticas y su descripción</w:t>
            </w:r>
          </w:p>
          <w:p w14:paraId="40FE1309" w14:textId="77777777" w:rsidR="008C20EB" w:rsidRDefault="008C20EB">
            <w:pPr>
              <w:pStyle w:val="TableParagraph"/>
              <w:ind w:left="720" w:right="61"/>
              <w:jc w:val="both"/>
              <w:rPr>
                <w:sz w:val="20"/>
                <w:szCs w:val="20"/>
                <w:lang w:val="es-PE"/>
              </w:rPr>
            </w:pPr>
          </w:p>
          <w:p w14:paraId="40FE130A"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los Capítulos V:</w:t>
            </w:r>
          </w:p>
          <w:p w14:paraId="40FE130B"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modifica el Anexo N° 6 “Reporte Crediticio de Deudores - RCD”</w:t>
            </w:r>
          </w:p>
          <w:p w14:paraId="40FE130C" w14:textId="77777777" w:rsidR="008C20EB" w:rsidRDefault="008D25BE">
            <w:pPr>
              <w:pStyle w:val="TableParagraph"/>
              <w:numPr>
                <w:ilvl w:val="0"/>
                <w:numId w:val="16"/>
              </w:numPr>
              <w:ind w:left="314" w:right="61" w:hanging="142"/>
              <w:jc w:val="both"/>
              <w:rPr>
                <w:color w:val="000000"/>
                <w:sz w:val="20"/>
                <w:szCs w:val="20"/>
                <w:lang w:val="es-PE"/>
              </w:rPr>
            </w:pPr>
            <w:r>
              <w:rPr>
                <w:color w:val="000000"/>
                <w:sz w:val="20"/>
                <w:szCs w:val="20"/>
                <w:lang w:val="es-PE"/>
              </w:rPr>
              <w:t>Se sustituye la nota 2 del Reporte 4 A-1 “Requerimiento de colchón por ciclo económico – empresas que aplican método estándar”</w:t>
            </w:r>
          </w:p>
          <w:p w14:paraId="40FE130D" w14:textId="77777777" w:rsidR="008C20EB" w:rsidRDefault="008D25BE">
            <w:pPr>
              <w:pStyle w:val="TableParagraph"/>
              <w:numPr>
                <w:ilvl w:val="0"/>
                <w:numId w:val="16"/>
              </w:numPr>
              <w:ind w:left="313" w:right="61" w:hanging="142"/>
              <w:jc w:val="both"/>
              <w:rPr>
                <w:sz w:val="20"/>
                <w:szCs w:val="20"/>
                <w:lang w:val="es-PE"/>
              </w:rPr>
            </w:pPr>
            <w:r>
              <w:rPr>
                <w:sz w:val="20"/>
                <w:szCs w:val="20"/>
                <w:lang w:val="es-PE"/>
              </w:rPr>
              <w:t>Se modifica las notas del Reporte 23 “Exposición al Riesgo País” y del Reporte 23-A “Detalles de exposición a riesgo país con residentes en el exterior”</w:t>
            </w:r>
          </w:p>
          <w:p w14:paraId="40FE130E" w14:textId="77777777" w:rsidR="008C20EB" w:rsidRDefault="008C20EB">
            <w:pPr>
              <w:pStyle w:val="TableParagraph"/>
              <w:ind w:right="61"/>
              <w:jc w:val="both"/>
              <w:rPr>
                <w:color w:val="000000"/>
                <w:sz w:val="20"/>
                <w:szCs w:val="20"/>
                <w:lang w:val="es-PE"/>
              </w:rPr>
            </w:pPr>
          </w:p>
        </w:tc>
      </w:tr>
      <w:tr w:rsidR="008C20EB" w14:paraId="40FE131D" w14:textId="77777777">
        <w:trPr>
          <w:trHeight w:val="253"/>
        </w:trPr>
        <w:tc>
          <w:tcPr>
            <w:tcW w:w="1574" w:type="dxa"/>
            <w:tcBorders>
              <w:bottom w:val="single" w:sz="4" w:space="0" w:color="auto"/>
            </w:tcBorders>
          </w:tcPr>
          <w:p w14:paraId="40FE1310"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Resolución SBS N° 4218-2023</w:t>
            </w:r>
          </w:p>
        </w:tc>
        <w:tc>
          <w:tcPr>
            <w:tcW w:w="1560" w:type="dxa"/>
            <w:tcBorders>
              <w:bottom w:val="single" w:sz="4" w:space="0" w:color="auto"/>
            </w:tcBorders>
          </w:tcPr>
          <w:p w14:paraId="40FE131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20. 12.2023</w:t>
            </w:r>
          </w:p>
          <w:p w14:paraId="40FE131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13"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21.12.2023</w:t>
            </w:r>
          </w:p>
        </w:tc>
        <w:tc>
          <w:tcPr>
            <w:tcW w:w="3935" w:type="dxa"/>
            <w:tcBorders>
              <w:bottom w:val="single" w:sz="4" w:space="0" w:color="auto"/>
            </w:tcBorders>
          </w:tcPr>
          <w:p w14:paraId="40FE1314" w14:textId="77777777" w:rsidR="008C20EB" w:rsidRDefault="008D25BE">
            <w:pPr>
              <w:pStyle w:val="TableParagraph"/>
              <w:shd w:val="clear" w:color="auto" w:fill="FFFFFF" w:themeFill="background1"/>
              <w:spacing w:line="234" w:lineRule="exact"/>
              <w:rPr>
                <w:sz w:val="20"/>
                <w:szCs w:val="20"/>
              </w:rPr>
            </w:pPr>
            <w:r>
              <w:rPr>
                <w:sz w:val="20"/>
                <w:szCs w:val="20"/>
              </w:rPr>
              <w:t>Se realizan modificaciones al Capítulo V “Información Complementaria” del Manual de Contabilidad para las Empresas del Sistema Financiero.  Dichas modificaciones entran en vigencia conforme a lo dispuesto a continuación:</w:t>
            </w:r>
          </w:p>
          <w:p w14:paraId="40FE1315" w14:textId="77777777" w:rsidR="008C20EB" w:rsidRDefault="008D25BE">
            <w:pPr>
              <w:pStyle w:val="TableParagraph"/>
              <w:numPr>
                <w:ilvl w:val="0"/>
                <w:numId w:val="17"/>
              </w:numPr>
              <w:shd w:val="clear" w:color="auto" w:fill="FFFFFF" w:themeFill="background1"/>
              <w:spacing w:line="234" w:lineRule="exact"/>
              <w:ind w:left="286" w:hanging="283"/>
              <w:rPr>
                <w:sz w:val="20"/>
                <w:szCs w:val="20"/>
              </w:rPr>
            </w:pPr>
            <w:r>
              <w:rPr>
                <w:sz w:val="20"/>
                <w:szCs w:val="20"/>
              </w:rPr>
              <w:t>La eliminación del Anexo N° 22 “Contratos de arrendamiento financiero por tipo de bien” entra en vigencia a partir de la información correspondiente de julio 2024.</w:t>
            </w:r>
          </w:p>
          <w:p w14:paraId="40FE1316" w14:textId="77777777" w:rsidR="008C20EB" w:rsidRDefault="008D25BE">
            <w:pPr>
              <w:pStyle w:val="TableParagraph"/>
              <w:numPr>
                <w:ilvl w:val="0"/>
                <w:numId w:val="17"/>
              </w:numPr>
              <w:shd w:val="clear" w:color="auto" w:fill="FFFFFF" w:themeFill="background1"/>
              <w:spacing w:line="234" w:lineRule="exact"/>
              <w:ind w:left="286" w:hanging="283"/>
              <w:rPr>
                <w:sz w:val="20"/>
                <w:szCs w:val="20"/>
              </w:rPr>
            </w:pPr>
            <w:r>
              <w:rPr>
                <w:sz w:val="20"/>
                <w:szCs w:val="20"/>
              </w:rPr>
              <w:t>El Anexo N° 3 “Stock y flujo crediticio por tipo de crédito y sector económico” entra en vigencia a partir de la información correspondiente de julio 2024</w:t>
            </w:r>
          </w:p>
          <w:p w14:paraId="40FE1317" w14:textId="77777777" w:rsidR="008C20EB" w:rsidRDefault="008D25BE">
            <w:pPr>
              <w:pStyle w:val="TableParagraph"/>
              <w:shd w:val="clear" w:color="auto" w:fill="FFFFFF" w:themeFill="background1"/>
              <w:spacing w:line="234" w:lineRule="exact"/>
              <w:ind w:left="289" w:hanging="289"/>
              <w:rPr>
                <w:sz w:val="20"/>
                <w:szCs w:val="20"/>
              </w:rPr>
            </w:pPr>
            <w:r>
              <w:rPr>
                <w:sz w:val="20"/>
                <w:szCs w:val="20"/>
              </w:rPr>
              <w:t>iii)   El  Reporte N° 4-B2 “Requerimiento de Patrimonio Efectivo por Riesgo por Concentración según Sector Económico” entra en vigencia a partir de la información correspondiente de julio 2024</w:t>
            </w:r>
          </w:p>
        </w:tc>
        <w:tc>
          <w:tcPr>
            <w:tcW w:w="8162" w:type="dxa"/>
            <w:tcBorders>
              <w:bottom w:val="single" w:sz="4" w:space="0" w:color="auto"/>
            </w:tcBorders>
          </w:tcPr>
          <w:p w14:paraId="40FE1318" w14:textId="77777777" w:rsidR="008C20EB" w:rsidRDefault="008D25BE">
            <w:pPr>
              <w:pStyle w:val="TableParagraph"/>
              <w:ind w:right="61"/>
              <w:jc w:val="both"/>
              <w:rPr>
                <w:color w:val="000000"/>
                <w:sz w:val="20"/>
                <w:szCs w:val="20"/>
                <w:lang w:val="es-PE"/>
              </w:rPr>
            </w:pPr>
            <w:r>
              <w:rPr>
                <w:color w:val="000000"/>
                <w:sz w:val="20"/>
                <w:szCs w:val="20"/>
                <w:lang w:val="es-PE"/>
              </w:rPr>
              <w:t>En el Capítulo V:</w:t>
            </w:r>
          </w:p>
          <w:p w14:paraId="40FE1319" w14:textId="77777777" w:rsidR="008C20EB" w:rsidRDefault="008C20EB">
            <w:pPr>
              <w:pStyle w:val="TableParagraph"/>
              <w:ind w:right="61"/>
              <w:jc w:val="both"/>
              <w:rPr>
                <w:color w:val="000000"/>
                <w:sz w:val="20"/>
                <w:szCs w:val="20"/>
                <w:lang w:val="es-PE"/>
              </w:rPr>
            </w:pPr>
          </w:p>
          <w:p w14:paraId="40FE131A" w14:textId="77777777" w:rsidR="008C20EB" w:rsidRDefault="008D25BE">
            <w:pPr>
              <w:pStyle w:val="TableParagraph"/>
              <w:numPr>
                <w:ilvl w:val="0"/>
                <w:numId w:val="16"/>
              </w:numPr>
              <w:ind w:right="61"/>
              <w:jc w:val="both"/>
              <w:rPr>
                <w:color w:val="000000"/>
                <w:sz w:val="20"/>
                <w:szCs w:val="20"/>
                <w:lang w:val="es-PE"/>
              </w:rPr>
            </w:pPr>
            <w:r>
              <w:rPr>
                <w:color w:val="000000"/>
                <w:sz w:val="20"/>
                <w:szCs w:val="20"/>
                <w:lang w:val="es-PE"/>
              </w:rPr>
              <w:t xml:space="preserve">Se elimina </w:t>
            </w:r>
            <w:r>
              <w:rPr>
                <w:sz w:val="20"/>
                <w:szCs w:val="20"/>
              </w:rPr>
              <w:t>el Anexo N° 22 “Contratos de arrendamiento financiero por tipo de bien”</w:t>
            </w:r>
          </w:p>
          <w:p w14:paraId="40FE131B" w14:textId="77777777" w:rsidR="008C20EB" w:rsidRDefault="008D25BE">
            <w:pPr>
              <w:pStyle w:val="TableParagraph"/>
              <w:numPr>
                <w:ilvl w:val="0"/>
                <w:numId w:val="16"/>
              </w:numPr>
              <w:ind w:right="61"/>
              <w:jc w:val="both"/>
              <w:rPr>
                <w:color w:val="000000"/>
                <w:sz w:val="20"/>
                <w:szCs w:val="20"/>
                <w:lang w:val="es-PE"/>
              </w:rPr>
            </w:pPr>
            <w:r>
              <w:rPr>
                <w:sz w:val="20"/>
                <w:szCs w:val="20"/>
                <w:lang w:val="es-PE"/>
              </w:rPr>
              <w:t>Se modifican las notas metodológicas del Anexo N° 3 “Stock y flujo crediticio por tipo de crédito y sector económico”</w:t>
            </w:r>
          </w:p>
          <w:p w14:paraId="40FE131C" w14:textId="77777777" w:rsidR="008C20EB" w:rsidRDefault="008D25BE">
            <w:pPr>
              <w:pStyle w:val="TableParagraph"/>
              <w:numPr>
                <w:ilvl w:val="0"/>
                <w:numId w:val="16"/>
              </w:numPr>
              <w:ind w:right="61"/>
              <w:jc w:val="both"/>
              <w:rPr>
                <w:color w:val="000000"/>
                <w:sz w:val="20"/>
                <w:szCs w:val="20"/>
                <w:lang w:val="es-PE"/>
              </w:rPr>
            </w:pPr>
            <w:r>
              <w:rPr>
                <w:sz w:val="20"/>
                <w:szCs w:val="20"/>
              </w:rPr>
              <w:t>Reporte N° 4-B2 “Requerimiento de Patrimonio Efectivo por Riesgo por Concentración según Sector Económico”</w:t>
            </w:r>
          </w:p>
        </w:tc>
      </w:tr>
      <w:tr w:rsidR="008C20EB" w14:paraId="40FE132B" w14:textId="77777777">
        <w:trPr>
          <w:trHeight w:val="253"/>
        </w:trPr>
        <w:tc>
          <w:tcPr>
            <w:tcW w:w="1574" w:type="dxa"/>
            <w:tcBorders>
              <w:bottom w:val="single" w:sz="4" w:space="0" w:color="auto"/>
            </w:tcBorders>
          </w:tcPr>
          <w:p w14:paraId="40FE131E"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Resolución SBS N° 1088-2024</w:t>
            </w:r>
          </w:p>
        </w:tc>
        <w:tc>
          <w:tcPr>
            <w:tcW w:w="1560" w:type="dxa"/>
            <w:tcBorders>
              <w:bottom w:val="single" w:sz="4" w:space="0" w:color="auto"/>
            </w:tcBorders>
          </w:tcPr>
          <w:p w14:paraId="40FE131F"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25. 03.2024</w:t>
            </w:r>
          </w:p>
          <w:p w14:paraId="40FE1320"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2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27.03.2024</w:t>
            </w:r>
          </w:p>
        </w:tc>
        <w:tc>
          <w:tcPr>
            <w:tcW w:w="3935" w:type="dxa"/>
            <w:tcBorders>
              <w:bottom w:val="single" w:sz="4" w:space="0" w:color="auto"/>
            </w:tcBorders>
          </w:tcPr>
          <w:p w14:paraId="40FE1322" w14:textId="77777777" w:rsidR="008C20EB" w:rsidRDefault="008D25BE">
            <w:pPr>
              <w:pStyle w:val="TableParagraph"/>
              <w:shd w:val="clear" w:color="auto" w:fill="FFFFFF" w:themeFill="background1"/>
              <w:spacing w:line="234" w:lineRule="exact"/>
              <w:rPr>
                <w:rFonts w:cs="Arial"/>
                <w:sz w:val="20"/>
                <w:szCs w:val="20"/>
              </w:rPr>
            </w:pPr>
            <w:r>
              <w:rPr>
                <w:sz w:val="20"/>
                <w:szCs w:val="20"/>
              </w:rPr>
              <w:t xml:space="preserve">Se realizan modificaciones al Capítulo </w:t>
            </w:r>
            <w:r>
              <w:rPr>
                <w:rFonts w:cs="Arial"/>
                <w:sz w:val="20"/>
                <w:szCs w:val="20"/>
              </w:rPr>
              <w:t xml:space="preserve">V “Información Complementaria” del Manual de Contabilidad para las Empresas del Sistema Financiero.  Dichas </w:t>
            </w:r>
            <w:r>
              <w:rPr>
                <w:rFonts w:cs="Arial"/>
                <w:sz w:val="20"/>
                <w:szCs w:val="20"/>
              </w:rPr>
              <w:lastRenderedPageBreak/>
              <w:t>modificaciones entran en vigencia conforme a lo dispuesto a continuación:</w:t>
            </w:r>
          </w:p>
          <w:p w14:paraId="40FE1323" w14:textId="77777777" w:rsidR="008C20EB" w:rsidRDefault="008D25BE">
            <w:pPr>
              <w:pStyle w:val="TableParagraph"/>
              <w:numPr>
                <w:ilvl w:val="0"/>
                <w:numId w:val="18"/>
              </w:numPr>
              <w:shd w:val="clear" w:color="auto" w:fill="FFFFFF" w:themeFill="background1"/>
              <w:spacing w:line="234" w:lineRule="exact"/>
              <w:ind w:left="286" w:hanging="283"/>
              <w:rPr>
                <w:sz w:val="20"/>
                <w:szCs w:val="20"/>
              </w:rPr>
            </w:pPr>
            <w:r>
              <w:rPr>
                <w:sz w:val="20"/>
                <w:szCs w:val="20"/>
              </w:rPr>
              <w:t xml:space="preserve">El numeral 1, referido al Reporte N° 2-A1 “Activos y Contingentes Ponderados por Riesgo de Crédito – Método Estándar”, entra en vigencia a partir de la información correspondiente a marzo de 2024. </w:t>
            </w:r>
          </w:p>
          <w:p w14:paraId="40FE1324" w14:textId="77777777" w:rsidR="008C20EB" w:rsidRDefault="008D25BE">
            <w:pPr>
              <w:pStyle w:val="TableParagraph"/>
              <w:numPr>
                <w:ilvl w:val="0"/>
                <w:numId w:val="18"/>
              </w:numPr>
              <w:shd w:val="clear" w:color="auto" w:fill="FFFFFF" w:themeFill="background1"/>
              <w:spacing w:line="234" w:lineRule="exact"/>
              <w:ind w:left="286" w:hanging="283"/>
              <w:rPr>
                <w:sz w:val="20"/>
                <w:szCs w:val="20"/>
              </w:rPr>
            </w:pPr>
            <w:r>
              <w:rPr>
                <w:sz w:val="20"/>
                <w:szCs w:val="20"/>
              </w:rPr>
              <w:t xml:space="preserve">El numeral 2, referidos al Reporte N° 3-A “Patrimonio Efectivo”, entran en vigencia a partir de la información correspondiente a marzo de 2024. </w:t>
            </w:r>
          </w:p>
          <w:p w14:paraId="40FE1325" w14:textId="77777777" w:rsidR="008C20EB" w:rsidRDefault="008C20EB">
            <w:pPr>
              <w:pStyle w:val="TableParagraph"/>
              <w:shd w:val="clear" w:color="auto" w:fill="FFFFFF" w:themeFill="background1"/>
              <w:spacing w:line="234" w:lineRule="exact"/>
              <w:rPr>
                <w:rFonts w:cs="Arial"/>
                <w:sz w:val="20"/>
                <w:szCs w:val="20"/>
              </w:rPr>
            </w:pPr>
          </w:p>
          <w:p w14:paraId="40FE1326" w14:textId="77777777" w:rsidR="008C20EB" w:rsidRDefault="008C20EB">
            <w:pPr>
              <w:pStyle w:val="TableParagraph"/>
              <w:shd w:val="clear" w:color="auto" w:fill="FFFFFF" w:themeFill="background1"/>
              <w:spacing w:line="234" w:lineRule="exact"/>
              <w:rPr>
                <w:sz w:val="20"/>
                <w:szCs w:val="20"/>
              </w:rPr>
            </w:pPr>
          </w:p>
        </w:tc>
        <w:tc>
          <w:tcPr>
            <w:tcW w:w="8162" w:type="dxa"/>
            <w:tcBorders>
              <w:bottom w:val="single" w:sz="4" w:space="0" w:color="auto"/>
            </w:tcBorders>
          </w:tcPr>
          <w:p w14:paraId="40FE1327" w14:textId="77777777" w:rsidR="008C20EB" w:rsidRDefault="008D25BE">
            <w:pPr>
              <w:pStyle w:val="TableParagraph"/>
              <w:ind w:right="61"/>
              <w:jc w:val="both"/>
              <w:rPr>
                <w:color w:val="000000"/>
                <w:sz w:val="20"/>
                <w:szCs w:val="20"/>
                <w:lang w:val="es-PE"/>
              </w:rPr>
            </w:pPr>
            <w:r>
              <w:rPr>
                <w:color w:val="000000"/>
                <w:sz w:val="20"/>
                <w:szCs w:val="20"/>
                <w:lang w:val="es-PE"/>
              </w:rPr>
              <w:lastRenderedPageBreak/>
              <w:t>En el Capítulo V:</w:t>
            </w:r>
          </w:p>
          <w:p w14:paraId="40FE1328" w14:textId="77777777" w:rsidR="008C20EB" w:rsidRDefault="008C20EB">
            <w:pPr>
              <w:pStyle w:val="TableParagraph"/>
              <w:ind w:right="61"/>
              <w:jc w:val="both"/>
              <w:rPr>
                <w:color w:val="000000"/>
                <w:sz w:val="20"/>
                <w:szCs w:val="20"/>
                <w:lang w:val="es-PE"/>
              </w:rPr>
            </w:pPr>
          </w:p>
          <w:p w14:paraId="40FE1329" w14:textId="77777777" w:rsidR="008C20EB" w:rsidRDefault="008D25BE">
            <w:pPr>
              <w:pStyle w:val="TableParagraph"/>
              <w:numPr>
                <w:ilvl w:val="0"/>
                <w:numId w:val="19"/>
              </w:numPr>
              <w:ind w:right="61"/>
              <w:jc w:val="both"/>
              <w:rPr>
                <w:color w:val="000000"/>
                <w:sz w:val="20"/>
                <w:szCs w:val="20"/>
                <w:lang w:val="es-PE"/>
              </w:rPr>
            </w:pPr>
            <w:r>
              <w:rPr>
                <w:sz w:val="20"/>
                <w:szCs w:val="20"/>
                <w:lang w:val="es-PE"/>
              </w:rPr>
              <w:t xml:space="preserve">Se modifican las notas metodológicas “Accionariales I.14” del </w:t>
            </w:r>
            <w:r>
              <w:rPr>
                <w:sz w:val="20"/>
                <w:szCs w:val="20"/>
              </w:rPr>
              <w:t xml:space="preserve">Reporte N° 2-A1 “Activos y Contingentes </w:t>
            </w:r>
            <w:r>
              <w:rPr>
                <w:sz w:val="20"/>
                <w:szCs w:val="20"/>
              </w:rPr>
              <w:lastRenderedPageBreak/>
              <w:t>Ponderados por Riesgo de Crédito – Método Estándar”.</w:t>
            </w:r>
          </w:p>
          <w:p w14:paraId="40FE132A" w14:textId="77777777" w:rsidR="008C20EB" w:rsidRDefault="008D25BE">
            <w:pPr>
              <w:pStyle w:val="TableParagraph"/>
              <w:numPr>
                <w:ilvl w:val="0"/>
                <w:numId w:val="19"/>
              </w:numPr>
              <w:ind w:right="61"/>
              <w:jc w:val="both"/>
              <w:rPr>
                <w:color w:val="000000"/>
                <w:sz w:val="20"/>
                <w:szCs w:val="20"/>
                <w:lang w:val="es-PE"/>
              </w:rPr>
            </w:pPr>
            <w:r>
              <w:rPr>
                <w:color w:val="000000"/>
                <w:sz w:val="20"/>
                <w:szCs w:val="20"/>
                <w:lang w:val="es-PE"/>
              </w:rPr>
              <w:t xml:space="preserve">Se modifican las notas metodológicas Reporte N° 3 “Patrimonio Efectivo” </w:t>
            </w:r>
          </w:p>
        </w:tc>
      </w:tr>
      <w:tr w:rsidR="008C20EB" w14:paraId="40FE1334" w14:textId="77777777">
        <w:trPr>
          <w:trHeight w:val="253"/>
        </w:trPr>
        <w:tc>
          <w:tcPr>
            <w:tcW w:w="1574" w:type="dxa"/>
            <w:tcBorders>
              <w:bottom w:val="single" w:sz="4" w:space="0" w:color="auto"/>
            </w:tcBorders>
          </w:tcPr>
          <w:p w14:paraId="40FE132C"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Oficio Múltiple N° 10223-2024-SBS</w:t>
            </w:r>
          </w:p>
        </w:tc>
        <w:tc>
          <w:tcPr>
            <w:tcW w:w="1560" w:type="dxa"/>
            <w:tcBorders>
              <w:bottom w:val="single" w:sz="4" w:space="0" w:color="auto"/>
            </w:tcBorders>
          </w:tcPr>
          <w:p w14:paraId="40FE132D"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19.02.2024</w:t>
            </w:r>
          </w:p>
        </w:tc>
        <w:tc>
          <w:tcPr>
            <w:tcW w:w="3935" w:type="dxa"/>
            <w:tcBorders>
              <w:bottom w:val="single" w:sz="4" w:space="0" w:color="auto"/>
            </w:tcBorders>
          </w:tcPr>
          <w:p w14:paraId="40FE132E" w14:textId="77777777" w:rsidR="008C20EB" w:rsidRDefault="008D25BE">
            <w:pPr>
              <w:pStyle w:val="TableParagraph"/>
              <w:shd w:val="clear" w:color="auto" w:fill="FFFFFF" w:themeFill="background1"/>
              <w:spacing w:line="234" w:lineRule="exact"/>
              <w:rPr>
                <w:sz w:val="20"/>
                <w:szCs w:val="20"/>
              </w:rPr>
            </w:pPr>
            <w:r>
              <w:rPr>
                <w:sz w:val="20"/>
                <w:szCs w:val="20"/>
              </w:rPr>
              <w:t>Se modifica el Capítulo I “Disposiciones Generales” del Manual de Contabilidad para las Empresas del Sistema Financiero. Dicha disposición es vigente a partir de la información correspondiente de febrero 2024</w:t>
            </w:r>
          </w:p>
        </w:tc>
        <w:tc>
          <w:tcPr>
            <w:tcW w:w="8162" w:type="dxa"/>
            <w:tcBorders>
              <w:bottom w:val="single" w:sz="4" w:space="0" w:color="auto"/>
            </w:tcBorders>
          </w:tcPr>
          <w:p w14:paraId="40FE132F" w14:textId="77777777" w:rsidR="008C20EB" w:rsidRDefault="008D25BE">
            <w:pPr>
              <w:pStyle w:val="TableParagraph"/>
              <w:ind w:right="61"/>
              <w:jc w:val="both"/>
              <w:rPr>
                <w:color w:val="000000"/>
                <w:sz w:val="20"/>
                <w:szCs w:val="20"/>
                <w:lang w:val="es-PE"/>
              </w:rPr>
            </w:pPr>
            <w:r>
              <w:rPr>
                <w:color w:val="000000"/>
                <w:sz w:val="20"/>
                <w:szCs w:val="20"/>
                <w:lang w:val="es-PE"/>
              </w:rPr>
              <w:t>Se incorpora el código y denominación de la Tabla de Empresas, señalada en el acápite J del Capítulo I “Disposiciones Generales” del Manual de Contabilidad para las Empresas del Sistema Financiero:</w:t>
            </w:r>
          </w:p>
          <w:p w14:paraId="40FE1330" w14:textId="77777777" w:rsidR="008C20EB" w:rsidRDefault="008C20EB">
            <w:pPr>
              <w:pStyle w:val="TableParagraph"/>
              <w:ind w:right="61"/>
              <w:jc w:val="both"/>
              <w:rPr>
                <w:color w:val="000000"/>
                <w:sz w:val="20"/>
                <w:szCs w:val="20"/>
                <w:lang w:val="es-PE"/>
              </w:rPr>
            </w:pPr>
          </w:p>
          <w:p w14:paraId="40FE1331" w14:textId="77777777" w:rsidR="008C20EB" w:rsidRDefault="008D25BE">
            <w:pPr>
              <w:pStyle w:val="TableParagraph"/>
              <w:ind w:right="61"/>
              <w:jc w:val="both"/>
              <w:rPr>
                <w:color w:val="000000"/>
                <w:sz w:val="20"/>
                <w:szCs w:val="20"/>
                <w:lang w:val="es-PE"/>
              </w:rPr>
            </w:pPr>
            <w:r>
              <w:rPr>
                <w:b/>
                <w:bCs/>
                <w:color w:val="000000"/>
                <w:sz w:val="20"/>
                <w:szCs w:val="20"/>
                <w:lang w:val="es-PE"/>
              </w:rPr>
              <w:t xml:space="preserve">Código: </w:t>
            </w:r>
            <w:r>
              <w:rPr>
                <w:color w:val="000000"/>
                <w:sz w:val="20"/>
                <w:szCs w:val="20"/>
                <w:lang w:val="es-PE"/>
              </w:rPr>
              <w:t>20</w:t>
            </w:r>
          </w:p>
          <w:p w14:paraId="40FE1332" w14:textId="77777777" w:rsidR="008C20EB" w:rsidRDefault="008D25BE">
            <w:pPr>
              <w:pStyle w:val="TableParagraph"/>
              <w:ind w:right="61"/>
              <w:jc w:val="both"/>
              <w:rPr>
                <w:color w:val="000000"/>
                <w:sz w:val="20"/>
                <w:szCs w:val="20"/>
                <w:lang w:val="es-PE"/>
              </w:rPr>
            </w:pPr>
            <w:r>
              <w:rPr>
                <w:b/>
                <w:bCs/>
                <w:color w:val="000000"/>
                <w:sz w:val="20"/>
                <w:szCs w:val="20"/>
                <w:lang w:val="es-PE"/>
              </w:rPr>
              <w:t xml:space="preserve">EMPRESA FINANCIERA: </w:t>
            </w:r>
            <w:r>
              <w:rPr>
                <w:color w:val="000000"/>
                <w:sz w:val="20"/>
                <w:szCs w:val="20"/>
                <w:lang w:val="es-PE"/>
              </w:rPr>
              <w:t>Santander Financiamientos S.A.</w:t>
            </w:r>
          </w:p>
          <w:p w14:paraId="40FE1333" w14:textId="77777777" w:rsidR="008C20EB" w:rsidRDefault="008C20EB">
            <w:pPr>
              <w:pStyle w:val="TableParagraph"/>
              <w:ind w:right="61"/>
              <w:jc w:val="both"/>
              <w:rPr>
                <w:color w:val="000000"/>
                <w:sz w:val="20"/>
                <w:szCs w:val="20"/>
                <w:lang w:val="es-PE"/>
              </w:rPr>
            </w:pPr>
          </w:p>
        </w:tc>
      </w:tr>
      <w:tr w:rsidR="008C20EB" w14:paraId="40FE1341" w14:textId="77777777">
        <w:trPr>
          <w:trHeight w:val="253"/>
        </w:trPr>
        <w:tc>
          <w:tcPr>
            <w:tcW w:w="1574" w:type="dxa"/>
            <w:tcBorders>
              <w:bottom w:val="single" w:sz="4" w:space="0" w:color="auto"/>
            </w:tcBorders>
          </w:tcPr>
          <w:p w14:paraId="40FE1335" w14:textId="77777777" w:rsidR="008C20EB" w:rsidRDefault="008D25BE">
            <w:pPr>
              <w:pStyle w:val="TableParagraph"/>
              <w:shd w:val="clear" w:color="auto" w:fill="FFFFFF" w:themeFill="background1"/>
              <w:tabs>
                <w:tab w:val="left" w:pos="1606"/>
              </w:tabs>
              <w:spacing w:line="243" w:lineRule="exact"/>
              <w:rPr>
                <w:b/>
              </w:rPr>
            </w:pPr>
            <w:r>
              <w:rPr>
                <w:b/>
                <w:sz w:val="20"/>
                <w:szCs w:val="20"/>
              </w:rPr>
              <w:t>Resolución SBS N° 00198-2024</w:t>
            </w:r>
          </w:p>
        </w:tc>
        <w:tc>
          <w:tcPr>
            <w:tcW w:w="1560" w:type="dxa"/>
            <w:tcBorders>
              <w:bottom w:val="single" w:sz="4" w:space="0" w:color="auto"/>
            </w:tcBorders>
          </w:tcPr>
          <w:p w14:paraId="40FE1336"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19. 01.2024</w:t>
            </w:r>
          </w:p>
          <w:p w14:paraId="40FE1337"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38"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22.01.2024</w:t>
            </w:r>
          </w:p>
        </w:tc>
        <w:tc>
          <w:tcPr>
            <w:tcW w:w="3935" w:type="dxa"/>
            <w:tcBorders>
              <w:bottom w:val="single" w:sz="4" w:space="0" w:color="auto"/>
            </w:tcBorders>
          </w:tcPr>
          <w:p w14:paraId="40FE1339" w14:textId="77777777" w:rsidR="008C20EB" w:rsidRDefault="008D25BE">
            <w:pPr>
              <w:pStyle w:val="TableParagraph"/>
              <w:shd w:val="clear" w:color="auto" w:fill="FFFFFF" w:themeFill="background1"/>
              <w:spacing w:line="234" w:lineRule="exact"/>
              <w:rPr>
                <w:bCs/>
              </w:rPr>
            </w:pPr>
            <w:r>
              <w:rPr>
                <w:rFonts w:cs="Arial"/>
                <w:sz w:val="20"/>
                <w:szCs w:val="20"/>
              </w:rPr>
              <w:t>Se realizan</w:t>
            </w:r>
            <w:r>
              <w:rPr>
                <w:bCs/>
              </w:rPr>
              <w:t xml:space="preserve"> </w:t>
            </w:r>
            <w:r>
              <w:rPr>
                <w:rFonts w:cs="Arial"/>
                <w:sz w:val="20"/>
                <w:szCs w:val="20"/>
              </w:rPr>
              <w:t>modificaciones a los Capítulos III “Catálogo de Cuentas”, IV “Descripción y Dinámica de Cuentas” y V “Información Complementaria” del Manual de Contabilidad para las Empresas del Sistema Financiero. Dichas modificaciones son vigentes a partir de la información correspondiente al mes de enero 2024.</w:t>
            </w:r>
          </w:p>
        </w:tc>
        <w:tc>
          <w:tcPr>
            <w:tcW w:w="8162" w:type="dxa"/>
            <w:tcBorders>
              <w:bottom w:val="single" w:sz="4" w:space="0" w:color="auto"/>
            </w:tcBorders>
            <w:vAlign w:val="bottom"/>
          </w:tcPr>
          <w:p w14:paraId="40FE133A"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los Capítulos III y IV:</w:t>
            </w:r>
          </w:p>
          <w:p w14:paraId="40FE133B" w14:textId="77777777" w:rsidR="008C20EB" w:rsidRDefault="008D25BE">
            <w:pPr>
              <w:pStyle w:val="TableParagraph"/>
              <w:numPr>
                <w:ilvl w:val="0"/>
                <w:numId w:val="20"/>
              </w:numPr>
              <w:ind w:right="61"/>
              <w:jc w:val="both"/>
              <w:rPr>
                <w:sz w:val="20"/>
                <w:szCs w:val="20"/>
                <w:lang w:val="es-PE"/>
              </w:rPr>
            </w:pPr>
            <w:r>
              <w:rPr>
                <w:sz w:val="20"/>
                <w:szCs w:val="20"/>
                <w:lang w:val="es-PE"/>
              </w:rPr>
              <w:t>Se incorporan cuentas analíticas y subcuentas analíticas en la subcuenta 8109.52 “Créditos bajo esquema de financiamiento del Programa IMPULSO MYPERU”.</w:t>
            </w:r>
          </w:p>
          <w:p w14:paraId="40FE133C" w14:textId="77777777" w:rsidR="008C20EB" w:rsidRDefault="008C20EB">
            <w:pPr>
              <w:pStyle w:val="TableParagraph"/>
              <w:ind w:left="427" w:right="61"/>
              <w:jc w:val="both"/>
              <w:rPr>
                <w:sz w:val="20"/>
                <w:szCs w:val="20"/>
                <w:lang w:val="es-PE"/>
              </w:rPr>
            </w:pPr>
          </w:p>
          <w:p w14:paraId="40FE133D" w14:textId="77777777" w:rsidR="008C20EB" w:rsidRDefault="008D25BE">
            <w:pPr>
              <w:pStyle w:val="TableParagraph"/>
              <w:ind w:left="67" w:right="61"/>
              <w:jc w:val="both"/>
              <w:rPr>
                <w:sz w:val="20"/>
                <w:szCs w:val="20"/>
                <w:lang w:val="es-PE"/>
              </w:rPr>
            </w:pPr>
            <w:r>
              <w:rPr>
                <w:sz w:val="20"/>
                <w:szCs w:val="20"/>
                <w:lang w:val="es-PE"/>
              </w:rPr>
              <w:t>En el Capítulo V:</w:t>
            </w:r>
          </w:p>
          <w:p w14:paraId="40FE133E" w14:textId="77777777" w:rsidR="008C20EB" w:rsidRDefault="008C20EB">
            <w:pPr>
              <w:pStyle w:val="TableParagraph"/>
              <w:ind w:left="67" w:right="61"/>
              <w:jc w:val="both"/>
              <w:rPr>
                <w:sz w:val="20"/>
                <w:szCs w:val="20"/>
                <w:lang w:val="es-PE"/>
              </w:rPr>
            </w:pPr>
          </w:p>
          <w:p w14:paraId="40FE133F" w14:textId="77777777" w:rsidR="008C20EB" w:rsidRDefault="008D25BE">
            <w:pPr>
              <w:pStyle w:val="TableParagraph"/>
              <w:numPr>
                <w:ilvl w:val="0"/>
                <w:numId w:val="20"/>
              </w:numPr>
              <w:ind w:right="61"/>
              <w:jc w:val="both"/>
              <w:rPr>
                <w:sz w:val="20"/>
                <w:szCs w:val="20"/>
                <w:lang w:val="es-PE"/>
              </w:rPr>
            </w:pPr>
            <w:r>
              <w:rPr>
                <w:sz w:val="20"/>
                <w:szCs w:val="20"/>
                <w:lang w:val="es-PE"/>
              </w:rPr>
              <w:t>Se modifica el Catálogo de Cuentas del RCD.</w:t>
            </w:r>
          </w:p>
          <w:p w14:paraId="40FE1340" w14:textId="77777777" w:rsidR="008C20EB" w:rsidRDefault="008C20EB">
            <w:pPr>
              <w:pStyle w:val="TableParagraph"/>
              <w:ind w:left="67" w:right="61"/>
              <w:jc w:val="both"/>
              <w:rPr>
                <w:sz w:val="20"/>
                <w:szCs w:val="20"/>
                <w:lang w:val="es-PE"/>
              </w:rPr>
            </w:pPr>
          </w:p>
        </w:tc>
      </w:tr>
      <w:tr w:rsidR="008C20EB" w14:paraId="40FE1360" w14:textId="77777777">
        <w:trPr>
          <w:trHeight w:val="253"/>
        </w:trPr>
        <w:tc>
          <w:tcPr>
            <w:tcW w:w="1574" w:type="dxa"/>
            <w:tcBorders>
              <w:bottom w:val="single" w:sz="4" w:space="0" w:color="auto"/>
            </w:tcBorders>
          </w:tcPr>
          <w:p w14:paraId="40FE134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Resolución SBS N° 04221-2023</w:t>
            </w:r>
          </w:p>
          <w:p w14:paraId="40FE1343" w14:textId="77777777" w:rsidR="008C20EB" w:rsidRDefault="008C20EB">
            <w:pPr>
              <w:pStyle w:val="TableParagraph"/>
              <w:shd w:val="clear" w:color="auto" w:fill="FFFFFF" w:themeFill="background1"/>
              <w:spacing w:line="234" w:lineRule="exact"/>
              <w:ind w:left="383"/>
              <w:jc w:val="both"/>
              <w:rPr>
                <w:b/>
              </w:rPr>
            </w:pPr>
          </w:p>
        </w:tc>
        <w:tc>
          <w:tcPr>
            <w:tcW w:w="1560" w:type="dxa"/>
            <w:tcBorders>
              <w:bottom w:val="single" w:sz="4" w:space="0" w:color="auto"/>
            </w:tcBorders>
          </w:tcPr>
          <w:p w14:paraId="40FE1344"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 xml:space="preserve">Pr.   20.12.2023 </w:t>
            </w:r>
          </w:p>
          <w:p w14:paraId="40FE1345"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46" w14:textId="77777777" w:rsidR="008C20EB" w:rsidRDefault="008D25BE">
            <w:pPr>
              <w:pStyle w:val="TableParagraph"/>
              <w:shd w:val="clear" w:color="auto" w:fill="FFFFFF" w:themeFill="background1"/>
              <w:spacing w:line="234" w:lineRule="exact"/>
              <w:jc w:val="both"/>
              <w:rPr>
                <w:b/>
              </w:rPr>
            </w:pPr>
            <w:r>
              <w:rPr>
                <w:b/>
                <w:sz w:val="20"/>
                <w:szCs w:val="20"/>
              </w:rPr>
              <w:t>Pub. 22.12.2023</w:t>
            </w:r>
          </w:p>
        </w:tc>
        <w:tc>
          <w:tcPr>
            <w:tcW w:w="3935" w:type="dxa"/>
            <w:tcBorders>
              <w:bottom w:val="single" w:sz="4" w:space="0" w:color="auto"/>
            </w:tcBorders>
          </w:tcPr>
          <w:p w14:paraId="40FE1347" w14:textId="77777777" w:rsidR="008C20EB" w:rsidRDefault="008D25BE">
            <w:pPr>
              <w:pStyle w:val="TableParagraph"/>
              <w:shd w:val="clear" w:color="auto" w:fill="FFFFFF" w:themeFill="background1"/>
              <w:spacing w:line="234" w:lineRule="exact"/>
              <w:rPr>
                <w:rFonts w:cs="Arial"/>
                <w:sz w:val="20"/>
                <w:szCs w:val="20"/>
              </w:rPr>
            </w:pPr>
            <w:r>
              <w:rPr>
                <w:rFonts w:cs="Arial"/>
                <w:sz w:val="20"/>
                <w:szCs w:val="20"/>
              </w:rPr>
              <w:t>Se realizan modificaciones al capítulo V “Información Complementaria” del Manual de Contabilidad para las Empresas del Sistema Financiero. Dichas modificaciones entran en vigencia conforme a lo dispuesto a continuación:</w:t>
            </w:r>
          </w:p>
          <w:p w14:paraId="40FE1348" w14:textId="77777777" w:rsidR="008C20EB" w:rsidRDefault="008C20EB">
            <w:pPr>
              <w:pStyle w:val="TableParagraph"/>
              <w:shd w:val="clear" w:color="auto" w:fill="FFFFFF" w:themeFill="background1"/>
              <w:spacing w:line="234" w:lineRule="exact"/>
              <w:rPr>
                <w:rFonts w:cs="Arial"/>
                <w:sz w:val="20"/>
                <w:szCs w:val="20"/>
              </w:rPr>
            </w:pPr>
          </w:p>
          <w:p w14:paraId="40FE1349"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 xml:space="preserve">El numeral 1, referido al Anexo N° 15-A “Reporte de tesorería y posición diaria de liquidez”, entra en vigencia a partir de la información correspondiente al 1 de diciembre de 2024. </w:t>
            </w:r>
          </w:p>
          <w:p w14:paraId="40FE134A"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 xml:space="preserve">Los numerales 2 y 3, referidos al Anexo N° 15-A “Reporte de tesorería y posición diaria de liquidez”, entran en vigencia a partir de la información correspondiente al 1 de enero de </w:t>
            </w:r>
            <w:r>
              <w:rPr>
                <w:sz w:val="20"/>
                <w:szCs w:val="20"/>
              </w:rPr>
              <w:lastRenderedPageBreak/>
              <w:t xml:space="preserve">2024. </w:t>
            </w:r>
          </w:p>
          <w:p w14:paraId="40FE134B"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 xml:space="preserve">Los numerales 4, 5, 6, 7, 8, 9, 10, 11 y 13, referidos Anexo N° 15-B " Ratio de cobertura de liquidez”, entran en vigencia a partir de la información correspondiente al 1 de enero de 2024. </w:t>
            </w:r>
          </w:p>
          <w:p w14:paraId="40FE134C"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 xml:space="preserve">El numeral 12, referido al Anexo N° 15-C “Posición Mensual de Liquidez”, entra en vigencia a partir de la información correspondiente a diciembre de 2024 </w:t>
            </w:r>
          </w:p>
          <w:p w14:paraId="40FE134D" w14:textId="77777777" w:rsidR="008C20EB" w:rsidRDefault="008D25BE">
            <w:pPr>
              <w:pStyle w:val="TableParagraph"/>
              <w:numPr>
                <w:ilvl w:val="0"/>
                <w:numId w:val="21"/>
              </w:numPr>
              <w:shd w:val="clear" w:color="auto" w:fill="FFFFFF" w:themeFill="background1"/>
              <w:spacing w:line="234" w:lineRule="exact"/>
              <w:ind w:left="286" w:hanging="283"/>
              <w:rPr>
                <w:sz w:val="20"/>
                <w:szCs w:val="20"/>
              </w:rPr>
            </w:pPr>
            <w:r>
              <w:rPr>
                <w:sz w:val="20"/>
                <w:szCs w:val="20"/>
              </w:rPr>
              <w:t>El numeral 14, referido al Anexo N° 16-C “Ratio de financiación neta estable”, entra en vigencia a partir de la información correspondiente a diciembre de 2024.</w:t>
            </w:r>
          </w:p>
        </w:tc>
        <w:tc>
          <w:tcPr>
            <w:tcW w:w="8162" w:type="dxa"/>
            <w:tcBorders>
              <w:bottom w:val="single" w:sz="4" w:space="0" w:color="auto"/>
            </w:tcBorders>
          </w:tcPr>
          <w:p w14:paraId="40FE134E"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lastRenderedPageBreak/>
              <w:t>En el Capítulo V:</w:t>
            </w:r>
          </w:p>
          <w:p w14:paraId="40FE134F" w14:textId="77777777" w:rsidR="008C20EB" w:rsidRDefault="008D25BE">
            <w:pPr>
              <w:pStyle w:val="TableParagraph"/>
              <w:numPr>
                <w:ilvl w:val="0"/>
                <w:numId w:val="20"/>
              </w:numPr>
              <w:ind w:right="61"/>
              <w:jc w:val="both"/>
              <w:rPr>
                <w:sz w:val="20"/>
                <w:szCs w:val="20"/>
                <w:lang w:val="es-PE"/>
              </w:rPr>
            </w:pPr>
            <w:r>
              <w:rPr>
                <w:sz w:val="20"/>
                <w:szCs w:val="20"/>
                <w:lang w:val="es-PE"/>
              </w:rPr>
              <w:t>Se modifican las notas metodológicas (12, 19 y 20) del Anexo 15-A “Reporte de tesorería y posición diaria de liquidez”.</w:t>
            </w:r>
          </w:p>
          <w:p w14:paraId="40FE1350" w14:textId="77777777" w:rsidR="008C20EB" w:rsidRDefault="008D25BE">
            <w:pPr>
              <w:pStyle w:val="TableParagraph"/>
              <w:numPr>
                <w:ilvl w:val="0"/>
                <w:numId w:val="20"/>
              </w:numPr>
              <w:ind w:right="61"/>
              <w:jc w:val="both"/>
              <w:rPr>
                <w:sz w:val="20"/>
                <w:szCs w:val="20"/>
                <w:lang w:val="es-PE"/>
              </w:rPr>
            </w:pPr>
            <w:r>
              <w:rPr>
                <w:sz w:val="20"/>
                <w:szCs w:val="20"/>
                <w:lang w:val="es-PE"/>
              </w:rPr>
              <w:t>Se modifican las notas metodológicas (1, 26, 29, 30, 31, 33, 35 y 37) del Anexo 15-B “Ratio de cobertura de liquidez”.</w:t>
            </w:r>
          </w:p>
          <w:p w14:paraId="40FE1351" w14:textId="77777777" w:rsidR="008C20EB" w:rsidRDefault="008D25BE">
            <w:pPr>
              <w:pStyle w:val="TableParagraph"/>
              <w:numPr>
                <w:ilvl w:val="0"/>
                <w:numId w:val="20"/>
              </w:numPr>
              <w:ind w:right="61"/>
              <w:jc w:val="both"/>
              <w:rPr>
                <w:sz w:val="20"/>
                <w:szCs w:val="20"/>
                <w:lang w:val="es-PE"/>
              </w:rPr>
            </w:pPr>
            <w:r>
              <w:rPr>
                <w:sz w:val="20"/>
                <w:szCs w:val="20"/>
                <w:lang w:val="es-PE"/>
              </w:rPr>
              <w:t>Se modifica la nota metodológica 10 del Anexo N° 15-C “Posición Mensual de Liquidez”.</w:t>
            </w:r>
          </w:p>
          <w:p w14:paraId="40FE1352" w14:textId="77777777" w:rsidR="008C20EB" w:rsidRDefault="008D25BE">
            <w:pPr>
              <w:pStyle w:val="TableParagraph"/>
              <w:numPr>
                <w:ilvl w:val="0"/>
                <w:numId w:val="20"/>
              </w:numPr>
              <w:ind w:right="61"/>
              <w:jc w:val="both"/>
              <w:rPr>
                <w:sz w:val="20"/>
                <w:szCs w:val="20"/>
                <w:lang w:val="es-PE"/>
              </w:rPr>
            </w:pPr>
            <w:r>
              <w:rPr>
                <w:sz w:val="20"/>
                <w:szCs w:val="20"/>
                <w:lang w:val="es-PE"/>
              </w:rPr>
              <w:t>Se sustituye el Anexo N° 15-B “Ratio de Cobertura de Liquidez”.</w:t>
            </w:r>
          </w:p>
          <w:p w14:paraId="40FE1353" w14:textId="77777777" w:rsidR="008C20EB" w:rsidRDefault="008D25BE">
            <w:pPr>
              <w:pStyle w:val="TableParagraph"/>
              <w:numPr>
                <w:ilvl w:val="0"/>
                <w:numId w:val="20"/>
              </w:numPr>
              <w:ind w:right="61"/>
              <w:jc w:val="both"/>
              <w:rPr>
                <w:sz w:val="20"/>
                <w:szCs w:val="20"/>
                <w:lang w:val="es-PE"/>
              </w:rPr>
            </w:pPr>
            <w:r>
              <w:rPr>
                <w:sz w:val="20"/>
                <w:szCs w:val="20"/>
                <w:lang w:val="es-PE"/>
              </w:rPr>
              <w:t>Se incorpora el Anexo N° 16-C “Ratio de financiación neta estable” y sus notas metodológicas.</w:t>
            </w:r>
          </w:p>
          <w:p w14:paraId="40FE1354" w14:textId="77777777" w:rsidR="008C20EB" w:rsidRDefault="008C20EB"/>
          <w:p w14:paraId="40FE1355" w14:textId="77777777" w:rsidR="008C20EB" w:rsidRDefault="008C20EB"/>
          <w:p w14:paraId="40FE1356" w14:textId="77777777" w:rsidR="008C20EB" w:rsidRDefault="008C20EB"/>
          <w:p w14:paraId="40FE1357" w14:textId="77777777" w:rsidR="008C20EB" w:rsidRDefault="008C20EB"/>
          <w:p w14:paraId="40FE1358" w14:textId="77777777" w:rsidR="008C20EB" w:rsidRDefault="008C20EB"/>
          <w:p w14:paraId="40FE1359" w14:textId="77777777" w:rsidR="008C20EB" w:rsidRDefault="008C20EB"/>
          <w:p w14:paraId="40FE135A" w14:textId="77777777" w:rsidR="008C20EB" w:rsidRDefault="008C20EB"/>
          <w:p w14:paraId="40FE135B" w14:textId="77777777" w:rsidR="008C20EB" w:rsidRDefault="008C20EB"/>
          <w:p w14:paraId="40FE135C" w14:textId="77777777" w:rsidR="008C20EB" w:rsidRDefault="008C20EB"/>
          <w:p w14:paraId="40FE135D" w14:textId="77777777" w:rsidR="008C20EB" w:rsidRDefault="008C20EB">
            <w:pPr>
              <w:rPr>
                <w:b/>
              </w:rPr>
            </w:pPr>
          </w:p>
          <w:p w14:paraId="40FE135E" w14:textId="77777777" w:rsidR="008C20EB" w:rsidRDefault="008C20EB">
            <w:pPr>
              <w:rPr>
                <w:b/>
              </w:rPr>
            </w:pPr>
          </w:p>
          <w:p w14:paraId="40FE135F" w14:textId="77777777" w:rsidR="008C20EB" w:rsidRDefault="008D25BE">
            <w:pPr>
              <w:tabs>
                <w:tab w:val="left" w:pos="3591"/>
              </w:tabs>
            </w:pPr>
            <w:r>
              <w:tab/>
            </w:r>
          </w:p>
        </w:tc>
      </w:tr>
      <w:tr w:rsidR="008C20EB" w14:paraId="40FE1385" w14:textId="77777777">
        <w:trPr>
          <w:trHeight w:val="253"/>
        </w:trPr>
        <w:tc>
          <w:tcPr>
            <w:tcW w:w="1574" w:type="dxa"/>
            <w:tcBorders>
              <w:bottom w:val="single" w:sz="4" w:space="0" w:color="auto"/>
            </w:tcBorders>
          </w:tcPr>
          <w:p w14:paraId="40FE136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Oficio Múltiple N° 67733-2023-SBS</w:t>
            </w:r>
          </w:p>
        </w:tc>
        <w:tc>
          <w:tcPr>
            <w:tcW w:w="1560" w:type="dxa"/>
            <w:tcBorders>
              <w:bottom w:val="single" w:sz="4" w:space="0" w:color="auto"/>
            </w:tcBorders>
          </w:tcPr>
          <w:p w14:paraId="40FE1362"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30.11.2023</w:t>
            </w:r>
          </w:p>
        </w:tc>
        <w:tc>
          <w:tcPr>
            <w:tcW w:w="3935" w:type="dxa"/>
            <w:tcBorders>
              <w:bottom w:val="single" w:sz="4" w:space="0" w:color="auto"/>
            </w:tcBorders>
          </w:tcPr>
          <w:p w14:paraId="40FE1363" w14:textId="77777777" w:rsidR="008C20EB" w:rsidRDefault="008D25BE">
            <w:pPr>
              <w:pStyle w:val="TableParagraph"/>
              <w:shd w:val="clear" w:color="auto" w:fill="FFFFFF" w:themeFill="background1"/>
              <w:ind w:left="67" w:right="61"/>
              <w:rPr>
                <w:color w:val="000000"/>
                <w:sz w:val="20"/>
                <w:szCs w:val="20"/>
                <w:lang w:val="es-PE"/>
              </w:rPr>
            </w:pPr>
            <w:r>
              <w:rPr>
                <w:color w:val="000000"/>
                <w:sz w:val="20"/>
                <w:szCs w:val="20"/>
                <w:lang w:val="es-PE"/>
              </w:rPr>
              <w:t xml:space="preserve">Se modifica el Capítulo I “Disposiciones Generales” del Manual de Contabilidad para las Empresas del Sistema Financiero. Dicha disposición es vigente a partir de la información     correspondiente de noviembre 2023. </w:t>
            </w:r>
          </w:p>
          <w:p w14:paraId="40FE1364" w14:textId="77777777" w:rsidR="008C20EB" w:rsidRDefault="008C20EB">
            <w:pPr>
              <w:pStyle w:val="TableParagraph"/>
              <w:shd w:val="clear" w:color="auto" w:fill="FFFFFF" w:themeFill="background1"/>
              <w:spacing w:line="234" w:lineRule="exact"/>
              <w:ind w:left="1118"/>
              <w:rPr>
                <w:b/>
                <w:sz w:val="20"/>
                <w:szCs w:val="20"/>
              </w:rPr>
            </w:pPr>
          </w:p>
        </w:tc>
        <w:tc>
          <w:tcPr>
            <w:tcW w:w="8162" w:type="dxa"/>
            <w:tcBorders>
              <w:bottom w:val="single" w:sz="4" w:space="0" w:color="auto"/>
            </w:tcBorders>
          </w:tcPr>
          <w:p w14:paraId="40FE1365" w14:textId="77777777" w:rsidR="008C20EB" w:rsidRDefault="008D25BE">
            <w:pPr>
              <w:pStyle w:val="TableParagraph"/>
              <w:shd w:val="clear" w:color="auto" w:fill="FFFFFF" w:themeFill="background1"/>
              <w:spacing w:after="240"/>
              <w:ind w:left="135" w:right="62"/>
              <w:rPr>
                <w:color w:val="000000"/>
                <w:sz w:val="20"/>
                <w:szCs w:val="20"/>
                <w:lang w:val="es-PE"/>
              </w:rPr>
            </w:pPr>
            <w:r>
              <w:rPr>
                <w:color w:val="000000"/>
                <w:sz w:val="20"/>
                <w:szCs w:val="20"/>
                <w:lang w:val="es-PE"/>
              </w:rPr>
              <w:t>En el Capítulo I</w:t>
            </w:r>
          </w:p>
          <w:p w14:paraId="40FE1366" w14:textId="77777777" w:rsidR="008C20EB" w:rsidRDefault="008D25BE">
            <w:pPr>
              <w:pStyle w:val="TableParagraph"/>
              <w:numPr>
                <w:ilvl w:val="0"/>
                <w:numId w:val="22"/>
              </w:numPr>
              <w:shd w:val="clear" w:color="auto" w:fill="FFFFFF" w:themeFill="background1"/>
              <w:spacing w:after="240"/>
              <w:ind w:right="62"/>
              <w:rPr>
                <w:color w:val="000000"/>
                <w:sz w:val="20"/>
                <w:szCs w:val="20"/>
                <w:lang w:val="es-PE"/>
              </w:rPr>
            </w:pPr>
            <w:r>
              <w:rPr>
                <w:color w:val="000000"/>
                <w:sz w:val="20"/>
                <w:szCs w:val="20"/>
                <w:lang w:val="es-PE"/>
              </w:rPr>
              <w:t>Se eliminan los códigos y denominaciones de las empresas que se indican a continuación:</w:t>
            </w:r>
          </w:p>
          <w:p w14:paraId="40FE1367" w14:textId="77777777" w:rsidR="008C20EB" w:rsidRDefault="008D25BE">
            <w:pPr>
              <w:pStyle w:val="TableParagraph"/>
              <w:shd w:val="clear" w:color="auto" w:fill="FFFFFF" w:themeFill="background1"/>
              <w:ind w:left="135" w:right="62"/>
              <w:rPr>
                <w:b/>
                <w:bCs/>
                <w:sz w:val="20"/>
                <w:szCs w:val="20"/>
              </w:rPr>
            </w:pPr>
            <w:r>
              <w:rPr>
                <w:rFonts w:eastAsiaTheme="minorHAnsi" w:cs="ArialNarrow-Bold"/>
                <w:b/>
                <w:bCs/>
                <w:sz w:val="20"/>
                <w:szCs w:val="20"/>
                <w:lang w:val="es-PE" w:eastAsia="en-US" w:bidi="ar-SA"/>
              </w:rPr>
              <w:tab/>
              <w:t>BANCOS: 01</w:t>
            </w:r>
          </w:p>
          <w:p w14:paraId="40FE1368" w14:textId="77777777" w:rsidR="008C20EB" w:rsidRDefault="008D25BE">
            <w:pPr>
              <w:pStyle w:val="TableParagraph"/>
              <w:shd w:val="clear" w:color="auto" w:fill="FFFFFF" w:themeFill="background1"/>
              <w:spacing w:line="234" w:lineRule="exact"/>
              <w:ind w:left="135" w:right="1929"/>
              <w:rPr>
                <w:rFonts w:eastAsiaTheme="minorHAnsi" w:cs="ArialNarrow"/>
                <w:sz w:val="20"/>
                <w:szCs w:val="20"/>
                <w:lang w:val="es-PE" w:eastAsia="en-US" w:bidi="ar-SA"/>
              </w:rPr>
            </w:pPr>
            <w:r>
              <w:rPr>
                <w:rFonts w:eastAsiaTheme="minorHAnsi" w:cs="ArialNarrow"/>
                <w:sz w:val="20"/>
                <w:szCs w:val="20"/>
                <w:lang w:val="es-PE" w:eastAsia="en-US" w:bidi="ar-SA"/>
              </w:rPr>
              <w:tab/>
              <w:t>Código 37: Deutsche Bank (Perú)</w:t>
            </w:r>
          </w:p>
          <w:p w14:paraId="40FE1369" w14:textId="77777777" w:rsidR="008C20EB" w:rsidRDefault="008C20EB">
            <w:pPr>
              <w:pStyle w:val="TableParagraph"/>
              <w:shd w:val="clear" w:color="auto" w:fill="FFFFFF" w:themeFill="background1"/>
              <w:spacing w:line="234" w:lineRule="exact"/>
              <w:ind w:left="135" w:right="1929"/>
              <w:rPr>
                <w:rFonts w:eastAsiaTheme="minorHAnsi" w:cs="ArialNarrow"/>
                <w:sz w:val="20"/>
                <w:szCs w:val="20"/>
                <w:lang w:val="es-PE" w:eastAsia="en-US" w:bidi="ar-SA"/>
              </w:rPr>
            </w:pPr>
          </w:p>
          <w:p w14:paraId="40FE136A" w14:textId="77777777" w:rsidR="008C20EB" w:rsidRDefault="008D25BE">
            <w:pPr>
              <w:pStyle w:val="TableParagraph"/>
              <w:shd w:val="clear" w:color="auto" w:fill="FFFFFF" w:themeFill="background1"/>
              <w:spacing w:line="234" w:lineRule="exact"/>
              <w:ind w:left="135" w:right="1929"/>
              <w:rPr>
                <w:rFonts w:eastAsiaTheme="minorHAnsi" w:cs="ArialNarrow-Bold"/>
                <w:b/>
                <w:bCs/>
                <w:sz w:val="20"/>
                <w:szCs w:val="20"/>
                <w:lang w:val="es-PE" w:eastAsia="en-US" w:bidi="ar-SA"/>
              </w:rPr>
            </w:pPr>
            <w:r>
              <w:rPr>
                <w:rFonts w:eastAsiaTheme="minorHAnsi" w:cs="ArialNarrow"/>
                <w:sz w:val="20"/>
                <w:szCs w:val="20"/>
                <w:lang w:val="es-PE" w:eastAsia="en-US" w:bidi="ar-SA"/>
              </w:rPr>
              <w:tab/>
            </w:r>
            <w:r>
              <w:rPr>
                <w:rFonts w:eastAsiaTheme="minorHAnsi" w:cs="ArialNarrow-Bold"/>
                <w:b/>
                <w:bCs/>
                <w:sz w:val="20"/>
                <w:szCs w:val="20"/>
                <w:lang w:val="es-PE" w:eastAsia="en-US" w:bidi="ar-SA"/>
              </w:rPr>
              <w:t>FINANCIERAS: 02</w:t>
            </w:r>
          </w:p>
          <w:p w14:paraId="40FE136B" w14:textId="77777777" w:rsidR="008C20EB" w:rsidRDefault="008D25BE">
            <w:pPr>
              <w:widowControl/>
              <w:adjustRightInd w:val="0"/>
              <w:rPr>
                <w:rFonts w:eastAsiaTheme="minorHAnsi" w:cs="ArialNarrow"/>
                <w:sz w:val="20"/>
                <w:szCs w:val="20"/>
                <w:lang w:val="es-PE" w:eastAsia="en-US" w:bidi="ar-SA"/>
              </w:rPr>
            </w:pPr>
            <w:r>
              <w:rPr>
                <w:rFonts w:eastAsiaTheme="minorHAnsi" w:cs="ArialNarrow-Bold"/>
                <w:b/>
                <w:bCs/>
                <w:sz w:val="20"/>
                <w:szCs w:val="20"/>
                <w:lang w:val="es-PE" w:eastAsia="en-US" w:bidi="ar-SA"/>
              </w:rPr>
              <w:tab/>
            </w:r>
            <w:r>
              <w:rPr>
                <w:rFonts w:eastAsiaTheme="minorHAnsi" w:cs="ArialNarrow"/>
                <w:sz w:val="20"/>
                <w:szCs w:val="20"/>
                <w:lang w:val="es-PE" w:eastAsia="en-US" w:bidi="ar-SA"/>
              </w:rPr>
              <w:t>09: Financiera Edyficar</w:t>
            </w:r>
          </w:p>
          <w:p w14:paraId="40FE136C" w14:textId="77777777" w:rsidR="008C20EB" w:rsidRDefault="008D25BE">
            <w:pPr>
              <w:pStyle w:val="TableParagraph"/>
              <w:shd w:val="clear" w:color="auto" w:fill="FFFFFF" w:themeFill="background1"/>
              <w:spacing w:line="234" w:lineRule="exact"/>
              <w:ind w:left="135" w:right="1929"/>
              <w:rPr>
                <w:rFonts w:eastAsiaTheme="minorHAnsi" w:cs="ArialNarrow"/>
                <w:sz w:val="20"/>
                <w:szCs w:val="20"/>
                <w:lang w:val="es-PE" w:eastAsia="en-US" w:bidi="ar-SA"/>
              </w:rPr>
            </w:pPr>
            <w:r>
              <w:rPr>
                <w:rFonts w:eastAsiaTheme="minorHAnsi" w:cs="ArialNarrow"/>
                <w:sz w:val="20"/>
                <w:szCs w:val="20"/>
                <w:lang w:val="es-PE" w:eastAsia="en-US" w:bidi="ar-SA"/>
              </w:rPr>
              <w:tab/>
              <w:t>16: Amerika Financiera:</w:t>
            </w:r>
          </w:p>
          <w:p w14:paraId="40FE136D" w14:textId="77777777" w:rsidR="008C20EB" w:rsidRDefault="008C20EB">
            <w:pPr>
              <w:pStyle w:val="TableParagraph"/>
              <w:shd w:val="clear" w:color="auto" w:fill="FFFFFF" w:themeFill="background1"/>
              <w:spacing w:line="234" w:lineRule="exact"/>
              <w:ind w:left="135" w:right="1929"/>
              <w:rPr>
                <w:rFonts w:eastAsiaTheme="minorHAnsi" w:cs="ArialNarrow"/>
                <w:sz w:val="20"/>
                <w:szCs w:val="20"/>
                <w:lang w:val="es-PE" w:eastAsia="en-US" w:bidi="ar-SA"/>
              </w:rPr>
            </w:pPr>
          </w:p>
          <w:p w14:paraId="40FE136E" w14:textId="77777777" w:rsidR="008C20EB" w:rsidRDefault="008D25BE">
            <w:pPr>
              <w:pStyle w:val="TableParagraph"/>
              <w:shd w:val="clear" w:color="auto" w:fill="FFFFFF" w:themeFill="background1"/>
              <w:spacing w:line="234" w:lineRule="exact"/>
              <w:ind w:left="135" w:right="1929"/>
              <w:rPr>
                <w:b/>
                <w:bCs/>
                <w:sz w:val="20"/>
                <w:szCs w:val="20"/>
              </w:rPr>
            </w:pPr>
            <w:r>
              <w:rPr>
                <w:rFonts w:eastAsiaTheme="minorHAnsi" w:cs="ArialNarrow-Bold"/>
                <w:b/>
                <w:bCs/>
                <w:sz w:val="20"/>
                <w:szCs w:val="20"/>
                <w:lang w:val="es-PE" w:eastAsia="en-US" w:bidi="ar-SA"/>
              </w:rPr>
              <w:tab/>
              <w:t>CAJAS RURALES DE AHORRO Y CRÉDITO: 04</w:t>
            </w:r>
          </w:p>
          <w:p w14:paraId="40FE136F" w14:textId="77777777" w:rsidR="008C20EB" w:rsidRDefault="008D25BE">
            <w:pPr>
              <w:widowControl/>
              <w:adjustRightInd w:val="0"/>
              <w:rPr>
                <w:rFonts w:eastAsiaTheme="minorHAnsi" w:cs="ArialNarrow"/>
                <w:sz w:val="20"/>
                <w:szCs w:val="20"/>
                <w:lang w:val="es-PE" w:eastAsia="en-US" w:bidi="ar-SA"/>
              </w:rPr>
            </w:pPr>
            <w:r>
              <w:rPr>
                <w:b/>
                <w:sz w:val="20"/>
                <w:szCs w:val="20"/>
              </w:rPr>
              <w:tab/>
            </w:r>
            <w:r>
              <w:rPr>
                <w:rFonts w:eastAsiaTheme="minorHAnsi" w:cs="ArialNarrow"/>
                <w:sz w:val="20"/>
                <w:szCs w:val="20"/>
                <w:lang w:val="es-PE" w:eastAsia="en-US" w:bidi="ar-SA"/>
              </w:rPr>
              <w:t>05 Caja Rural de Ahorro y Crédito Los Libertadores de Ayacucho</w:t>
            </w:r>
          </w:p>
          <w:p w14:paraId="40FE1370" w14:textId="77777777" w:rsidR="008C20EB" w:rsidRDefault="008D25BE">
            <w:pPr>
              <w:widowControl/>
              <w:adjustRightInd w:val="0"/>
              <w:rPr>
                <w:rFonts w:eastAsiaTheme="minorHAnsi" w:cs="ArialNarrow"/>
                <w:sz w:val="20"/>
                <w:szCs w:val="20"/>
                <w:lang w:val="es-PE" w:eastAsia="en-US" w:bidi="ar-SA"/>
              </w:rPr>
            </w:pPr>
            <w:r>
              <w:rPr>
                <w:rFonts w:eastAsiaTheme="minorHAnsi" w:cs="ArialNarrow"/>
                <w:sz w:val="20"/>
                <w:szCs w:val="20"/>
                <w:lang w:val="es-PE" w:eastAsia="en-US" w:bidi="ar-SA"/>
              </w:rPr>
              <w:tab/>
              <w:t>06 Caja Rural de Ahorro y Crédito Señor de Luren</w:t>
            </w:r>
          </w:p>
          <w:p w14:paraId="40FE1371" w14:textId="77777777" w:rsidR="008C20EB" w:rsidRDefault="008D25BE">
            <w:pPr>
              <w:widowControl/>
              <w:adjustRightInd w:val="0"/>
              <w:rPr>
                <w:rFonts w:eastAsiaTheme="minorHAnsi" w:cs="ArialNarrow"/>
                <w:sz w:val="20"/>
                <w:szCs w:val="20"/>
                <w:lang w:val="es-PE" w:eastAsia="en-US" w:bidi="ar-SA"/>
              </w:rPr>
            </w:pPr>
            <w:r>
              <w:rPr>
                <w:rFonts w:eastAsiaTheme="minorHAnsi" w:cs="ArialNarrow"/>
                <w:sz w:val="20"/>
                <w:szCs w:val="20"/>
                <w:lang w:val="es-PE" w:eastAsia="en-US" w:bidi="ar-SA"/>
              </w:rPr>
              <w:tab/>
              <w:t>09 Caja Rural de Ahorro y Crédito Cajamarca</w:t>
            </w:r>
          </w:p>
          <w:p w14:paraId="40FE1372" w14:textId="77777777" w:rsidR="008C20EB" w:rsidRDefault="008D25BE">
            <w:pPr>
              <w:pStyle w:val="TableParagraph"/>
              <w:shd w:val="clear" w:color="auto" w:fill="FFFFFF" w:themeFill="background1"/>
              <w:spacing w:line="234" w:lineRule="exact"/>
              <w:ind w:left="68" w:right="3265"/>
              <w:rPr>
                <w:rFonts w:eastAsiaTheme="minorHAnsi" w:cs="ArialNarrow"/>
                <w:sz w:val="20"/>
                <w:szCs w:val="20"/>
                <w:lang w:val="es-PE" w:eastAsia="en-US" w:bidi="ar-SA"/>
              </w:rPr>
            </w:pPr>
            <w:r>
              <w:rPr>
                <w:rFonts w:eastAsiaTheme="minorHAnsi" w:cs="ArialNarrow"/>
                <w:sz w:val="20"/>
                <w:szCs w:val="20"/>
                <w:lang w:val="es-PE" w:eastAsia="en-US" w:bidi="ar-SA"/>
              </w:rPr>
              <w:tab/>
              <w:t>12 Caja Rural de Ahorro y Crédito Sipán</w:t>
            </w:r>
          </w:p>
          <w:p w14:paraId="40FE1373" w14:textId="77777777" w:rsidR="008C20EB" w:rsidRDefault="008C20EB">
            <w:pPr>
              <w:pStyle w:val="TableParagraph"/>
              <w:shd w:val="clear" w:color="auto" w:fill="FFFFFF" w:themeFill="background1"/>
              <w:spacing w:line="234" w:lineRule="exact"/>
              <w:ind w:left="68" w:right="3265"/>
              <w:rPr>
                <w:rFonts w:eastAsiaTheme="minorHAnsi" w:cs="ArialNarrow"/>
                <w:sz w:val="20"/>
                <w:szCs w:val="20"/>
                <w:lang w:val="es-PE" w:eastAsia="en-US" w:bidi="ar-SA"/>
              </w:rPr>
            </w:pPr>
          </w:p>
          <w:p w14:paraId="40FE1374" w14:textId="77777777" w:rsidR="008C20EB" w:rsidRDefault="008D25BE">
            <w:pPr>
              <w:pStyle w:val="TableParagraph"/>
              <w:shd w:val="clear" w:color="auto" w:fill="FFFFFF" w:themeFill="background1"/>
              <w:spacing w:line="234" w:lineRule="exact"/>
              <w:ind w:left="68" w:right="3265"/>
              <w:rPr>
                <w:rFonts w:eastAsiaTheme="minorHAnsi" w:cs="ArialNarrow-Bold"/>
                <w:b/>
                <w:bCs/>
                <w:sz w:val="20"/>
                <w:szCs w:val="20"/>
                <w:lang w:val="es-PE" w:eastAsia="en-US" w:bidi="ar-SA"/>
              </w:rPr>
            </w:pPr>
            <w:r>
              <w:rPr>
                <w:rFonts w:eastAsiaTheme="minorHAnsi" w:cs="ArialNarrow-Bold"/>
                <w:b/>
                <w:bCs/>
                <w:sz w:val="20"/>
                <w:szCs w:val="20"/>
                <w:lang w:val="es-PE" w:eastAsia="en-US" w:bidi="ar-SA"/>
              </w:rPr>
              <w:tab/>
              <w:t>EMPRESAS DE CRÉDITO: 05</w:t>
            </w:r>
          </w:p>
          <w:p w14:paraId="40FE1375" w14:textId="77777777" w:rsidR="008C20EB" w:rsidRDefault="008D25BE">
            <w:pPr>
              <w:widowControl/>
              <w:adjustRightInd w:val="0"/>
              <w:rPr>
                <w:rFonts w:eastAsiaTheme="minorHAnsi" w:cs="ArialNarrow"/>
                <w:sz w:val="20"/>
                <w:szCs w:val="20"/>
                <w:lang w:val="es-PE" w:eastAsia="en-US" w:bidi="ar-SA"/>
              </w:rPr>
            </w:pPr>
            <w:r>
              <w:rPr>
                <w:rFonts w:eastAsiaTheme="minorHAnsi" w:cs="ArialNarrow-Bold"/>
                <w:b/>
                <w:bCs/>
                <w:sz w:val="20"/>
                <w:szCs w:val="20"/>
                <w:lang w:val="es-PE" w:eastAsia="en-US" w:bidi="ar-SA"/>
              </w:rPr>
              <w:tab/>
            </w:r>
            <w:r>
              <w:rPr>
                <w:rFonts w:eastAsiaTheme="minorHAnsi" w:cs="ArialNarrow"/>
                <w:sz w:val="20"/>
                <w:szCs w:val="20"/>
                <w:lang w:val="es-PE" w:eastAsia="en-US" w:bidi="ar-SA"/>
              </w:rPr>
              <w:t>15 Marcimex</w:t>
            </w:r>
          </w:p>
          <w:p w14:paraId="40FE1376" w14:textId="77777777" w:rsidR="008C20EB" w:rsidRDefault="008D25BE">
            <w:pPr>
              <w:widowControl/>
              <w:adjustRightInd w:val="0"/>
              <w:rPr>
                <w:rFonts w:eastAsiaTheme="minorHAnsi" w:cs="ArialNarrow"/>
                <w:sz w:val="20"/>
                <w:szCs w:val="20"/>
                <w:lang w:val="es-PE" w:eastAsia="en-US" w:bidi="ar-SA"/>
              </w:rPr>
            </w:pPr>
            <w:r>
              <w:rPr>
                <w:rFonts w:eastAsiaTheme="minorHAnsi" w:cs="ArialNarrow"/>
                <w:sz w:val="20"/>
                <w:szCs w:val="20"/>
                <w:lang w:val="es-PE" w:eastAsia="en-US" w:bidi="ar-SA"/>
              </w:rPr>
              <w:tab/>
              <w:t>17 Credijet</w:t>
            </w:r>
          </w:p>
          <w:p w14:paraId="40FE1377" w14:textId="77777777" w:rsidR="008C20EB" w:rsidRDefault="008D25BE">
            <w:pPr>
              <w:pStyle w:val="TableParagraph"/>
              <w:shd w:val="clear" w:color="auto" w:fill="FFFFFF" w:themeFill="background1"/>
              <w:spacing w:line="234" w:lineRule="exact"/>
              <w:ind w:left="68" w:right="3265"/>
              <w:rPr>
                <w:b/>
                <w:sz w:val="20"/>
                <w:szCs w:val="20"/>
              </w:rPr>
            </w:pPr>
            <w:r>
              <w:rPr>
                <w:rFonts w:eastAsiaTheme="minorHAnsi" w:cs="ArialNarrow"/>
                <w:sz w:val="20"/>
                <w:szCs w:val="20"/>
                <w:lang w:val="es-PE" w:eastAsia="en-US" w:bidi="ar-SA"/>
              </w:rPr>
              <w:tab/>
              <w:t>20 GMG Servicios Perú</w:t>
            </w:r>
          </w:p>
          <w:p w14:paraId="40FE1378" w14:textId="77777777" w:rsidR="008C20EB" w:rsidRDefault="008C20EB">
            <w:pPr>
              <w:pStyle w:val="TableParagraph"/>
              <w:shd w:val="clear" w:color="auto" w:fill="FFFFFF" w:themeFill="background1"/>
              <w:spacing w:line="234" w:lineRule="exact"/>
              <w:ind w:left="68" w:right="3265"/>
              <w:rPr>
                <w:b/>
                <w:sz w:val="20"/>
                <w:szCs w:val="20"/>
              </w:rPr>
            </w:pPr>
          </w:p>
          <w:p w14:paraId="40FE1379" w14:textId="77777777" w:rsidR="008C20EB" w:rsidRDefault="008D25BE">
            <w:pPr>
              <w:pStyle w:val="TableParagraph"/>
              <w:numPr>
                <w:ilvl w:val="0"/>
                <w:numId w:val="22"/>
              </w:numPr>
              <w:shd w:val="clear" w:color="auto" w:fill="FFFFFF" w:themeFill="background1"/>
              <w:ind w:left="135" w:right="61"/>
              <w:rPr>
                <w:color w:val="000000"/>
                <w:sz w:val="20"/>
                <w:szCs w:val="20"/>
                <w:lang w:val="es-PE"/>
              </w:rPr>
            </w:pPr>
            <w:r>
              <w:rPr>
                <w:rFonts w:eastAsiaTheme="minorHAnsi" w:cs="ArialNarrow-Bold"/>
                <w:b/>
                <w:bCs/>
                <w:sz w:val="20"/>
                <w:szCs w:val="20"/>
                <w:lang w:val="es-PE" w:eastAsia="en-US" w:bidi="ar-SA"/>
              </w:rPr>
              <w:tab/>
            </w:r>
            <w:r>
              <w:rPr>
                <w:b/>
                <w:bCs/>
                <w:sz w:val="20"/>
                <w:szCs w:val="20"/>
              </w:rPr>
              <w:t>EMPRESAS DE ARRENDAMIENTO FINANCIERO: 07</w:t>
            </w:r>
          </w:p>
          <w:p w14:paraId="40FE137A" w14:textId="77777777" w:rsidR="008C20EB" w:rsidRDefault="008D25BE">
            <w:pPr>
              <w:pStyle w:val="TableParagraph"/>
              <w:shd w:val="clear" w:color="auto" w:fill="FFFFFF" w:themeFill="background1"/>
              <w:ind w:left="135" w:right="62"/>
              <w:rPr>
                <w:b/>
                <w:bCs/>
                <w:sz w:val="20"/>
                <w:szCs w:val="20"/>
              </w:rPr>
            </w:pPr>
            <w:r>
              <w:rPr>
                <w:sz w:val="20"/>
                <w:szCs w:val="20"/>
              </w:rPr>
              <w:tab/>
              <w:t xml:space="preserve">12: </w:t>
            </w:r>
            <w:r>
              <w:rPr>
                <w:color w:val="000000"/>
                <w:sz w:val="20"/>
                <w:szCs w:val="20"/>
                <w:lang w:val="es-PE"/>
              </w:rPr>
              <w:t>Leasing Perú</w:t>
            </w:r>
          </w:p>
          <w:p w14:paraId="40FE137B" w14:textId="77777777" w:rsidR="008C20EB" w:rsidRDefault="008C20EB">
            <w:pPr>
              <w:pStyle w:val="TableParagraph"/>
              <w:shd w:val="clear" w:color="auto" w:fill="FFFFFF" w:themeFill="background1"/>
              <w:spacing w:line="234" w:lineRule="exact"/>
              <w:ind w:left="68" w:right="1646"/>
              <w:rPr>
                <w:rFonts w:eastAsiaTheme="minorHAnsi" w:cs="ArialNarrow-Bold"/>
                <w:b/>
                <w:bCs/>
                <w:sz w:val="20"/>
                <w:szCs w:val="20"/>
                <w:lang w:val="es-PE" w:eastAsia="en-US" w:bidi="ar-SA"/>
              </w:rPr>
            </w:pPr>
          </w:p>
          <w:p w14:paraId="40FE137C" w14:textId="77777777" w:rsidR="008C20EB" w:rsidRDefault="008D25BE">
            <w:pPr>
              <w:pStyle w:val="TableParagraph"/>
              <w:shd w:val="clear" w:color="auto" w:fill="FFFFFF" w:themeFill="background1"/>
              <w:spacing w:line="234" w:lineRule="exact"/>
              <w:ind w:left="135" w:right="1929"/>
              <w:rPr>
                <w:b/>
                <w:bCs/>
                <w:sz w:val="20"/>
                <w:szCs w:val="20"/>
              </w:rPr>
            </w:pPr>
            <w:r>
              <w:rPr>
                <w:b/>
                <w:bCs/>
                <w:sz w:val="20"/>
                <w:szCs w:val="20"/>
              </w:rPr>
              <w:tab/>
              <w:t>EMPRESAS DE ADMINISTRACIÓN HIPOTECARIA: 16</w:t>
            </w:r>
          </w:p>
          <w:p w14:paraId="40FE137D" w14:textId="77777777" w:rsidR="008C20EB" w:rsidRDefault="008D25BE">
            <w:pPr>
              <w:pStyle w:val="TableParagraph"/>
              <w:shd w:val="clear" w:color="auto" w:fill="FFFFFF" w:themeFill="background1"/>
              <w:ind w:left="135" w:right="62"/>
              <w:rPr>
                <w:color w:val="000000"/>
                <w:sz w:val="20"/>
                <w:szCs w:val="20"/>
                <w:lang w:val="es-PE"/>
              </w:rPr>
            </w:pPr>
            <w:r>
              <w:rPr>
                <w:sz w:val="20"/>
                <w:szCs w:val="20"/>
              </w:rPr>
              <w:tab/>
              <w:t xml:space="preserve">01: </w:t>
            </w:r>
            <w:r>
              <w:rPr>
                <w:color w:val="000000"/>
                <w:sz w:val="20"/>
                <w:szCs w:val="20"/>
                <w:lang w:val="es-PE"/>
              </w:rPr>
              <w:t>Sura EAH</w:t>
            </w:r>
          </w:p>
          <w:p w14:paraId="40FE137E" w14:textId="77777777" w:rsidR="008C20EB" w:rsidRDefault="008C20EB">
            <w:pPr>
              <w:pStyle w:val="TableParagraph"/>
              <w:shd w:val="clear" w:color="auto" w:fill="FFFFFF" w:themeFill="background1"/>
              <w:spacing w:line="234" w:lineRule="exact"/>
              <w:ind w:left="68" w:right="1646"/>
              <w:rPr>
                <w:rFonts w:eastAsiaTheme="minorHAnsi" w:cs="ArialNarrow-Bold"/>
                <w:b/>
                <w:bCs/>
                <w:sz w:val="20"/>
                <w:szCs w:val="20"/>
                <w:lang w:val="es-PE" w:eastAsia="en-US" w:bidi="ar-SA"/>
              </w:rPr>
            </w:pPr>
          </w:p>
          <w:p w14:paraId="40FE137F" w14:textId="77777777" w:rsidR="008C20EB" w:rsidRDefault="008D25BE">
            <w:pPr>
              <w:pStyle w:val="TableParagraph"/>
              <w:numPr>
                <w:ilvl w:val="0"/>
                <w:numId w:val="22"/>
              </w:numPr>
              <w:shd w:val="clear" w:color="auto" w:fill="FFFFFF" w:themeFill="background1"/>
              <w:spacing w:after="240"/>
              <w:ind w:right="61"/>
              <w:rPr>
                <w:color w:val="000000"/>
                <w:sz w:val="20"/>
                <w:szCs w:val="20"/>
                <w:lang w:val="es-PE"/>
              </w:rPr>
            </w:pPr>
            <w:r>
              <w:rPr>
                <w:color w:val="000000"/>
                <w:sz w:val="20"/>
                <w:szCs w:val="20"/>
                <w:lang w:val="es-PE"/>
              </w:rPr>
              <w:lastRenderedPageBreak/>
              <w:t>Se sustituyen las denominaciones de las empresas que se indican a continuación:</w:t>
            </w:r>
          </w:p>
          <w:p w14:paraId="40FE1380" w14:textId="77777777" w:rsidR="008C20EB" w:rsidRDefault="008D25BE">
            <w:pPr>
              <w:pStyle w:val="TableParagraph"/>
              <w:shd w:val="clear" w:color="auto" w:fill="FFFFFF" w:themeFill="background1"/>
              <w:ind w:left="135" w:right="61"/>
              <w:rPr>
                <w:color w:val="000000"/>
                <w:sz w:val="20"/>
                <w:szCs w:val="20"/>
                <w:lang w:val="es-PE"/>
              </w:rPr>
            </w:pPr>
            <w:r>
              <w:rPr>
                <w:rFonts w:eastAsiaTheme="minorHAnsi" w:cs="ArialNarrow-Bold"/>
                <w:b/>
                <w:bCs/>
                <w:sz w:val="20"/>
                <w:szCs w:val="20"/>
                <w:lang w:val="es-PE" w:eastAsia="en-US" w:bidi="ar-SA"/>
              </w:rPr>
              <w:tab/>
              <w:t>EMPRESAS DE CRÉDITO: 05</w:t>
            </w:r>
          </w:p>
          <w:p w14:paraId="40FE1381" w14:textId="77777777" w:rsidR="008C20EB" w:rsidRDefault="008C20EB">
            <w:pPr>
              <w:pStyle w:val="TableParagraph"/>
              <w:shd w:val="clear" w:color="auto" w:fill="FFFFFF" w:themeFill="background1"/>
              <w:spacing w:line="234" w:lineRule="exact"/>
              <w:ind w:left="68" w:right="1646"/>
              <w:rPr>
                <w:rFonts w:eastAsiaTheme="minorHAnsi" w:cs="ArialNarrow-Bold"/>
                <w:b/>
                <w:bCs/>
                <w:sz w:val="20"/>
                <w:szCs w:val="20"/>
                <w:lang w:val="es-PE" w:eastAsia="en-US" w:bidi="ar-SA"/>
              </w:rPr>
            </w:pPr>
          </w:p>
          <w:p w14:paraId="40FE1382" w14:textId="77777777" w:rsidR="008C20EB" w:rsidRDefault="008D25BE">
            <w:pPr>
              <w:widowControl/>
              <w:adjustRightInd w:val="0"/>
              <w:rPr>
                <w:rFonts w:eastAsiaTheme="minorHAnsi" w:cs="ArialNarrow"/>
                <w:sz w:val="20"/>
                <w:szCs w:val="20"/>
                <w:lang w:val="es-PE" w:eastAsia="en-US" w:bidi="ar-SA"/>
              </w:rPr>
            </w:pPr>
            <w:r>
              <w:rPr>
                <w:rFonts w:eastAsiaTheme="minorHAnsi" w:cs="ArialNarrow"/>
                <w:sz w:val="20"/>
                <w:szCs w:val="20"/>
                <w:lang w:val="es-PE" w:eastAsia="en-US" w:bidi="ar-SA"/>
              </w:rPr>
              <w:tab/>
              <w:t>16 Empresa de Créditos Vivela</w:t>
            </w:r>
          </w:p>
          <w:p w14:paraId="40FE1383" w14:textId="77777777" w:rsidR="008C20EB" w:rsidRDefault="008D25BE">
            <w:pPr>
              <w:pStyle w:val="TableParagraph"/>
              <w:shd w:val="clear" w:color="auto" w:fill="FFFFFF" w:themeFill="background1"/>
              <w:spacing w:line="234" w:lineRule="exact"/>
              <w:ind w:left="68" w:right="1646"/>
              <w:rPr>
                <w:rFonts w:eastAsiaTheme="minorHAnsi" w:cs="ArialNarrow"/>
                <w:sz w:val="20"/>
                <w:szCs w:val="20"/>
                <w:lang w:val="es-PE" w:eastAsia="en-US" w:bidi="ar-SA"/>
              </w:rPr>
            </w:pPr>
            <w:r>
              <w:rPr>
                <w:rFonts w:eastAsiaTheme="minorHAnsi" w:cs="ArialNarrow"/>
                <w:sz w:val="20"/>
                <w:szCs w:val="20"/>
                <w:lang w:val="es-PE" w:eastAsia="en-US" w:bidi="ar-SA"/>
              </w:rPr>
              <w:tab/>
              <w:t>22 TOTAL Servicios Financieros Empresa de Créditos</w:t>
            </w:r>
          </w:p>
          <w:p w14:paraId="40FE1384" w14:textId="77777777" w:rsidR="008C20EB" w:rsidRDefault="008C20EB">
            <w:pPr>
              <w:pStyle w:val="TableParagraph"/>
              <w:shd w:val="clear" w:color="auto" w:fill="FFFFFF" w:themeFill="background1"/>
              <w:spacing w:line="234" w:lineRule="exact"/>
              <w:ind w:left="68" w:right="1646"/>
              <w:rPr>
                <w:b/>
                <w:sz w:val="20"/>
                <w:szCs w:val="20"/>
              </w:rPr>
            </w:pPr>
          </w:p>
        </w:tc>
      </w:tr>
      <w:tr w:rsidR="008C20EB" w14:paraId="40FE138E" w14:textId="77777777">
        <w:trPr>
          <w:trHeight w:val="253"/>
        </w:trPr>
        <w:tc>
          <w:tcPr>
            <w:tcW w:w="1574" w:type="dxa"/>
            <w:tcBorders>
              <w:bottom w:val="single" w:sz="4" w:space="0" w:color="auto"/>
            </w:tcBorders>
          </w:tcPr>
          <w:p w14:paraId="40FE1386"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lastRenderedPageBreak/>
              <w:t>Resolución SBS N° 03795-2023</w:t>
            </w:r>
          </w:p>
          <w:p w14:paraId="40FE1387" w14:textId="77777777" w:rsidR="008C20EB" w:rsidRDefault="008C20EB">
            <w:pPr>
              <w:pStyle w:val="TableParagraph"/>
              <w:shd w:val="clear" w:color="auto" w:fill="FFFFFF" w:themeFill="background1"/>
              <w:spacing w:line="234" w:lineRule="exact"/>
              <w:ind w:left="383"/>
              <w:rPr>
                <w:b/>
                <w:sz w:val="20"/>
                <w:szCs w:val="20"/>
              </w:rPr>
            </w:pPr>
          </w:p>
        </w:tc>
        <w:tc>
          <w:tcPr>
            <w:tcW w:w="1560" w:type="dxa"/>
            <w:tcBorders>
              <w:bottom w:val="single" w:sz="4" w:space="0" w:color="auto"/>
            </w:tcBorders>
          </w:tcPr>
          <w:p w14:paraId="40FE1388"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 xml:space="preserve">Pr.   15.10.2023 </w:t>
            </w:r>
          </w:p>
          <w:p w14:paraId="40FE1389"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w:t>
            </w:r>
          </w:p>
          <w:p w14:paraId="40FE138A" w14:textId="77777777" w:rsidR="008C20EB" w:rsidRDefault="008D25BE">
            <w:pPr>
              <w:pStyle w:val="TableParagraph"/>
              <w:shd w:val="clear" w:color="auto" w:fill="FFFFFF" w:themeFill="background1"/>
              <w:spacing w:line="234" w:lineRule="exact"/>
              <w:rPr>
                <w:b/>
                <w:sz w:val="20"/>
                <w:szCs w:val="20"/>
              </w:rPr>
            </w:pPr>
            <w:r>
              <w:rPr>
                <w:b/>
                <w:sz w:val="20"/>
                <w:szCs w:val="20"/>
              </w:rPr>
              <w:t>Pub. 16.11.2023</w:t>
            </w:r>
          </w:p>
        </w:tc>
        <w:tc>
          <w:tcPr>
            <w:tcW w:w="3935" w:type="dxa"/>
            <w:tcBorders>
              <w:bottom w:val="single" w:sz="4" w:space="0" w:color="auto"/>
            </w:tcBorders>
          </w:tcPr>
          <w:p w14:paraId="40FE138B" w14:textId="77777777" w:rsidR="008C20EB" w:rsidRDefault="008D25BE">
            <w:pPr>
              <w:pStyle w:val="TableParagraph"/>
              <w:shd w:val="clear" w:color="auto" w:fill="FFFFFF" w:themeFill="background1"/>
              <w:spacing w:line="234" w:lineRule="exact"/>
              <w:ind w:left="94"/>
              <w:rPr>
                <w:b/>
                <w:sz w:val="20"/>
                <w:szCs w:val="20"/>
              </w:rPr>
            </w:pPr>
            <w:r>
              <w:rPr>
                <w:rFonts w:cs="Arial"/>
                <w:sz w:val="20"/>
                <w:szCs w:val="20"/>
              </w:rPr>
              <w:t>Se realizan modificaciones al capítulo V “Información Complementaria” del Manual de Contabilidad para las Empresas del Sistema Financiero. Dichas modificaciones son vigentes a partir de la información correspondiente al semestre comprendido entre el 01 de noviembre de 2023 al 30 de abril de 2024, la cual deberá ser remitida como máximo el 14 de junio de 2024.</w:t>
            </w:r>
          </w:p>
        </w:tc>
        <w:tc>
          <w:tcPr>
            <w:tcW w:w="8162" w:type="dxa"/>
            <w:tcBorders>
              <w:bottom w:val="single" w:sz="4" w:space="0" w:color="auto"/>
            </w:tcBorders>
          </w:tcPr>
          <w:p w14:paraId="40FE138C" w14:textId="77777777" w:rsidR="008C20EB" w:rsidRDefault="008D25BE">
            <w:pPr>
              <w:pStyle w:val="TableParagraph"/>
              <w:spacing w:after="240"/>
              <w:ind w:right="61"/>
              <w:jc w:val="both"/>
              <w:rPr>
                <w:color w:val="000000"/>
                <w:sz w:val="20"/>
                <w:szCs w:val="20"/>
                <w:lang w:val="es-PE"/>
              </w:rPr>
            </w:pPr>
            <w:r>
              <w:rPr>
                <w:rFonts w:cs="Arial"/>
                <w:sz w:val="20"/>
                <w:szCs w:val="20"/>
              </w:rPr>
              <w:t xml:space="preserve">  En el </w:t>
            </w:r>
            <w:r>
              <w:rPr>
                <w:color w:val="000000"/>
                <w:sz w:val="20"/>
                <w:szCs w:val="20"/>
                <w:lang w:val="es-PE"/>
              </w:rPr>
              <w:t>Capítulo</w:t>
            </w:r>
            <w:r>
              <w:rPr>
                <w:rFonts w:cs="Arial"/>
                <w:sz w:val="20"/>
                <w:szCs w:val="20"/>
              </w:rPr>
              <w:t xml:space="preserve"> V: </w:t>
            </w:r>
          </w:p>
          <w:p w14:paraId="40FE138D" w14:textId="77777777" w:rsidR="008C20EB" w:rsidRDefault="008D25BE">
            <w:pPr>
              <w:pStyle w:val="TableParagraph"/>
              <w:numPr>
                <w:ilvl w:val="0"/>
                <w:numId w:val="23"/>
              </w:numPr>
              <w:shd w:val="clear" w:color="auto" w:fill="FFFFFF" w:themeFill="background1"/>
              <w:spacing w:line="234" w:lineRule="exact"/>
              <w:ind w:left="417"/>
              <w:jc w:val="both"/>
              <w:rPr>
                <w:b/>
                <w:sz w:val="20"/>
                <w:szCs w:val="20"/>
              </w:rPr>
            </w:pPr>
            <w:r>
              <w:rPr>
                <w:color w:val="000000"/>
                <w:sz w:val="20"/>
                <w:szCs w:val="20"/>
                <w:lang w:val="es-PE"/>
              </w:rPr>
              <w:t>Se incorpora el Reporte N° 36-A denominado “Detalle de aplicación de tasas de interés para operaciones no revolventes de los créditos de consumo, microempresa y pequeña empresa”</w:t>
            </w:r>
            <w:r>
              <w:rPr>
                <w:sz w:val="20"/>
                <w:szCs w:val="20"/>
              </w:rPr>
              <w:t>.</w:t>
            </w:r>
          </w:p>
        </w:tc>
      </w:tr>
      <w:tr w:rsidR="008C20EB" w14:paraId="40FE139B" w14:textId="77777777">
        <w:trPr>
          <w:trHeight w:val="253"/>
        </w:trPr>
        <w:tc>
          <w:tcPr>
            <w:tcW w:w="1574" w:type="dxa"/>
            <w:tcBorders>
              <w:bottom w:val="single" w:sz="4" w:space="0" w:color="auto"/>
            </w:tcBorders>
          </w:tcPr>
          <w:p w14:paraId="40FE138F"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Resolución          SBS N° 03594 -2023</w:t>
            </w:r>
          </w:p>
        </w:tc>
        <w:tc>
          <w:tcPr>
            <w:tcW w:w="1560" w:type="dxa"/>
            <w:tcBorders>
              <w:bottom w:val="single" w:sz="4" w:space="0" w:color="auto"/>
            </w:tcBorders>
          </w:tcPr>
          <w:p w14:paraId="40FE1390"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Pr.   31.10.2023</w:t>
            </w:r>
            <w:r>
              <w:rPr>
                <w:b/>
                <w:sz w:val="20"/>
                <w:szCs w:val="20"/>
              </w:rPr>
              <w:tab/>
              <w:t>/</w:t>
            </w:r>
          </w:p>
          <w:p w14:paraId="40FE1391" w14:textId="77777777" w:rsidR="008C20EB" w:rsidRDefault="008D25BE">
            <w:pPr>
              <w:pStyle w:val="TableParagraph"/>
              <w:shd w:val="clear" w:color="auto" w:fill="FFFFFF" w:themeFill="background1"/>
              <w:tabs>
                <w:tab w:val="left" w:pos="1606"/>
              </w:tabs>
              <w:spacing w:line="243" w:lineRule="exact"/>
              <w:rPr>
                <w:b/>
                <w:sz w:val="20"/>
                <w:szCs w:val="20"/>
              </w:rPr>
            </w:pPr>
            <w:r>
              <w:rPr>
                <w:b/>
                <w:sz w:val="20"/>
                <w:szCs w:val="20"/>
              </w:rPr>
              <w:t>Pub. 03.11.2023</w:t>
            </w:r>
          </w:p>
        </w:tc>
        <w:tc>
          <w:tcPr>
            <w:tcW w:w="3935" w:type="dxa"/>
            <w:tcBorders>
              <w:bottom w:val="single" w:sz="4" w:space="0" w:color="auto"/>
            </w:tcBorders>
          </w:tcPr>
          <w:p w14:paraId="40FE1392" w14:textId="77777777" w:rsidR="008C20EB" w:rsidRDefault="008D25BE">
            <w:pPr>
              <w:pStyle w:val="TableParagraph"/>
              <w:shd w:val="clear" w:color="auto" w:fill="FFFFFF" w:themeFill="background1"/>
              <w:spacing w:line="234" w:lineRule="exact"/>
              <w:ind w:left="94"/>
              <w:rPr>
                <w:rFonts w:cs="Arial"/>
                <w:sz w:val="20"/>
                <w:szCs w:val="20"/>
              </w:rPr>
            </w:pPr>
            <w:r>
              <w:rPr>
                <w:rFonts w:cs="Arial"/>
                <w:sz w:val="20"/>
                <w:szCs w:val="20"/>
              </w:rPr>
              <w:t>Se realizan modificaciones a los Capítulos III “Catálogo de Cuentas”, IV “Descripción y Dinámica de Cuentas” y V “Información Complementaria” del Manual de Contabilidad para las Empresas del Sistema Financiero. Dichas modificaciones son vigentes a partir de la información correspondiente al mes de octubre 2023.</w:t>
            </w:r>
          </w:p>
          <w:p w14:paraId="40FE1393" w14:textId="77777777" w:rsidR="008C20EB" w:rsidRDefault="008D25BE">
            <w:pPr>
              <w:tabs>
                <w:tab w:val="left" w:pos="3069"/>
              </w:tabs>
              <w:rPr>
                <w:sz w:val="20"/>
                <w:szCs w:val="20"/>
              </w:rPr>
            </w:pPr>
            <w:r>
              <w:rPr>
                <w:sz w:val="20"/>
                <w:szCs w:val="20"/>
              </w:rPr>
              <w:tab/>
            </w:r>
          </w:p>
        </w:tc>
        <w:tc>
          <w:tcPr>
            <w:tcW w:w="8162" w:type="dxa"/>
            <w:tcBorders>
              <w:bottom w:val="single" w:sz="4" w:space="0" w:color="auto"/>
            </w:tcBorders>
          </w:tcPr>
          <w:p w14:paraId="40FE1394" w14:textId="77777777" w:rsidR="008C20EB" w:rsidRDefault="008D25BE">
            <w:pPr>
              <w:pStyle w:val="TableParagraph"/>
              <w:spacing w:after="240"/>
              <w:ind w:left="67" w:right="61"/>
              <w:rPr>
                <w:color w:val="000000"/>
                <w:sz w:val="20"/>
                <w:szCs w:val="20"/>
                <w:lang w:val="es-PE"/>
              </w:rPr>
            </w:pPr>
            <w:r>
              <w:rPr>
                <w:color w:val="000000"/>
                <w:sz w:val="20"/>
                <w:szCs w:val="20"/>
                <w:lang w:val="es-PE"/>
              </w:rPr>
              <w:t>En los Capítulos III y IV:</w:t>
            </w:r>
          </w:p>
          <w:p w14:paraId="40FE1395" w14:textId="77777777" w:rsidR="008C20EB" w:rsidRDefault="008D25BE">
            <w:pPr>
              <w:pStyle w:val="Prrafodelista"/>
              <w:numPr>
                <w:ilvl w:val="0"/>
                <w:numId w:val="24"/>
              </w:numPr>
              <w:rPr>
                <w:snapToGrid w:val="0"/>
                <w:sz w:val="20"/>
                <w:szCs w:val="20"/>
              </w:rPr>
            </w:pPr>
            <w:r>
              <w:rPr>
                <w:snapToGrid w:val="0"/>
                <w:sz w:val="20"/>
                <w:szCs w:val="20"/>
              </w:rPr>
              <w:t>Se incorpora la descripción de la subcuenta 8109.55 “Créditos del Programa de Garantía del Gobierno Nacional para operaciones de reporte con el BCRP – D.U. 018-2023”,</w:t>
            </w:r>
            <w:r>
              <w:rPr>
                <w:rFonts w:cs="Arial"/>
                <w:snapToGrid w:val="0"/>
                <w:sz w:val="20"/>
                <w:szCs w:val="20"/>
              </w:rPr>
              <w:t xml:space="preserve"> junto con sus respectivas cuentas analíticas.</w:t>
            </w:r>
          </w:p>
          <w:p w14:paraId="40FE1396" w14:textId="77777777" w:rsidR="008C20EB" w:rsidRDefault="008D25BE">
            <w:pPr>
              <w:pStyle w:val="TableParagraph"/>
              <w:numPr>
                <w:ilvl w:val="0"/>
                <w:numId w:val="24"/>
              </w:numPr>
              <w:shd w:val="clear" w:color="auto" w:fill="FFFFFF" w:themeFill="background1"/>
              <w:spacing w:line="234" w:lineRule="exact"/>
              <w:rPr>
                <w:b/>
                <w:sz w:val="20"/>
                <w:szCs w:val="20"/>
              </w:rPr>
            </w:pPr>
            <w:r>
              <w:rPr>
                <w:snapToGrid w:val="0"/>
                <w:sz w:val="20"/>
                <w:szCs w:val="20"/>
              </w:rPr>
              <w:t>Se incorporan cuentas analíticas y subcuentas analíticas en la subcuenta 8109.52 “Créditos bajo esquema de financiamiento del Programa IMPULSO MYPERU”.</w:t>
            </w:r>
          </w:p>
          <w:p w14:paraId="40FE1397" w14:textId="77777777" w:rsidR="008C20EB" w:rsidRDefault="008C20EB">
            <w:pPr>
              <w:pStyle w:val="TableParagraph"/>
              <w:shd w:val="clear" w:color="auto" w:fill="FFFFFF" w:themeFill="background1"/>
              <w:spacing w:line="234" w:lineRule="exact"/>
              <w:rPr>
                <w:snapToGrid w:val="0"/>
                <w:sz w:val="20"/>
                <w:szCs w:val="20"/>
              </w:rPr>
            </w:pPr>
          </w:p>
          <w:p w14:paraId="40FE1398"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399" w14:textId="77777777" w:rsidR="008C20EB" w:rsidRDefault="008D25BE">
            <w:pPr>
              <w:pStyle w:val="Prrafodelista"/>
              <w:numPr>
                <w:ilvl w:val="0"/>
                <w:numId w:val="24"/>
              </w:numPr>
              <w:rPr>
                <w:snapToGrid w:val="0"/>
                <w:sz w:val="20"/>
                <w:szCs w:val="20"/>
              </w:rPr>
            </w:pPr>
            <w:r>
              <w:rPr>
                <w:snapToGrid w:val="0"/>
                <w:sz w:val="20"/>
                <w:szCs w:val="20"/>
              </w:rPr>
              <w:t>Se modifica el Catálogo de Cuentas del RCD</w:t>
            </w:r>
          </w:p>
          <w:p w14:paraId="40FE139A" w14:textId="77777777" w:rsidR="008C20EB" w:rsidRDefault="008C20EB">
            <w:pPr>
              <w:pStyle w:val="TableParagraph"/>
              <w:shd w:val="clear" w:color="auto" w:fill="FFFFFF" w:themeFill="background1"/>
              <w:spacing w:line="234" w:lineRule="exact"/>
              <w:rPr>
                <w:b/>
                <w:sz w:val="20"/>
                <w:szCs w:val="20"/>
              </w:rPr>
            </w:pPr>
          </w:p>
        </w:tc>
      </w:tr>
      <w:tr w:rsidR="008C20EB" w14:paraId="40FE13CD" w14:textId="77777777">
        <w:trPr>
          <w:trHeight w:val="253"/>
        </w:trPr>
        <w:tc>
          <w:tcPr>
            <w:tcW w:w="1574" w:type="dxa"/>
            <w:tcBorders>
              <w:bottom w:val="single" w:sz="4" w:space="0" w:color="auto"/>
            </w:tcBorders>
          </w:tcPr>
          <w:p w14:paraId="40FE139C"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01829 -2023</w:t>
            </w:r>
          </w:p>
        </w:tc>
        <w:tc>
          <w:tcPr>
            <w:tcW w:w="1560" w:type="dxa"/>
            <w:tcBorders>
              <w:bottom w:val="single" w:sz="4" w:space="0" w:color="auto"/>
            </w:tcBorders>
          </w:tcPr>
          <w:p w14:paraId="40FE139D"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Pr.   26.05.2023</w:t>
            </w:r>
            <w:r>
              <w:rPr>
                <w:b/>
                <w:sz w:val="20"/>
                <w:szCs w:val="20"/>
              </w:rPr>
              <w:tab/>
              <w:t>/</w:t>
            </w:r>
          </w:p>
          <w:p w14:paraId="40FE139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29.05.2023</w:t>
            </w:r>
          </w:p>
        </w:tc>
        <w:tc>
          <w:tcPr>
            <w:tcW w:w="3935" w:type="dxa"/>
            <w:tcBorders>
              <w:bottom w:val="single" w:sz="4" w:space="0" w:color="auto"/>
            </w:tcBorders>
            <w:vAlign w:val="bottom"/>
          </w:tcPr>
          <w:p w14:paraId="40FE139F" w14:textId="77777777" w:rsidR="008C20EB" w:rsidRDefault="008D25BE">
            <w:pPr>
              <w:pStyle w:val="TableParagraph"/>
              <w:shd w:val="clear" w:color="auto" w:fill="FFFFFF" w:themeFill="background1"/>
              <w:ind w:right="61"/>
              <w:jc w:val="both"/>
              <w:rPr>
                <w:rFonts w:cs="Arial"/>
                <w:sz w:val="20"/>
                <w:szCs w:val="20"/>
              </w:rPr>
            </w:pPr>
            <w:r>
              <w:rPr>
                <w:rFonts w:cs="Arial"/>
                <w:sz w:val="20"/>
                <w:szCs w:val="20"/>
              </w:rPr>
              <w:t>Se realizan modificaciones al Capítulo III “Catálogo de Cuentas”, Capítulo IV “Descripción y Dinámica” y al Capítulo V “Información Complementaria” del Manual de Contabilidad para las Empresas del Sistema Financiero.</w:t>
            </w:r>
          </w:p>
          <w:p w14:paraId="40FE13A0" w14:textId="77777777" w:rsidR="008C20EB" w:rsidRDefault="008C20EB">
            <w:pPr>
              <w:pStyle w:val="TableParagraph"/>
              <w:shd w:val="clear" w:color="auto" w:fill="FFFFFF" w:themeFill="background1"/>
              <w:ind w:left="67" w:right="61"/>
              <w:jc w:val="both"/>
              <w:rPr>
                <w:rFonts w:cs="Arial"/>
                <w:sz w:val="20"/>
                <w:szCs w:val="20"/>
              </w:rPr>
            </w:pPr>
          </w:p>
          <w:p w14:paraId="40FE13A1" w14:textId="77777777" w:rsidR="008C20EB" w:rsidRDefault="008C20EB">
            <w:pPr>
              <w:pStyle w:val="TableParagraph"/>
              <w:shd w:val="clear" w:color="auto" w:fill="FFFFFF" w:themeFill="background1"/>
              <w:ind w:left="67" w:right="61"/>
              <w:jc w:val="both"/>
              <w:rPr>
                <w:rFonts w:cs="Arial"/>
                <w:sz w:val="20"/>
                <w:szCs w:val="20"/>
              </w:rPr>
            </w:pPr>
          </w:p>
          <w:p w14:paraId="40FE13A2" w14:textId="77777777" w:rsidR="008C20EB" w:rsidRDefault="008C20EB">
            <w:pPr>
              <w:pStyle w:val="TableParagraph"/>
              <w:shd w:val="clear" w:color="auto" w:fill="FFFFFF" w:themeFill="background1"/>
              <w:ind w:left="67" w:right="61"/>
              <w:jc w:val="both"/>
              <w:rPr>
                <w:rFonts w:cs="Arial"/>
                <w:sz w:val="20"/>
                <w:szCs w:val="20"/>
              </w:rPr>
            </w:pPr>
          </w:p>
          <w:p w14:paraId="40FE13A3" w14:textId="77777777" w:rsidR="008C20EB" w:rsidRDefault="008C20EB">
            <w:pPr>
              <w:pStyle w:val="TableParagraph"/>
              <w:shd w:val="clear" w:color="auto" w:fill="FFFFFF" w:themeFill="background1"/>
              <w:ind w:left="67" w:right="61"/>
              <w:jc w:val="both"/>
              <w:rPr>
                <w:rFonts w:cs="Arial"/>
                <w:sz w:val="20"/>
                <w:szCs w:val="20"/>
              </w:rPr>
            </w:pPr>
          </w:p>
          <w:p w14:paraId="40FE13A4" w14:textId="77777777" w:rsidR="008C20EB" w:rsidRDefault="008C20EB">
            <w:pPr>
              <w:pStyle w:val="TableParagraph"/>
              <w:shd w:val="clear" w:color="auto" w:fill="FFFFFF" w:themeFill="background1"/>
              <w:ind w:left="67" w:right="61"/>
              <w:jc w:val="both"/>
              <w:rPr>
                <w:rFonts w:cs="Arial"/>
                <w:sz w:val="20"/>
                <w:szCs w:val="20"/>
              </w:rPr>
            </w:pPr>
          </w:p>
          <w:p w14:paraId="40FE13A5" w14:textId="77777777" w:rsidR="008C20EB" w:rsidRDefault="008C20EB">
            <w:pPr>
              <w:pStyle w:val="TableParagraph"/>
              <w:shd w:val="clear" w:color="auto" w:fill="FFFFFF" w:themeFill="background1"/>
              <w:ind w:left="67" w:right="61"/>
              <w:jc w:val="both"/>
              <w:rPr>
                <w:rFonts w:cs="Arial"/>
                <w:sz w:val="20"/>
                <w:szCs w:val="20"/>
              </w:rPr>
            </w:pPr>
          </w:p>
          <w:p w14:paraId="40FE13A6" w14:textId="77777777" w:rsidR="008C20EB" w:rsidRDefault="008C20EB">
            <w:pPr>
              <w:pStyle w:val="TableParagraph"/>
              <w:shd w:val="clear" w:color="auto" w:fill="FFFFFF" w:themeFill="background1"/>
              <w:ind w:left="67" w:right="61"/>
              <w:jc w:val="both"/>
              <w:rPr>
                <w:rFonts w:cs="Arial"/>
                <w:sz w:val="20"/>
                <w:szCs w:val="20"/>
              </w:rPr>
            </w:pPr>
          </w:p>
          <w:p w14:paraId="40FE13A7" w14:textId="77777777" w:rsidR="008C20EB" w:rsidRDefault="008C20EB">
            <w:pPr>
              <w:pStyle w:val="TableParagraph"/>
              <w:shd w:val="clear" w:color="auto" w:fill="FFFFFF" w:themeFill="background1"/>
              <w:ind w:left="67" w:right="61"/>
              <w:jc w:val="both"/>
              <w:rPr>
                <w:rFonts w:cs="Arial"/>
                <w:sz w:val="20"/>
                <w:szCs w:val="20"/>
              </w:rPr>
            </w:pPr>
          </w:p>
          <w:p w14:paraId="40FE13A8" w14:textId="77777777" w:rsidR="008C20EB" w:rsidRDefault="008C20EB">
            <w:pPr>
              <w:pStyle w:val="TableParagraph"/>
              <w:shd w:val="clear" w:color="auto" w:fill="FFFFFF" w:themeFill="background1"/>
              <w:ind w:left="67" w:right="61"/>
              <w:jc w:val="both"/>
              <w:rPr>
                <w:rFonts w:cs="Arial"/>
                <w:sz w:val="20"/>
                <w:szCs w:val="20"/>
              </w:rPr>
            </w:pPr>
          </w:p>
          <w:p w14:paraId="40FE13A9" w14:textId="77777777" w:rsidR="008C20EB" w:rsidRDefault="008C20EB">
            <w:pPr>
              <w:pStyle w:val="TableParagraph"/>
              <w:shd w:val="clear" w:color="auto" w:fill="FFFFFF" w:themeFill="background1"/>
              <w:ind w:left="67" w:right="61"/>
              <w:jc w:val="both"/>
              <w:rPr>
                <w:rFonts w:cs="Arial"/>
                <w:sz w:val="20"/>
                <w:szCs w:val="20"/>
              </w:rPr>
            </w:pPr>
          </w:p>
          <w:p w14:paraId="40FE13AA" w14:textId="77777777" w:rsidR="008C20EB" w:rsidRDefault="008C20EB">
            <w:pPr>
              <w:pStyle w:val="TableParagraph"/>
              <w:shd w:val="clear" w:color="auto" w:fill="FFFFFF" w:themeFill="background1"/>
              <w:ind w:left="67" w:right="61"/>
              <w:jc w:val="both"/>
              <w:rPr>
                <w:rFonts w:cs="Arial"/>
                <w:sz w:val="20"/>
                <w:szCs w:val="20"/>
              </w:rPr>
            </w:pPr>
          </w:p>
          <w:p w14:paraId="40FE13AB" w14:textId="77777777" w:rsidR="008C20EB" w:rsidRDefault="008C20EB">
            <w:pPr>
              <w:pStyle w:val="TableParagraph"/>
              <w:shd w:val="clear" w:color="auto" w:fill="FFFFFF" w:themeFill="background1"/>
              <w:ind w:left="67" w:right="61"/>
              <w:jc w:val="both"/>
              <w:rPr>
                <w:rFonts w:cs="Arial"/>
                <w:sz w:val="20"/>
                <w:szCs w:val="20"/>
              </w:rPr>
            </w:pPr>
          </w:p>
          <w:p w14:paraId="40FE13AC" w14:textId="77777777" w:rsidR="008C20EB" w:rsidRDefault="008C20EB">
            <w:pPr>
              <w:pStyle w:val="TableParagraph"/>
              <w:shd w:val="clear" w:color="auto" w:fill="FFFFFF" w:themeFill="background1"/>
              <w:ind w:left="67" w:right="61"/>
              <w:jc w:val="both"/>
              <w:rPr>
                <w:rFonts w:cs="Arial"/>
                <w:sz w:val="20"/>
                <w:szCs w:val="20"/>
              </w:rPr>
            </w:pPr>
          </w:p>
          <w:p w14:paraId="40FE13AD" w14:textId="77777777" w:rsidR="008C20EB" w:rsidRDefault="008C20EB">
            <w:pPr>
              <w:pStyle w:val="TableParagraph"/>
              <w:shd w:val="clear" w:color="auto" w:fill="FFFFFF" w:themeFill="background1"/>
              <w:ind w:left="67" w:right="61"/>
              <w:jc w:val="both"/>
              <w:rPr>
                <w:rFonts w:cs="Arial"/>
                <w:sz w:val="20"/>
                <w:szCs w:val="20"/>
              </w:rPr>
            </w:pPr>
          </w:p>
          <w:p w14:paraId="40FE13AE" w14:textId="77777777" w:rsidR="008C20EB" w:rsidRDefault="008C20EB">
            <w:pPr>
              <w:pStyle w:val="TableParagraph"/>
              <w:shd w:val="clear" w:color="auto" w:fill="FFFFFF" w:themeFill="background1"/>
              <w:ind w:left="67" w:right="61"/>
              <w:jc w:val="both"/>
              <w:rPr>
                <w:rFonts w:cs="Arial"/>
                <w:sz w:val="20"/>
                <w:szCs w:val="20"/>
              </w:rPr>
            </w:pPr>
          </w:p>
          <w:p w14:paraId="40FE13AF" w14:textId="77777777" w:rsidR="008C20EB" w:rsidRDefault="008C20EB">
            <w:pPr>
              <w:pStyle w:val="TableParagraph"/>
              <w:shd w:val="clear" w:color="auto" w:fill="FFFFFF" w:themeFill="background1"/>
              <w:ind w:left="67" w:right="61"/>
              <w:jc w:val="both"/>
              <w:rPr>
                <w:rFonts w:cs="Arial"/>
                <w:sz w:val="20"/>
                <w:szCs w:val="20"/>
              </w:rPr>
            </w:pPr>
          </w:p>
          <w:p w14:paraId="40FE13B0" w14:textId="77777777" w:rsidR="008C20EB" w:rsidRDefault="008C20EB">
            <w:pPr>
              <w:pStyle w:val="TableParagraph"/>
              <w:shd w:val="clear" w:color="auto" w:fill="FFFFFF" w:themeFill="background1"/>
              <w:ind w:left="67" w:right="61"/>
              <w:jc w:val="both"/>
              <w:rPr>
                <w:rFonts w:cs="Arial"/>
                <w:sz w:val="20"/>
                <w:szCs w:val="20"/>
              </w:rPr>
            </w:pPr>
          </w:p>
          <w:p w14:paraId="40FE13B1" w14:textId="77777777" w:rsidR="008C20EB" w:rsidRDefault="008C20EB">
            <w:pPr>
              <w:pStyle w:val="TableParagraph"/>
              <w:shd w:val="clear" w:color="auto" w:fill="FFFFFF" w:themeFill="background1"/>
              <w:ind w:left="67" w:right="61"/>
              <w:jc w:val="both"/>
              <w:rPr>
                <w:rFonts w:cs="Arial"/>
                <w:sz w:val="20"/>
                <w:szCs w:val="20"/>
              </w:rPr>
            </w:pPr>
          </w:p>
          <w:p w14:paraId="40FE13B2" w14:textId="77777777" w:rsidR="008C20EB" w:rsidRDefault="008C20EB">
            <w:pPr>
              <w:pStyle w:val="TableParagraph"/>
              <w:shd w:val="clear" w:color="auto" w:fill="FFFFFF" w:themeFill="background1"/>
              <w:ind w:left="67" w:right="61"/>
              <w:jc w:val="both"/>
              <w:rPr>
                <w:rFonts w:cs="Arial"/>
                <w:sz w:val="20"/>
                <w:szCs w:val="20"/>
              </w:rPr>
            </w:pPr>
          </w:p>
          <w:p w14:paraId="40FE13B3" w14:textId="77777777" w:rsidR="008C20EB" w:rsidRDefault="008C20EB">
            <w:pPr>
              <w:pStyle w:val="TableParagraph"/>
              <w:shd w:val="clear" w:color="auto" w:fill="FFFFFF" w:themeFill="background1"/>
              <w:ind w:left="67" w:right="61"/>
              <w:jc w:val="both"/>
              <w:rPr>
                <w:rFonts w:cs="Arial"/>
                <w:sz w:val="20"/>
                <w:szCs w:val="20"/>
              </w:rPr>
            </w:pPr>
          </w:p>
          <w:p w14:paraId="40FE13B4" w14:textId="77777777" w:rsidR="008C20EB" w:rsidRDefault="008C20EB">
            <w:pPr>
              <w:pStyle w:val="TableParagraph"/>
              <w:shd w:val="clear" w:color="auto" w:fill="FFFFFF" w:themeFill="background1"/>
              <w:ind w:left="67" w:right="61"/>
              <w:jc w:val="both"/>
              <w:rPr>
                <w:rFonts w:cs="Arial"/>
                <w:sz w:val="20"/>
                <w:szCs w:val="20"/>
              </w:rPr>
            </w:pPr>
          </w:p>
          <w:p w14:paraId="40FE13B5" w14:textId="77777777" w:rsidR="008C20EB" w:rsidRDefault="008C20EB">
            <w:pPr>
              <w:pStyle w:val="TableParagraph"/>
              <w:shd w:val="clear" w:color="auto" w:fill="FFFFFF" w:themeFill="background1"/>
              <w:ind w:left="67" w:right="61"/>
              <w:jc w:val="both"/>
              <w:rPr>
                <w:rFonts w:cs="Arial"/>
                <w:sz w:val="20"/>
                <w:szCs w:val="20"/>
              </w:rPr>
            </w:pPr>
          </w:p>
          <w:p w14:paraId="40FE13B6" w14:textId="77777777" w:rsidR="008C20EB" w:rsidRDefault="008C20EB">
            <w:pPr>
              <w:pStyle w:val="TableParagraph"/>
              <w:shd w:val="clear" w:color="auto" w:fill="FFFFFF" w:themeFill="background1"/>
              <w:ind w:left="67" w:right="61"/>
              <w:jc w:val="both"/>
              <w:rPr>
                <w:rFonts w:cs="Arial"/>
                <w:sz w:val="20"/>
                <w:szCs w:val="20"/>
              </w:rPr>
            </w:pPr>
          </w:p>
          <w:p w14:paraId="40FE13B7" w14:textId="77777777" w:rsidR="008C20EB" w:rsidRDefault="008C20EB">
            <w:pPr>
              <w:pStyle w:val="TableParagraph"/>
              <w:shd w:val="clear" w:color="auto" w:fill="FFFFFF" w:themeFill="background1"/>
              <w:ind w:left="67" w:right="61"/>
              <w:jc w:val="both"/>
              <w:rPr>
                <w:rFonts w:cs="Arial"/>
                <w:sz w:val="20"/>
                <w:szCs w:val="20"/>
              </w:rPr>
            </w:pPr>
          </w:p>
          <w:p w14:paraId="40FE13B8" w14:textId="77777777" w:rsidR="008C20EB" w:rsidRDefault="008C20EB">
            <w:pPr>
              <w:pStyle w:val="TableParagraph"/>
              <w:shd w:val="clear" w:color="auto" w:fill="FFFFFF" w:themeFill="background1"/>
              <w:ind w:left="67" w:right="61"/>
              <w:jc w:val="both"/>
              <w:rPr>
                <w:rFonts w:cs="Arial"/>
                <w:sz w:val="20"/>
                <w:szCs w:val="20"/>
              </w:rPr>
            </w:pPr>
          </w:p>
          <w:p w14:paraId="40FE13B9" w14:textId="77777777" w:rsidR="008C20EB" w:rsidRDefault="008C20EB">
            <w:pPr>
              <w:pStyle w:val="TableParagraph"/>
              <w:shd w:val="clear" w:color="auto" w:fill="FFFFFF" w:themeFill="background1"/>
              <w:ind w:left="67" w:right="61"/>
              <w:jc w:val="both"/>
              <w:rPr>
                <w:rFonts w:cs="Arial"/>
                <w:sz w:val="20"/>
                <w:szCs w:val="20"/>
              </w:rPr>
            </w:pPr>
          </w:p>
          <w:p w14:paraId="40FE13BA" w14:textId="77777777" w:rsidR="008C20EB" w:rsidRDefault="008C20EB">
            <w:pPr>
              <w:pStyle w:val="TableParagraph"/>
              <w:shd w:val="clear" w:color="auto" w:fill="FFFFFF" w:themeFill="background1"/>
              <w:spacing w:line="234" w:lineRule="exact"/>
              <w:ind w:left="1118"/>
              <w:jc w:val="both"/>
              <w:rPr>
                <w:b/>
                <w:sz w:val="20"/>
                <w:szCs w:val="20"/>
              </w:rPr>
            </w:pPr>
          </w:p>
        </w:tc>
        <w:tc>
          <w:tcPr>
            <w:tcW w:w="8162" w:type="dxa"/>
            <w:tcBorders>
              <w:bottom w:val="single" w:sz="4" w:space="0" w:color="auto"/>
            </w:tcBorders>
            <w:vAlign w:val="bottom"/>
          </w:tcPr>
          <w:p w14:paraId="40FE13BB"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lastRenderedPageBreak/>
              <w:t>En los Capítulos III y IV:</w:t>
            </w:r>
          </w:p>
          <w:p w14:paraId="40FE13BC" w14:textId="77777777" w:rsidR="008C20EB" w:rsidRDefault="008D25BE">
            <w:pPr>
              <w:pStyle w:val="Prrafodelista"/>
              <w:numPr>
                <w:ilvl w:val="0"/>
                <w:numId w:val="24"/>
              </w:numPr>
              <w:rPr>
                <w:snapToGrid w:val="0"/>
                <w:sz w:val="20"/>
                <w:szCs w:val="20"/>
              </w:rPr>
            </w:pPr>
            <w:r>
              <w:rPr>
                <w:snapToGrid w:val="0"/>
                <w:sz w:val="20"/>
                <w:szCs w:val="20"/>
              </w:rPr>
              <w:t>Se modifica la descripción de la subcuenta 8109.50 “Créditos Reprogramados FAE–Turismo”.</w:t>
            </w:r>
          </w:p>
          <w:p w14:paraId="40FE13BD" w14:textId="77777777" w:rsidR="008C20EB" w:rsidRDefault="008D25BE">
            <w:pPr>
              <w:pStyle w:val="Prrafodelista"/>
              <w:numPr>
                <w:ilvl w:val="0"/>
                <w:numId w:val="24"/>
              </w:numPr>
              <w:rPr>
                <w:snapToGrid w:val="0"/>
                <w:sz w:val="20"/>
                <w:szCs w:val="20"/>
              </w:rPr>
            </w:pPr>
            <w:r>
              <w:rPr>
                <w:snapToGrid w:val="0"/>
                <w:sz w:val="20"/>
                <w:szCs w:val="20"/>
              </w:rPr>
              <w:t>Se modifica la descripción de la cuenta analítica 8404.05.20 “Garantía otorgada para créditos reprogramados del FAE – TURISMO”.</w:t>
            </w:r>
          </w:p>
          <w:p w14:paraId="40FE13BE" w14:textId="77777777" w:rsidR="008C20EB" w:rsidRDefault="008C20EB">
            <w:pPr>
              <w:pStyle w:val="Prrafodelista"/>
              <w:ind w:left="427"/>
              <w:rPr>
                <w:snapToGrid w:val="0"/>
                <w:sz w:val="20"/>
                <w:szCs w:val="20"/>
              </w:rPr>
            </w:pPr>
          </w:p>
          <w:p w14:paraId="40FE13BF"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3C0" w14:textId="77777777" w:rsidR="008C20EB" w:rsidRDefault="008D25BE">
            <w:pPr>
              <w:pStyle w:val="Prrafodelista"/>
              <w:numPr>
                <w:ilvl w:val="0"/>
                <w:numId w:val="24"/>
              </w:numPr>
              <w:rPr>
                <w:color w:val="000000"/>
                <w:sz w:val="20"/>
                <w:szCs w:val="20"/>
                <w:lang w:val="es-PE"/>
              </w:rPr>
            </w:pPr>
            <w:r>
              <w:rPr>
                <w:color w:val="000000"/>
                <w:sz w:val="20"/>
                <w:szCs w:val="20"/>
                <w:lang w:val="es-PE"/>
              </w:rPr>
              <w:t>Se modifica las notas metodológicas del Anexo N° 5 “Informe de Clasificación de Deudores y Provisiones”.</w:t>
            </w:r>
          </w:p>
          <w:p w14:paraId="40FE13C1" w14:textId="77777777" w:rsidR="008C20EB" w:rsidRDefault="008D25BE">
            <w:pPr>
              <w:pStyle w:val="TableParagraph"/>
              <w:numPr>
                <w:ilvl w:val="0"/>
                <w:numId w:val="24"/>
              </w:numPr>
              <w:shd w:val="clear" w:color="auto" w:fill="FFFFFF" w:themeFill="background1"/>
              <w:spacing w:after="240"/>
              <w:ind w:right="61"/>
              <w:jc w:val="both"/>
              <w:rPr>
                <w:color w:val="000000"/>
                <w:sz w:val="20"/>
                <w:szCs w:val="20"/>
                <w:lang w:val="es-PE"/>
              </w:rPr>
            </w:pPr>
            <w:r>
              <w:rPr>
                <w:color w:val="000000"/>
                <w:sz w:val="20"/>
                <w:szCs w:val="20"/>
                <w:lang w:val="es-PE"/>
              </w:rPr>
              <w:t>Se modifica las notas metodológicas del Reporte N° 2-A1 “Activos y Contingentes Ponderados por Riesgo de Crédito - Método Estándar".</w:t>
            </w:r>
          </w:p>
          <w:p w14:paraId="40FE13C2" w14:textId="77777777" w:rsidR="008C20EB" w:rsidRDefault="008C20EB">
            <w:pPr>
              <w:pStyle w:val="TableParagraph"/>
              <w:spacing w:after="240"/>
              <w:ind w:left="67" w:right="61"/>
              <w:jc w:val="both"/>
              <w:rPr>
                <w:snapToGrid w:val="0"/>
                <w:sz w:val="20"/>
                <w:szCs w:val="20"/>
              </w:rPr>
            </w:pPr>
          </w:p>
          <w:p w14:paraId="40FE13C3" w14:textId="77777777" w:rsidR="008C20EB" w:rsidRDefault="008C20EB">
            <w:pPr>
              <w:pStyle w:val="TableParagraph"/>
              <w:spacing w:after="240"/>
              <w:ind w:left="67" w:right="61"/>
              <w:jc w:val="both"/>
              <w:rPr>
                <w:snapToGrid w:val="0"/>
                <w:sz w:val="20"/>
                <w:szCs w:val="20"/>
              </w:rPr>
            </w:pPr>
          </w:p>
          <w:p w14:paraId="40FE13C4" w14:textId="77777777" w:rsidR="008C20EB" w:rsidRDefault="008C20EB">
            <w:pPr>
              <w:pStyle w:val="TableParagraph"/>
              <w:spacing w:after="240"/>
              <w:ind w:right="61"/>
              <w:jc w:val="both"/>
              <w:rPr>
                <w:snapToGrid w:val="0"/>
                <w:sz w:val="20"/>
                <w:szCs w:val="20"/>
              </w:rPr>
            </w:pPr>
          </w:p>
          <w:p w14:paraId="40FE13C5" w14:textId="77777777" w:rsidR="008C20EB" w:rsidRDefault="008C20EB">
            <w:pPr>
              <w:pStyle w:val="TableParagraph"/>
              <w:spacing w:after="240"/>
              <w:ind w:right="61"/>
              <w:jc w:val="both"/>
              <w:rPr>
                <w:snapToGrid w:val="0"/>
                <w:sz w:val="20"/>
                <w:szCs w:val="20"/>
              </w:rPr>
            </w:pPr>
          </w:p>
          <w:p w14:paraId="40FE13C6" w14:textId="77777777" w:rsidR="008C20EB" w:rsidRDefault="008C20EB">
            <w:pPr>
              <w:pStyle w:val="TableParagraph"/>
              <w:spacing w:after="240"/>
              <w:ind w:right="61"/>
              <w:jc w:val="both"/>
              <w:rPr>
                <w:snapToGrid w:val="0"/>
                <w:sz w:val="20"/>
                <w:szCs w:val="20"/>
              </w:rPr>
            </w:pPr>
          </w:p>
          <w:p w14:paraId="40FE13C7" w14:textId="77777777" w:rsidR="008C20EB" w:rsidRDefault="008C20EB">
            <w:pPr>
              <w:pStyle w:val="TableParagraph"/>
              <w:spacing w:after="240"/>
              <w:ind w:right="61"/>
              <w:jc w:val="both"/>
              <w:rPr>
                <w:snapToGrid w:val="0"/>
                <w:sz w:val="20"/>
                <w:szCs w:val="20"/>
              </w:rPr>
            </w:pPr>
          </w:p>
          <w:p w14:paraId="40FE13C8" w14:textId="77777777" w:rsidR="008C20EB" w:rsidRDefault="008C20EB">
            <w:pPr>
              <w:pStyle w:val="TableParagraph"/>
              <w:spacing w:after="240"/>
              <w:ind w:right="61"/>
              <w:jc w:val="both"/>
              <w:rPr>
                <w:snapToGrid w:val="0"/>
                <w:sz w:val="20"/>
                <w:szCs w:val="20"/>
              </w:rPr>
            </w:pPr>
          </w:p>
          <w:p w14:paraId="40FE13C9" w14:textId="77777777" w:rsidR="008C20EB" w:rsidRDefault="008C20EB">
            <w:pPr>
              <w:pStyle w:val="TableParagraph"/>
              <w:spacing w:after="240"/>
              <w:ind w:left="67" w:right="61"/>
              <w:jc w:val="both"/>
              <w:rPr>
                <w:snapToGrid w:val="0"/>
                <w:sz w:val="20"/>
                <w:szCs w:val="20"/>
              </w:rPr>
            </w:pPr>
          </w:p>
          <w:p w14:paraId="40FE13CA" w14:textId="77777777" w:rsidR="008C20EB" w:rsidRDefault="008C20EB">
            <w:pPr>
              <w:pStyle w:val="TableParagraph"/>
              <w:spacing w:after="240"/>
              <w:ind w:left="67" w:right="61"/>
              <w:jc w:val="both"/>
              <w:rPr>
                <w:snapToGrid w:val="0"/>
                <w:sz w:val="20"/>
                <w:szCs w:val="20"/>
              </w:rPr>
            </w:pPr>
          </w:p>
          <w:p w14:paraId="40FE13CB" w14:textId="77777777" w:rsidR="008C20EB" w:rsidRDefault="008C20EB">
            <w:pPr>
              <w:pStyle w:val="TableParagraph"/>
              <w:spacing w:after="240"/>
              <w:ind w:right="61"/>
              <w:jc w:val="both"/>
              <w:rPr>
                <w:snapToGrid w:val="0"/>
                <w:sz w:val="20"/>
                <w:szCs w:val="20"/>
              </w:rPr>
            </w:pPr>
          </w:p>
          <w:p w14:paraId="40FE13CC" w14:textId="77777777" w:rsidR="008C20EB" w:rsidRDefault="008C20EB">
            <w:pPr>
              <w:pStyle w:val="TableParagraph"/>
              <w:shd w:val="clear" w:color="auto" w:fill="FFFFFF" w:themeFill="background1"/>
              <w:spacing w:line="234" w:lineRule="exact"/>
              <w:ind w:right="3265"/>
              <w:jc w:val="both"/>
              <w:rPr>
                <w:b/>
                <w:sz w:val="20"/>
                <w:szCs w:val="20"/>
              </w:rPr>
            </w:pPr>
          </w:p>
        </w:tc>
      </w:tr>
      <w:tr w:rsidR="008C20EB" w14:paraId="40FE1411" w14:textId="77777777">
        <w:trPr>
          <w:trHeight w:val="253"/>
        </w:trPr>
        <w:tc>
          <w:tcPr>
            <w:tcW w:w="1574" w:type="dxa"/>
            <w:tcBorders>
              <w:bottom w:val="single" w:sz="4" w:space="0" w:color="auto"/>
            </w:tcBorders>
          </w:tcPr>
          <w:p w14:paraId="40FE13CE"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01828 -2023</w:t>
            </w:r>
          </w:p>
        </w:tc>
        <w:tc>
          <w:tcPr>
            <w:tcW w:w="1560" w:type="dxa"/>
            <w:tcBorders>
              <w:bottom w:val="single" w:sz="4" w:space="0" w:color="auto"/>
            </w:tcBorders>
          </w:tcPr>
          <w:p w14:paraId="40FE13C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Pr.   26.05.2023</w:t>
            </w:r>
            <w:r>
              <w:rPr>
                <w:b/>
                <w:sz w:val="20"/>
                <w:szCs w:val="20"/>
              </w:rPr>
              <w:tab/>
              <w:t>/</w:t>
            </w:r>
          </w:p>
          <w:p w14:paraId="40FE13D0" w14:textId="77777777" w:rsidR="008C20EB" w:rsidRDefault="008D25BE">
            <w:pPr>
              <w:pStyle w:val="TableParagraph"/>
              <w:shd w:val="clear" w:color="auto" w:fill="FFFFFF" w:themeFill="background1"/>
              <w:tabs>
                <w:tab w:val="left" w:pos="1606"/>
              </w:tabs>
              <w:spacing w:line="243" w:lineRule="exact"/>
              <w:jc w:val="both"/>
              <w:rPr>
                <w:rFonts w:cs="Arial"/>
                <w:sz w:val="20"/>
                <w:szCs w:val="20"/>
              </w:rPr>
            </w:pPr>
            <w:r>
              <w:rPr>
                <w:b/>
                <w:sz w:val="20"/>
                <w:szCs w:val="20"/>
              </w:rPr>
              <w:t>Pub. 29.05.2023</w:t>
            </w:r>
          </w:p>
        </w:tc>
        <w:tc>
          <w:tcPr>
            <w:tcW w:w="3935" w:type="dxa"/>
            <w:tcBorders>
              <w:bottom w:val="single" w:sz="4" w:space="0" w:color="auto"/>
            </w:tcBorders>
            <w:vAlign w:val="bottom"/>
          </w:tcPr>
          <w:p w14:paraId="40FE13D1"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realizan modificaciones al Capítulo III “Catálogo de Cuentas”, Capítulo IV “Descripción y Dinámica” y al Capítulo V “Información Complementaria” del Manual de Contabilidad para las Empresas del Sistema Financiero.</w:t>
            </w:r>
          </w:p>
          <w:p w14:paraId="40FE13D2" w14:textId="77777777" w:rsidR="008C20EB" w:rsidRDefault="008C20EB">
            <w:pPr>
              <w:pStyle w:val="TableParagraph"/>
              <w:shd w:val="clear" w:color="auto" w:fill="FFFFFF" w:themeFill="background1"/>
              <w:ind w:left="67" w:right="61"/>
              <w:jc w:val="both"/>
              <w:rPr>
                <w:rFonts w:cs="Arial"/>
                <w:sz w:val="20"/>
                <w:szCs w:val="20"/>
              </w:rPr>
            </w:pPr>
          </w:p>
          <w:p w14:paraId="40FE13D3" w14:textId="77777777" w:rsidR="008C20EB" w:rsidRDefault="008C20EB">
            <w:pPr>
              <w:pStyle w:val="TableParagraph"/>
              <w:shd w:val="clear" w:color="auto" w:fill="FFFFFF" w:themeFill="background1"/>
              <w:ind w:left="67" w:right="61"/>
              <w:jc w:val="both"/>
              <w:rPr>
                <w:rFonts w:cs="Arial"/>
                <w:sz w:val="20"/>
                <w:szCs w:val="20"/>
              </w:rPr>
            </w:pPr>
          </w:p>
          <w:p w14:paraId="40FE13D4" w14:textId="77777777" w:rsidR="008C20EB" w:rsidRDefault="008C20EB">
            <w:pPr>
              <w:pStyle w:val="TableParagraph"/>
              <w:shd w:val="clear" w:color="auto" w:fill="FFFFFF" w:themeFill="background1"/>
              <w:ind w:left="67" w:right="61"/>
              <w:jc w:val="both"/>
              <w:rPr>
                <w:rFonts w:cs="Arial"/>
                <w:sz w:val="20"/>
                <w:szCs w:val="20"/>
              </w:rPr>
            </w:pPr>
          </w:p>
          <w:p w14:paraId="40FE13D5" w14:textId="77777777" w:rsidR="008C20EB" w:rsidRDefault="008C20EB">
            <w:pPr>
              <w:pStyle w:val="TableParagraph"/>
              <w:shd w:val="clear" w:color="auto" w:fill="FFFFFF" w:themeFill="background1"/>
              <w:ind w:left="67" w:right="61"/>
              <w:jc w:val="both"/>
              <w:rPr>
                <w:rFonts w:cs="Arial"/>
                <w:sz w:val="20"/>
                <w:szCs w:val="20"/>
              </w:rPr>
            </w:pPr>
          </w:p>
          <w:p w14:paraId="40FE13D6" w14:textId="77777777" w:rsidR="008C20EB" w:rsidRDefault="008C20EB">
            <w:pPr>
              <w:pStyle w:val="TableParagraph"/>
              <w:shd w:val="clear" w:color="auto" w:fill="FFFFFF" w:themeFill="background1"/>
              <w:ind w:left="67" w:right="61"/>
              <w:jc w:val="both"/>
              <w:rPr>
                <w:rFonts w:cs="Arial"/>
                <w:sz w:val="20"/>
                <w:szCs w:val="20"/>
              </w:rPr>
            </w:pPr>
          </w:p>
          <w:p w14:paraId="40FE13D7" w14:textId="77777777" w:rsidR="008C20EB" w:rsidRDefault="008C20EB">
            <w:pPr>
              <w:pStyle w:val="TableParagraph"/>
              <w:shd w:val="clear" w:color="auto" w:fill="FFFFFF" w:themeFill="background1"/>
              <w:ind w:left="67" w:right="61"/>
              <w:jc w:val="both"/>
              <w:rPr>
                <w:rFonts w:cs="Arial"/>
                <w:sz w:val="20"/>
                <w:szCs w:val="20"/>
              </w:rPr>
            </w:pPr>
          </w:p>
          <w:p w14:paraId="40FE13D8" w14:textId="77777777" w:rsidR="008C20EB" w:rsidRDefault="008C20EB">
            <w:pPr>
              <w:pStyle w:val="TableParagraph"/>
              <w:shd w:val="clear" w:color="auto" w:fill="FFFFFF" w:themeFill="background1"/>
              <w:ind w:left="67" w:right="61"/>
              <w:jc w:val="both"/>
              <w:rPr>
                <w:rFonts w:cs="Arial"/>
                <w:sz w:val="20"/>
                <w:szCs w:val="20"/>
              </w:rPr>
            </w:pPr>
          </w:p>
          <w:p w14:paraId="40FE13D9" w14:textId="77777777" w:rsidR="008C20EB" w:rsidRDefault="008C20EB">
            <w:pPr>
              <w:pStyle w:val="TableParagraph"/>
              <w:shd w:val="clear" w:color="auto" w:fill="FFFFFF" w:themeFill="background1"/>
              <w:ind w:left="67" w:right="61"/>
              <w:jc w:val="both"/>
              <w:rPr>
                <w:rFonts w:cs="Arial"/>
                <w:sz w:val="20"/>
                <w:szCs w:val="20"/>
              </w:rPr>
            </w:pPr>
          </w:p>
          <w:p w14:paraId="40FE13DA" w14:textId="77777777" w:rsidR="008C20EB" w:rsidRDefault="008C20EB">
            <w:pPr>
              <w:pStyle w:val="TableParagraph"/>
              <w:shd w:val="clear" w:color="auto" w:fill="FFFFFF" w:themeFill="background1"/>
              <w:ind w:left="67" w:right="61"/>
              <w:jc w:val="both"/>
              <w:rPr>
                <w:rFonts w:cs="Arial"/>
                <w:sz w:val="20"/>
                <w:szCs w:val="20"/>
              </w:rPr>
            </w:pPr>
          </w:p>
          <w:p w14:paraId="40FE13DB" w14:textId="77777777" w:rsidR="008C20EB" w:rsidRDefault="008C20EB">
            <w:pPr>
              <w:pStyle w:val="TableParagraph"/>
              <w:shd w:val="clear" w:color="auto" w:fill="FFFFFF" w:themeFill="background1"/>
              <w:ind w:left="67" w:right="61"/>
              <w:jc w:val="both"/>
              <w:rPr>
                <w:rFonts w:cs="Arial"/>
                <w:sz w:val="20"/>
                <w:szCs w:val="20"/>
              </w:rPr>
            </w:pPr>
          </w:p>
          <w:p w14:paraId="40FE13DC" w14:textId="77777777" w:rsidR="008C20EB" w:rsidRDefault="008C20EB">
            <w:pPr>
              <w:pStyle w:val="TableParagraph"/>
              <w:shd w:val="clear" w:color="auto" w:fill="FFFFFF" w:themeFill="background1"/>
              <w:ind w:left="67" w:right="61"/>
              <w:jc w:val="both"/>
              <w:rPr>
                <w:rFonts w:cs="Arial"/>
                <w:sz w:val="20"/>
                <w:szCs w:val="20"/>
              </w:rPr>
            </w:pPr>
          </w:p>
          <w:p w14:paraId="40FE13DD" w14:textId="77777777" w:rsidR="008C20EB" w:rsidRDefault="008C20EB">
            <w:pPr>
              <w:pStyle w:val="TableParagraph"/>
              <w:shd w:val="clear" w:color="auto" w:fill="FFFFFF" w:themeFill="background1"/>
              <w:ind w:left="67" w:right="61"/>
              <w:jc w:val="both"/>
              <w:rPr>
                <w:rFonts w:cs="Arial"/>
                <w:sz w:val="20"/>
                <w:szCs w:val="20"/>
              </w:rPr>
            </w:pPr>
          </w:p>
          <w:p w14:paraId="40FE13DE" w14:textId="77777777" w:rsidR="008C20EB" w:rsidRDefault="008C20EB">
            <w:pPr>
              <w:pStyle w:val="TableParagraph"/>
              <w:shd w:val="clear" w:color="auto" w:fill="FFFFFF" w:themeFill="background1"/>
              <w:ind w:left="67" w:right="61"/>
              <w:jc w:val="both"/>
              <w:rPr>
                <w:rFonts w:cs="Arial"/>
                <w:sz w:val="20"/>
                <w:szCs w:val="20"/>
              </w:rPr>
            </w:pPr>
          </w:p>
          <w:p w14:paraId="40FE13DF" w14:textId="77777777" w:rsidR="008C20EB" w:rsidRDefault="008C20EB">
            <w:pPr>
              <w:pStyle w:val="TableParagraph"/>
              <w:shd w:val="clear" w:color="auto" w:fill="FFFFFF" w:themeFill="background1"/>
              <w:ind w:left="67" w:right="61"/>
              <w:jc w:val="both"/>
              <w:rPr>
                <w:rFonts w:cs="Arial"/>
                <w:sz w:val="20"/>
                <w:szCs w:val="20"/>
              </w:rPr>
            </w:pPr>
          </w:p>
          <w:p w14:paraId="40FE13E0" w14:textId="77777777" w:rsidR="008C20EB" w:rsidRDefault="008C20EB">
            <w:pPr>
              <w:pStyle w:val="TableParagraph"/>
              <w:shd w:val="clear" w:color="auto" w:fill="FFFFFF" w:themeFill="background1"/>
              <w:ind w:left="67" w:right="61"/>
              <w:jc w:val="both"/>
              <w:rPr>
                <w:rFonts w:cs="Arial"/>
                <w:sz w:val="20"/>
                <w:szCs w:val="20"/>
              </w:rPr>
            </w:pPr>
          </w:p>
          <w:p w14:paraId="40FE13E1" w14:textId="77777777" w:rsidR="008C20EB" w:rsidRDefault="008C20EB">
            <w:pPr>
              <w:pStyle w:val="TableParagraph"/>
              <w:shd w:val="clear" w:color="auto" w:fill="FFFFFF" w:themeFill="background1"/>
              <w:ind w:left="67" w:right="61"/>
              <w:jc w:val="both"/>
              <w:rPr>
                <w:rFonts w:cs="Arial"/>
                <w:sz w:val="20"/>
                <w:szCs w:val="20"/>
              </w:rPr>
            </w:pPr>
          </w:p>
          <w:p w14:paraId="40FE13E2" w14:textId="77777777" w:rsidR="008C20EB" w:rsidRDefault="008C20EB">
            <w:pPr>
              <w:pStyle w:val="TableParagraph"/>
              <w:shd w:val="clear" w:color="auto" w:fill="FFFFFF" w:themeFill="background1"/>
              <w:ind w:left="67" w:right="61"/>
              <w:jc w:val="both"/>
              <w:rPr>
                <w:rFonts w:cs="Arial"/>
                <w:sz w:val="20"/>
                <w:szCs w:val="20"/>
              </w:rPr>
            </w:pPr>
          </w:p>
          <w:p w14:paraId="40FE13E3" w14:textId="77777777" w:rsidR="008C20EB" w:rsidRDefault="008C20EB">
            <w:pPr>
              <w:pStyle w:val="TableParagraph"/>
              <w:shd w:val="clear" w:color="auto" w:fill="FFFFFF" w:themeFill="background1"/>
              <w:ind w:left="67" w:right="61"/>
              <w:jc w:val="both"/>
              <w:rPr>
                <w:rFonts w:cs="Arial"/>
                <w:sz w:val="20"/>
                <w:szCs w:val="20"/>
              </w:rPr>
            </w:pPr>
          </w:p>
          <w:p w14:paraId="40FE13E4" w14:textId="77777777" w:rsidR="008C20EB" w:rsidRDefault="008C20EB">
            <w:pPr>
              <w:pStyle w:val="TableParagraph"/>
              <w:shd w:val="clear" w:color="auto" w:fill="FFFFFF" w:themeFill="background1"/>
              <w:ind w:left="67" w:right="61"/>
              <w:jc w:val="both"/>
              <w:rPr>
                <w:rFonts w:cs="Arial"/>
                <w:sz w:val="20"/>
                <w:szCs w:val="20"/>
              </w:rPr>
            </w:pPr>
          </w:p>
          <w:p w14:paraId="40FE13E5" w14:textId="77777777" w:rsidR="008C20EB" w:rsidRDefault="008C20EB">
            <w:pPr>
              <w:pStyle w:val="TableParagraph"/>
              <w:shd w:val="clear" w:color="auto" w:fill="FFFFFF" w:themeFill="background1"/>
              <w:ind w:left="67" w:right="61"/>
              <w:jc w:val="both"/>
              <w:rPr>
                <w:rFonts w:cs="Arial"/>
                <w:sz w:val="20"/>
                <w:szCs w:val="20"/>
              </w:rPr>
            </w:pPr>
          </w:p>
          <w:p w14:paraId="40FE13E6" w14:textId="77777777" w:rsidR="008C20EB" w:rsidRDefault="008C20EB">
            <w:pPr>
              <w:pStyle w:val="TableParagraph"/>
              <w:shd w:val="clear" w:color="auto" w:fill="FFFFFF" w:themeFill="background1"/>
              <w:ind w:left="67" w:right="61"/>
              <w:jc w:val="both"/>
              <w:rPr>
                <w:rFonts w:cs="Arial"/>
                <w:sz w:val="20"/>
                <w:szCs w:val="20"/>
              </w:rPr>
            </w:pPr>
          </w:p>
          <w:p w14:paraId="40FE13E7" w14:textId="77777777" w:rsidR="008C20EB" w:rsidRDefault="008C20EB">
            <w:pPr>
              <w:pStyle w:val="TableParagraph"/>
              <w:shd w:val="clear" w:color="auto" w:fill="FFFFFF" w:themeFill="background1"/>
              <w:ind w:left="67" w:right="61"/>
              <w:jc w:val="both"/>
              <w:rPr>
                <w:rFonts w:cs="Arial"/>
                <w:sz w:val="20"/>
                <w:szCs w:val="20"/>
              </w:rPr>
            </w:pPr>
          </w:p>
          <w:p w14:paraId="40FE13E8" w14:textId="77777777" w:rsidR="008C20EB" w:rsidRDefault="008C20EB">
            <w:pPr>
              <w:pStyle w:val="TableParagraph"/>
              <w:shd w:val="clear" w:color="auto" w:fill="FFFFFF" w:themeFill="background1"/>
              <w:ind w:left="67" w:right="61"/>
              <w:jc w:val="both"/>
              <w:rPr>
                <w:rFonts w:cs="Arial"/>
                <w:sz w:val="20"/>
                <w:szCs w:val="20"/>
              </w:rPr>
            </w:pPr>
          </w:p>
          <w:p w14:paraId="40FE13E9" w14:textId="77777777" w:rsidR="008C20EB" w:rsidRDefault="008C20EB">
            <w:pPr>
              <w:pStyle w:val="TableParagraph"/>
              <w:shd w:val="clear" w:color="auto" w:fill="FFFFFF" w:themeFill="background1"/>
              <w:ind w:left="67" w:right="61"/>
              <w:jc w:val="both"/>
              <w:rPr>
                <w:rFonts w:cs="Arial"/>
                <w:sz w:val="20"/>
                <w:szCs w:val="20"/>
              </w:rPr>
            </w:pPr>
          </w:p>
          <w:p w14:paraId="40FE13EA" w14:textId="77777777" w:rsidR="008C20EB" w:rsidRDefault="008C20EB">
            <w:pPr>
              <w:pStyle w:val="TableParagraph"/>
              <w:shd w:val="clear" w:color="auto" w:fill="FFFFFF" w:themeFill="background1"/>
              <w:ind w:left="67" w:right="61"/>
              <w:jc w:val="both"/>
              <w:rPr>
                <w:rFonts w:cs="Arial"/>
                <w:sz w:val="20"/>
                <w:szCs w:val="20"/>
              </w:rPr>
            </w:pPr>
          </w:p>
          <w:p w14:paraId="40FE13EB" w14:textId="77777777" w:rsidR="008C20EB" w:rsidRDefault="008C20EB">
            <w:pPr>
              <w:pStyle w:val="TableParagraph"/>
              <w:shd w:val="clear" w:color="auto" w:fill="FFFFFF" w:themeFill="background1"/>
              <w:ind w:left="67" w:right="61"/>
              <w:jc w:val="both"/>
              <w:rPr>
                <w:rFonts w:cs="Arial"/>
                <w:sz w:val="20"/>
                <w:szCs w:val="20"/>
              </w:rPr>
            </w:pPr>
          </w:p>
          <w:p w14:paraId="40FE13EC" w14:textId="77777777" w:rsidR="008C20EB" w:rsidRDefault="008C20EB">
            <w:pPr>
              <w:pStyle w:val="TableParagraph"/>
              <w:shd w:val="clear" w:color="auto" w:fill="FFFFFF" w:themeFill="background1"/>
              <w:ind w:left="67" w:right="61"/>
              <w:jc w:val="both"/>
              <w:rPr>
                <w:rFonts w:cs="Arial"/>
                <w:sz w:val="20"/>
                <w:szCs w:val="20"/>
              </w:rPr>
            </w:pPr>
          </w:p>
          <w:p w14:paraId="40FE13ED" w14:textId="77777777" w:rsidR="008C20EB" w:rsidRDefault="008C20EB">
            <w:pPr>
              <w:pStyle w:val="TableParagraph"/>
              <w:shd w:val="clear" w:color="auto" w:fill="FFFFFF" w:themeFill="background1"/>
              <w:ind w:left="67" w:right="61"/>
              <w:jc w:val="both"/>
              <w:rPr>
                <w:rFonts w:cs="Arial"/>
                <w:sz w:val="20"/>
                <w:szCs w:val="20"/>
              </w:rPr>
            </w:pPr>
          </w:p>
          <w:p w14:paraId="40FE13EE" w14:textId="77777777" w:rsidR="008C20EB" w:rsidRDefault="008C20EB">
            <w:pPr>
              <w:pStyle w:val="TableParagraph"/>
              <w:shd w:val="clear" w:color="auto" w:fill="FFFFFF" w:themeFill="background1"/>
              <w:ind w:left="67" w:right="61"/>
              <w:jc w:val="both"/>
              <w:rPr>
                <w:rFonts w:cs="Arial"/>
                <w:sz w:val="20"/>
                <w:szCs w:val="20"/>
              </w:rPr>
            </w:pPr>
          </w:p>
          <w:p w14:paraId="40FE13EF" w14:textId="77777777" w:rsidR="008C20EB" w:rsidRDefault="008C20EB">
            <w:pPr>
              <w:pStyle w:val="TableParagraph"/>
              <w:shd w:val="clear" w:color="auto" w:fill="FFFFFF" w:themeFill="background1"/>
              <w:ind w:left="67" w:right="61"/>
              <w:jc w:val="both"/>
              <w:rPr>
                <w:rFonts w:cs="Arial"/>
                <w:sz w:val="20"/>
                <w:szCs w:val="20"/>
              </w:rPr>
            </w:pPr>
          </w:p>
          <w:p w14:paraId="40FE13F0" w14:textId="77777777" w:rsidR="008C20EB" w:rsidRDefault="008C20EB">
            <w:pPr>
              <w:pStyle w:val="TableParagraph"/>
              <w:shd w:val="clear" w:color="auto" w:fill="FFFFFF" w:themeFill="background1"/>
              <w:ind w:left="67" w:right="61"/>
              <w:jc w:val="both"/>
              <w:rPr>
                <w:rFonts w:cs="Arial"/>
                <w:sz w:val="20"/>
                <w:szCs w:val="20"/>
              </w:rPr>
            </w:pPr>
          </w:p>
          <w:p w14:paraId="40FE13F1" w14:textId="77777777" w:rsidR="008C20EB" w:rsidRDefault="008C20EB">
            <w:pPr>
              <w:pStyle w:val="TableParagraph"/>
              <w:shd w:val="clear" w:color="auto" w:fill="FFFFFF" w:themeFill="background1"/>
              <w:ind w:left="67" w:right="61"/>
              <w:jc w:val="both"/>
              <w:rPr>
                <w:rFonts w:cs="Arial"/>
                <w:sz w:val="20"/>
                <w:szCs w:val="20"/>
              </w:rPr>
            </w:pPr>
          </w:p>
          <w:p w14:paraId="40FE13F2" w14:textId="77777777" w:rsidR="008C20EB" w:rsidRDefault="008C20EB">
            <w:pPr>
              <w:pStyle w:val="TableParagraph"/>
              <w:shd w:val="clear" w:color="auto" w:fill="FFFFFF" w:themeFill="background1"/>
              <w:ind w:left="67" w:right="61"/>
              <w:jc w:val="both"/>
              <w:rPr>
                <w:rFonts w:cs="Arial"/>
                <w:sz w:val="20"/>
                <w:szCs w:val="20"/>
              </w:rPr>
            </w:pPr>
          </w:p>
        </w:tc>
        <w:tc>
          <w:tcPr>
            <w:tcW w:w="8162" w:type="dxa"/>
            <w:tcBorders>
              <w:bottom w:val="single" w:sz="4" w:space="0" w:color="auto"/>
            </w:tcBorders>
            <w:vAlign w:val="bottom"/>
          </w:tcPr>
          <w:p w14:paraId="40FE13F3" w14:textId="77777777" w:rsidR="008C20EB" w:rsidRDefault="008D25BE">
            <w:pPr>
              <w:pStyle w:val="TableParagraph"/>
              <w:spacing w:after="240"/>
              <w:ind w:right="61"/>
              <w:jc w:val="both"/>
              <w:rPr>
                <w:snapToGrid w:val="0"/>
                <w:sz w:val="20"/>
                <w:szCs w:val="20"/>
              </w:rPr>
            </w:pPr>
            <w:r>
              <w:rPr>
                <w:color w:val="000000"/>
                <w:sz w:val="20"/>
                <w:szCs w:val="20"/>
                <w:lang w:val="es-PE"/>
              </w:rPr>
              <w:lastRenderedPageBreak/>
              <w:t>En los Capítulos III y IV:</w:t>
            </w:r>
          </w:p>
          <w:p w14:paraId="40FE13F4"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8108 “CRÉDITOS QUE PARTICIPAN EN EL PROGRAMA REACTIVA PERÚ”.</w:t>
            </w:r>
          </w:p>
          <w:p w14:paraId="40FE13F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incorporan en la cuenta 8108, subcuentas, cuentas analíticas y subcuentas analíticas para créditos refinanciados y en cobranza judicial </w:t>
            </w:r>
          </w:p>
          <w:p w14:paraId="40FE13F6" w14:textId="77777777" w:rsidR="008C20EB" w:rsidRDefault="008D25BE">
            <w:pPr>
              <w:pStyle w:val="Prrafodelista"/>
              <w:numPr>
                <w:ilvl w:val="0"/>
                <w:numId w:val="20"/>
              </w:numPr>
              <w:rPr>
                <w:color w:val="000000"/>
                <w:sz w:val="20"/>
                <w:szCs w:val="20"/>
                <w:lang w:val="es-PE"/>
              </w:rPr>
            </w:pPr>
            <w:r>
              <w:rPr>
                <w:color w:val="000000"/>
                <w:sz w:val="20"/>
                <w:szCs w:val="20"/>
                <w:lang w:val="es-PE"/>
              </w:rPr>
              <w:t>Se modifica la denominación de la cuenta analítica 8404.05.18 “Garantía otorgada por el Gobierno Nacional – Créditos Reprogramados Programa Reactiva Perú” por “Garantía otorgada por el Gobierno Nacional – Créditos Reprogramados Programa Reactiva Perú - DU N° 026-2021”.</w:t>
            </w:r>
          </w:p>
          <w:p w14:paraId="40FE13F7" w14:textId="77777777" w:rsidR="008C20EB" w:rsidRDefault="008D25BE">
            <w:pPr>
              <w:pStyle w:val="Prrafodelista"/>
              <w:numPr>
                <w:ilvl w:val="0"/>
                <w:numId w:val="20"/>
              </w:numPr>
              <w:rPr>
                <w:color w:val="000000"/>
                <w:sz w:val="20"/>
                <w:szCs w:val="20"/>
                <w:lang w:val="es-PE"/>
              </w:rPr>
            </w:pPr>
            <w:r>
              <w:rPr>
                <w:color w:val="000000"/>
                <w:sz w:val="20"/>
                <w:szCs w:val="20"/>
                <w:lang w:val="es-PE"/>
              </w:rPr>
              <w:t xml:space="preserve">Se modifica la descripción de la cuenta analítica 8404.05.21 “Garantía otorgada por el Gobierno Nacional –Créditos Reprogramados Programa Reactiva Perú – DU N° 011-2022”. </w:t>
            </w:r>
          </w:p>
          <w:p w14:paraId="40FE13F8" w14:textId="77777777" w:rsidR="008C20EB" w:rsidRDefault="008C20EB">
            <w:pPr>
              <w:rPr>
                <w:color w:val="000000"/>
                <w:sz w:val="20"/>
                <w:szCs w:val="20"/>
                <w:lang w:val="es-PE"/>
              </w:rPr>
            </w:pPr>
          </w:p>
          <w:p w14:paraId="40FE13F9"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3FA" w14:textId="77777777" w:rsidR="008C20EB" w:rsidRDefault="008D25BE">
            <w:pPr>
              <w:pStyle w:val="Prrafodelista"/>
              <w:numPr>
                <w:ilvl w:val="0"/>
                <w:numId w:val="20"/>
              </w:numPr>
              <w:rPr>
                <w:color w:val="000000"/>
                <w:sz w:val="20"/>
                <w:szCs w:val="20"/>
                <w:lang w:val="es-PE"/>
              </w:rPr>
            </w:pPr>
            <w:r>
              <w:rPr>
                <w:color w:val="000000"/>
                <w:sz w:val="20"/>
                <w:szCs w:val="20"/>
                <w:lang w:val="es-PE"/>
              </w:rPr>
              <w:t>Se modifica las notas metodológicas del Anexo N° 5 “Informe de Clasificación de Deudores y Provisiones”.</w:t>
            </w:r>
          </w:p>
          <w:p w14:paraId="40FE13FB" w14:textId="77777777" w:rsidR="008C20EB" w:rsidRDefault="008D25BE">
            <w:pPr>
              <w:pStyle w:val="Prrafodelista"/>
              <w:numPr>
                <w:ilvl w:val="0"/>
                <w:numId w:val="20"/>
              </w:numPr>
              <w:rPr>
                <w:color w:val="000000"/>
                <w:sz w:val="20"/>
                <w:szCs w:val="20"/>
                <w:lang w:val="es-PE"/>
              </w:rPr>
            </w:pPr>
            <w:r>
              <w:rPr>
                <w:color w:val="000000"/>
                <w:sz w:val="20"/>
                <w:szCs w:val="20"/>
                <w:lang w:val="es-PE"/>
              </w:rPr>
              <w:t xml:space="preserve">Se modifica el Catálogo de Cuentas del RCD </w:t>
            </w:r>
          </w:p>
          <w:p w14:paraId="40FE13FC" w14:textId="77777777" w:rsidR="008C20EB" w:rsidRDefault="008C20EB">
            <w:pPr>
              <w:rPr>
                <w:color w:val="000000"/>
                <w:sz w:val="20"/>
                <w:szCs w:val="20"/>
                <w:lang w:val="es-PE"/>
              </w:rPr>
            </w:pPr>
          </w:p>
          <w:p w14:paraId="40FE13FD" w14:textId="77777777" w:rsidR="008C20EB" w:rsidRDefault="008C20EB">
            <w:pPr>
              <w:rPr>
                <w:color w:val="000000"/>
                <w:sz w:val="20"/>
                <w:szCs w:val="20"/>
                <w:lang w:val="es-PE"/>
              </w:rPr>
            </w:pPr>
          </w:p>
          <w:p w14:paraId="40FE13FE" w14:textId="77777777" w:rsidR="008C20EB" w:rsidRDefault="008C20EB">
            <w:pPr>
              <w:rPr>
                <w:color w:val="000000"/>
                <w:sz w:val="20"/>
                <w:szCs w:val="20"/>
                <w:lang w:val="es-PE"/>
              </w:rPr>
            </w:pPr>
          </w:p>
          <w:p w14:paraId="40FE13FF" w14:textId="77777777" w:rsidR="008C20EB" w:rsidRDefault="008C20EB">
            <w:pPr>
              <w:rPr>
                <w:color w:val="000000"/>
                <w:sz w:val="20"/>
                <w:szCs w:val="20"/>
                <w:lang w:val="es-PE"/>
              </w:rPr>
            </w:pPr>
          </w:p>
          <w:p w14:paraId="40FE1400" w14:textId="77777777" w:rsidR="008C20EB" w:rsidRDefault="008C20EB">
            <w:pPr>
              <w:rPr>
                <w:color w:val="000000"/>
                <w:sz w:val="20"/>
                <w:szCs w:val="20"/>
                <w:lang w:val="es-PE"/>
              </w:rPr>
            </w:pPr>
          </w:p>
          <w:p w14:paraId="40FE1401" w14:textId="77777777" w:rsidR="008C20EB" w:rsidRDefault="008C20EB">
            <w:pPr>
              <w:rPr>
                <w:color w:val="000000"/>
                <w:sz w:val="20"/>
                <w:szCs w:val="20"/>
                <w:lang w:val="es-PE"/>
              </w:rPr>
            </w:pPr>
          </w:p>
          <w:p w14:paraId="40FE1402" w14:textId="77777777" w:rsidR="008C20EB" w:rsidRDefault="008C20EB">
            <w:pPr>
              <w:rPr>
                <w:color w:val="000000"/>
                <w:sz w:val="20"/>
                <w:szCs w:val="20"/>
                <w:lang w:val="es-PE"/>
              </w:rPr>
            </w:pPr>
          </w:p>
          <w:p w14:paraId="40FE1403" w14:textId="77777777" w:rsidR="008C20EB" w:rsidRDefault="008C20EB">
            <w:pPr>
              <w:rPr>
                <w:color w:val="000000"/>
                <w:sz w:val="20"/>
                <w:szCs w:val="20"/>
                <w:lang w:val="es-PE"/>
              </w:rPr>
            </w:pPr>
          </w:p>
          <w:p w14:paraId="40FE1404" w14:textId="77777777" w:rsidR="008C20EB" w:rsidRDefault="008C20EB">
            <w:pPr>
              <w:rPr>
                <w:color w:val="000000"/>
                <w:sz w:val="20"/>
                <w:szCs w:val="20"/>
                <w:lang w:val="es-PE"/>
              </w:rPr>
            </w:pPr>
          </w:p>
          <w:p w14:paraId="40FE1405" w14:textId="77777777" w:rsidR="008C20EB" w:rsidRDefault="008C20EB">
            <w:pPr>
              <w:rPr>
                <w:color w:val="000000"/>
                <w:sz w:val="20"/>
                <w:szCs w:val="20"/>
                <w:lang w:val="es-PE"/>
              </w:rPr>
            </w:pPr>
          </w:p>
          <w:p w14:paraId="40FE1406" w14:textId="77777777" w:rsidR="008C20EB" w:rsidRDefault="008C20EB">
            <w:pPr>
              <w:rPr>
                <w:color w:val="000000"/>
                <w:sz w:val="20"/>
                <w:szCs w:val="20"/>
                <w:lang w:val="es-PE"/>
              </w:rPr>
            </w:pPr>
          </w:p>
          <w:p w14:paraId="40FE1407" w14:textId="77777777" w:rsidR="008C20EB" w:rsidRDefault="008C20EB">
            <w:pPr>
              <w:rPr>
                <w:color w:val="000000"/>
                <w:sz w:val="20"/>
                <w:szCs w:val="20"/>
                <w:lang w:val="es-PE"/>
              </w:rPr>
            </w:pPr>
          </w:p>
          <w:p w14:paraId="40FE1408" w14:textId="77777777" w:rsidR="008C20EB" w:rsidRDefault="008C20EB">
            <w:pPr>
              <w:rPr>
                <w:color w:val="000000"/>
                <w:sz w:val="20"/>
                <w:szCs w:val="20"/>
                <w:lang w:val="es-PE"/>
              </w:rPr>
            </w:pPr>
          </w:p>
          <w:p w14:paraId="40FE1409" w14:textId="77777777" w:rsidR="008C20EB" w:rsidRDefault="008C20EB">
            <w:pPr>
              <w:rPr>
                <w:color w:val="000000"/>
                <w:sz w:val="20"/>
                <w:szCs w:val="20"/>
                <w:lang w:val="es-PE"/>
              </w:rPr>
            </w:pPr>
          </w:p>
          <w:p w14:paraId="40FE140A" w14:textId="77777777" w:rsidR="008C20EB" w:rsidRDefault="008C20EB">
            <w:pPr>
              <w:rPr>
                <w:color w:val="000000"/>
                <w:sz w:val="20"/>
                <w:szCs w:val="20"/>
                <w:lang w:val="es-PE"/>
              </w:rPr>
            </w:pPr>
          </w:p>
          <w:p w14:paraId="40FE140B" w14:textId="77777777" w:rsidR="008C20EB" w:rsidRDefault="008C20EB">
            <w:pPr>
              <w:rPr>
                <w:color w:val="000000"/>
                <w:sz w:val="20"/>
                <w:szCs w:val="20"/>
                <w:lang w:val="es-PE"/>
              </w:rPr>
            </w:pPr>
          </w:p>
          <w:p w14:paraId="40FE140C" w14:textId="77777777" w:rsidR="008C20EB" w:rsidRDefault="008C20EB">
            <w:pPr>
              <w:rPr>
                <w:color w:val="000000"/>
                <w:sz w:val="20"/>
                <w:szCs w:val="20"/>
                <w:lang w:val="es-PE"/>
              </w:rPr>
            </w:pPr>
          </w:p>
          <w:p w14:paraId="40FE140D" w14:textId="77777777" w:rsidR="008C20EB" w:rsidRDefault="008C20EB">
            <w:pPr>
              <w:rPr>
                <w:color w:val="000000"/>
                <w:sz w:val="20"/>
                <w:szCs w:val="20"/>
                <w:lang w:val="es-PE"/>
              </w:rPr>
            </w:pPr>
          </w:p>
          <w:p w14:paraId="40FE140E" w14:textId="77777777" w:rsidR="008C20EB" w:rsidRDefault="008C20EB">
            <w:pPr>
              <w:rPr>
                <w:color w:val="000000"/>
                <w:sz w:val="20"/>
                <w:szCs w:val="20"/>
                <w:lang w:val="es-PE"/>
              </w:rPr>
            </w:pPr>
          </w:p>
          <w:p w14:paraId="40FE140F" w14:textId="77777777" w:rsidR="008C20EB" w:rsidRDefault="008C20EB">
            <w:pPr>
              <w:rPr>
                <w:color w:val="000000"/>
                <w:sz w:val="20"/>
                <w:szCs w:val="20"/>
                <w:lang w:val="es-PE"/>
              </w:rPr>
            </w:pPr>
          </w:p>
          <w:p w14:paraId="40FE1410" w14:textId="77777777" w:rsidR="008C20EB" w:rsidRDefault="008C20EB">
            <w:pPr>
              <w:rPr>
                <w:color w:val="000000"/>
                <w:sz w:val="20"/>
                <w:szCs w:val="20"/>
                <w:lang w:val="es-PE"/>
              </w:rPr>
            </w:pPr>
          </w:p>
        </w:tc>
      </w:tr>
      <w:tr w:rsidR="008C20EB" w14:paraId="40FE14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12"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01214 -2023</w:t>
            </w:r>
          </w:p>
        </w:tc>
        <w:tc>
          <w:tcPr>
            <w:tcW w:w="1560" w:type="dxa"/>
            <w:tcBorders>
              <w:top w:val="single" w:sz="4" w:space="0" w:color="auto"/>
              <w:left w:val="single" w:sz="4" w:space="0" w:color="auto"/>
              <w:bottom w:val="single" w:sz="4" w:space="0" w:color="auto"/>
              <w:right w:val="single" w:sz="4" w:space="0" w:color="auto"/>
            </w:tcBorders>
          </w:tcPr>
          <w:p w14:paraId="40FE1413"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04.04.2023</w:t>
            </w:r>
            <w:r>
              <w:rPr>
                <w:b/>
                <w:sz w:val="20"/>
                <w:szCs w:val="20"/>
              </w:rPr>
              <w:tab/>
              <w:t>/</w:t>
            </w:r>
          </w:p>
          <w:p w14:paraId="40FE1414"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05.04.2023</w:t>
            </w:r>
          </w:p>
        </w:tc>
        <w:tc>
          <w:tcPr>
            <w:tcW w:w="3935" w:type="dxa"/>
            <w:tcBorders>
              <w:top w:val="single" w:sz="4" w:space="0" w:color="auto"/>
              <w:left w:val="single" w:sz="4" w:space="0" w:color="auto"/>
              <w:bottom w:val="single" w:sz="4" w:space="0" w:color="auto"/>
              <w:right w:val="single" w:sz="4" w:space="0" w:color="auto"/>
            </w:tcBorders>
          </w:tcPr>
          <w:p w14:paraId="40FE1415"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realizan modificaciones al Capítulo II “Estados Financieros e Información Complementaria”, Capítulo III “Catálogo de Cuentas”, Capítulo IV “Descripción y Dinámica” y al Capítulo V “Información Complementaria” del Manual de Contabilidad para las Empresas del Sistema Financiero.</w:t>
            </w:r>
          </w:p>
        </w:tc>
        <w:tc>
          <w:tcPr>
            <w:tcW w:w="8162" w:type="dxa"/>
            <w:tcBorders>
              <w:top w:val="single" w:sz="4" w:space="0" w:color="auto"/>
              <w:left w:val="single" w:sz="4" w:space="0" w:color="auto"/>
              <w:bottom w:val="single" w:sz="4" w:space="0" w:color="auto"/>
              <w:right w:val="single" w:sz="4" w:space="0" w:color="auto"/>
            </w:tcBorders>
          </w:tcPr>
          <w:p w14:paraId="40FE1416" w14:textId="77777777" w:rsidR="008C20EB" w:rsidRDefault="008D25BE">
            <w:pPr>
              <w:pStyle w:val="TableParagraph"/>
              <w:spacing w:after="240"/>
              <w:ind w:left="67" w:right="61"/>
              <w:jc w:val="both"/>
              <w:rPr>
                <w:snapToGrid w:val="0"/>
                <w:sz w:val="20"/>
                <w:szCs w:val="20"/>
              </w:rPr>
            </w:pPr>
            <w:r>
              <w:rPr>
                <w:color w:val="000000"/>
                <w:sz w:val="20"/>
                <w:szCs w:val="20"/>
                <w:lang w:val="es-PE"/>
              </w:rPr>
              <w:t>En el Capítulo II:</w:t>
            </w:r>
          </w:p>
          <w:p w14:paraId="40FE141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w:t>
            </w:r>
            <w:r>
              <w:rPr>
                <w:rFonts w:cs="Arial"/>
                <w:snapToGrid w:val="0"/>
                <w:sz w:val="20"/>
                <w:szCs w:val="20"/>
              </w:rPr>
              <w:t>la sección “Información a ser publicada” del numeral IV. PUBLICACIÓN   DE   INFORMACIÓN FINANCIERA.</w:t>
            </w:r>
          </w:p>
          <w:p w14:paraId="40FE141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w:t>
            </w:r>
            <w:r>
              <w:rPr>
                <w:rFonts w:cs="Arial"/>
                <w:snapToGrid w:val="0"/>
                <w:sz w:val="20"/>
                <w:szCs w:val="20"/>
              </w:rPr>
              <w:t>la sección “Plazo de publicación” del numeral IV. PUBLICACIÓN   DE   INFORMACIÓN FINANCIERA.</w:t>
            </w:r>
          </w:p>
          <w:p w14:paraId="40FE1419" w14:textId="77777777" w:rsidR="008C20EB" w:rsidRDefault="008D25BE">
            <w:pPr>
              <w:pStyle w:val="TableParagraph"/>
              <w:numPr>
                <w:ilvl w:val="0"/>
                <w:numId w:val="20"/>
              </w:numPr>
              <w:ind w:right="61"/>
              <w:jc w:val="both"/>
              <w:rPr>
                <w:color w:val="000000"/>
                <w:sz w:val="20"/>
                <w:szCs w:val="20"/>
                <w:lang w:val="es-PE"/>
              </w:rPr>
            </w:pPr>
            <w:r>
              <w:rPr>
                <w:rFonts w:cs="Arial"/>
                <w:snapToGrid w:val="0"/>
                <w:sz w:val="20"/>
                <w:szCs w:val="20"/>
              </w:rPr>
              <w:t>Se sustituye las Normas de Agrupación del Estado de Situación Financiera - Forma A, la sección “Cartera de Créditos”.</w:t>
            </w:r>
          </w:p>
          <w:p w14:paraId="40FE141A" w14:textId="77777777" w:rsidR="008C20EB" w:rsidRDefault="008C20EB">
            <w:pPr>
              <w:pStyle w:val="TableParagraph"/>
              <w:ind w:right="61"/>
              <w:jc w:val="both"/>
              <w:rPr>
                <w:snapToGrid w:val="0"/>
                <w:sz w:val="20"/>
                <w:szCs w:val="20"/>
              </w:rPr>
            </w:pPr>
          </w:p>
          <w:p w14:paraId="40FE141B" w14:textId="77777777" w:rsidR="008C20EB" w:rsidRDefault="008D25BE">
            <w:pPr>
              <w:pStyle w:val="TableParagraph"/>
              <w:spacing w:after="240"/>
              <w:ind w:left="67" w:right="61"/>
              <w:jc w:val="both"/>
              <w:rPr>
                <w:snapToGrid w:val="0"/>
                <w:sz w:val="20"/>
                <w:szCs w:val="20"/>
              </w:rPr>
            </w:pPr>
            <w:r>
              <w:rPr>
                <w:color w:val="000000"/>
                <w:sz w:val="20"/>
                <w:szCs w:val="20"/>
                <w:lang w:val="es-PE"/>
              </w:rPr>
              <w:t>En los Capítulos III y IV:</w:t>
            </w:r>
          </w:p>
          <w:p w14:paraId="40FE141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la subcuenta 8109.52 “Créditos bajo esquema de financiamiento del Programa IMPULSO MYPERU”, </w:t>
            </w:r>
            <w:r>
              <w:rPr>
                <w:snapToGrid w:val="0"/>
                <w:sz w:val="20"/>
                <w:szCs w:val="20"/>
              </w:rPr>
              <w:t>así como sus cuentas analíticas y subcuentas analíticas.</w:t>
            </w:r>
          </w:p>
          <w:p w14:paraId="40FE141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la subcuenta </w:t>
            </w:r>
            <w:r>
              <w:rPr>
                <w:snapToGrid w:val="0"/>
                <w:sz w:val="20"/>
                <w:szCs w:val="20"/>
              </w:rPr>
              <w:t>8109.54 “Créditos Reprogramados por Estado de Emergencia”, así como sus cuentas analíticas y subcuentas analíticas.</w:t>
            </w:r>
          </w:p>
          <w:p w14:paraId="40FE141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w:t>
            </w:r>
            <w:r>
              <w:rPr>
                <w:snapToGrid w:val="0"/>
                <w:sz w:val="20"/>
                <w:szCs w:val="20"/>
              </w:rPr>
              <w:t>la cuenta analítica 8404.05.23 “Garantía del Programa IMPULSO MYPERU”.</w:t>
            </w:r>
          </w:p>
          <w:p w14:paraId="40FE141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w:t>
            </w:r>
            <w:r>
              <w:rPr>
                <w:snapToGrid w:val="0"/>
                <w:sz w:val="20"/>
                <w:szCs w:val="20"/>
              </w:rPr>
              <w:t xml:space="preserve">la </w:t>
            </w:r>
            <w:r>
              <w:rPr>
                <w:rFonts w:cs="Arial"/>
                <w:sz w:val="20"/>
                <w:szCs w:val="20"/>
              </w:rPr>
              <w:t>cuenta analítica 2901.01.09 “Créditos Reprogramados por Estado de Emergencia”, como sus subcuentas analíticas.</w:t>
            </w:r>
          </w:p>
          <w:p w14:paraId="40FE1420" w14:textId="77777777" w:rsidR="008C20EB" w:rsidRDefault="008C20EB">
            <w:pPr>
              <w:pStyle w:val="TableParagraph"/>
              <w:ind w:left="427" w:right="61"/>
              <w:jc w:val="both"/>
              <w:rPr>
                <w:color w:val="000000"/>
                <w:sz w:val="20"/>
                <w:szCs w:val="20"/>
                <w:lang w:val="es-PE"/>
              </w:rPr>
            </w:pPr>
          </w:p>
          <w:p w14:paraId="40FE1421"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22" w14:textId="77777777" w:rsidR="008C20EB" w:rsidRDefault="008D25BE">
            <w:pPr>
              <w:pStyle w:val="TableParagraph"/>
              <w:numPr>
                <w:ilvl w:val="0"/>
                <w:numId w:val="20"/>
              </w:numPr>
              <w:ind w:right="61"/>
              <w:jc w:val="both"/>
              <w:rPr>
                <w:color w:val="000000"/>
                <w:sz w:val="20"/>
                <w:szCs w:val="20"/>
                <w:lang w:val="es-PE"/>
              </w:rPr>
            </w:pPr>
            <w:r>
              <w:rPr>
                <w:sz w:val="20"/>
                <w:szCs w:val="20"/>
                <w:lang w:val="es-PE"/>
              </w:rPr>
              <w:t xml:space="preserve">Se modifica las notas metodológicas del Anexo N° 5 “Informe de Clasificación de Deudores y </w:t>
            </w:r>
            <w:r>
              <w:rPr>
                <w:color w:val="000000"/>
                <w:sz w:val="20"/>
                <w:szCs w:val="20"/>
                <w:lang w:val="es-PE"/>
              </w:rPr>
              <w:t>Provisiones”.</w:t>
            </w:r>
          </w:p>
          <w:p w14:paraId="40FE1423" w14:textId="77777777" w:rsidR="008C20EB" w:rsidRDefault="008D25BE">
            <w:pPr>
              <w:pStyle w:val="Prrafodelista"/>
              <w:numPr>
                <w:ilvl w:val="0"/>
                <w:numId w:val="20"/>
              </w:numPr>
              <w:rPr>
                <w:color w:val="000000"/>
                <w:sz w:val="20"/>
                <w:szCs w:val="20"/>
                <w:lang w:val="es-PE"/>
              </w:rPr>
            </w:pPr>
            <w:r>
              <w:rPr>
                <w:color w:val="000000"/>
                <w:sz w:val="20"/>
                <w:szCs w:val="20"/>
                <w:lang w:val="es-PE"/>
              </w:rPr>
              <w:t>Se modifica el Catálogo de Cuentas del RCD.</w:t>
            </w:r>
          </w:p>
        </w:tc>
      </w:tr>
      <w:tr w:rsidR="008C20EB" w14:paraId="40FE14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25"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468-2023</w:t>
            </w:r>
          </w:p>
        </w:tc>
        <w:tc>
          <w:tcPr>
            <w:tcW w:w="1560" w:type="dxa"/>
            <w:tcBorders>
              <w:top w:val="single" w:sz="4" w:space="0" w:color="auto"/>
              <w:left w:val="single" w:sz="4" w:space="0" w:color="auto"/>
              <w:bottom w:val="single" w:sz="4" w:space="0" w:color="auto"/>
              <w:right w:val="single" w:sz="4" w:space="0" w:color="auto"/>
            </w:tcBorders>
          </w:tcPr>
          <w:p w14:paraId="40FE1426"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10.02.2023</w:t>
            </w:r>
            <w:r>
              <w:rPr>
                <w:b/>
                <w:sz w:val="20"/>
                <w:szCs w:val="20"/>
              </w:rPr>
              <w:tab/>
              <w:t>/</w:t>
            </w:r>
          </w:p>
          <w:p w14:paraId="40FE1427"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14.02.2023</w:t>
            </w:r>
          </w:p>
        </w:tc>
        <w:tc>
          <w:tcPr>
            <w:tcW w:w="3935" w:type="dxa"/>
            <w:tcBorders>
              <w:top w:val="single" w:sz="4" w:space="0" w:color="auto"/>
              <w:left w:val="single" w:sz="4" w:space="0" w:color="auto"/>
              <w:bottom w:val="single" w:sz="4" w:space="0" w:color="auto"/>
              <w:right w:val="single" w:sz="4" w:space="0" w:color="auto"/>
            </w:tcBorders>
          </w:tcPr>
          <w:p w14:paraId="40FE1428"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29"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2A" w14:textId="77777777" w:rsidR="008C20EB" w:rsidRDefault="008D25BE">
            <w:pPr>
              <w:pStyle w:val="TableParagraph"/>
              <w:numPr>
                <w:ilvl w:val="0"/>
                <w:numId w:val="20"/>
              </w:numPr>
              <w:ind w:right="61"/>
              <w:jc w:val="both"/>
              <w:rPr>
                <w:sz w:val="20"/>
                <w:szCs w:val="20"/>
                <w:lang w:val="es-PE"/>
              </w:rPr>
            </w:pPr>
            <w:r>
              <w:rPr>
                <w:sz w:val="20"/>
                <w:szCs w:val="20"/>
                <w:lang w:val="es-PE"/>
              </w:rPr>
              <w:t>Se modifica el Reporte N° 13 “Control de Límites Globales e Individuales aplicables a las Empresas del Sistema Financiero”.</w:t>
            </w:r>
          </w:p>
          <w:p w14:paraId="40FE142B" w14:textId="77777777" w:rsidR="008C20EB" w:rsidRDefault="008C20EB">
            <w:pPr>
              <w:pStyle w:val="TableParagraph"/>
              <w:shd w:val="clear" w:color="auto" w:fill="FFFFFF" w:themeFill="background1"/>
              <w:spacing w:after="240"/>
              <w:ind w:left="67" w:right="61"/>
              <w:jc w:val="both"/>
              <w:rPr>
                <w:color w:val="000000"/>
                <w:sz w:val="20"/>
                <w:szCs w:val="20"/>
                <w:lang w:val="es-PE"/>
              </w:rPr>
            </w:pPr>
          </w:p>
        </w:tc>
      </w:tr>
      <w:tr w:rsidR="008C20EB" w14:paraId="40FE14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2D"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467-2023</w:t>
            </w:r>
          </w:p>
        </w:tc>
        <w:tc>
          <w:tcPr>
            <w:tcW w:w="1560" w:type="dxa"/>
            <w:tcBorders>
              <w:top w:val="single" w:sz="4" w:space="0" w:color="auto"/>
              <w:left w:val="single" w:sz="4" w:space="0" w:color="auto"/>
              <w:bottom w:val="single" w:sz="4" w:space="0" w:color="auto"/>
              <w:right w:val="single" w:sz="4" w:space="0" w:color="auto"/>
            </w:tcBorders>
          </w:tcPr>
          <w:p w14:paraId="40FE142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10.02.2023</w:t>
            </w:r>
            <w:r>
              <w:rPr>
                <w:b/>
                <w:sz w:val="20"/>
                <w:szCs w:val="20"/>
              </w:rPr>
              <w:tab/>
              <w:t>/</w:t>
            </w:r>
          </w:p>
          <w:p w14:paraId="40FE142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13.02.2023</w:t>
            </w:r>
          </w:p>
        </w:tc>
        <w:tc>
          <w:tcPr>
            <w:tcW w:w="3935" w:type="dxa"/>
            <w:tcBorders>
              <w:top w:val="single" w:sz="4" w:space="0" w:color="auto"/>
              <w:left w:val="single" w:sz="4" w:space="0" w:color="auto"/>
              <w:bottom w:val="single" w:sz="4" w:space="0" w:color="auto"/>
              <w:right w:val="single" w:sz="4" w:space="0" w:color="auto"/>
            </w:tcBorders>
          </w:tcPr>
          <w:p w14:paraId="40FE1430"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realizan modificaciones a los Capítulos II “Estados Financieros e Información Complementaria”, III “Catálogo de Cuentas” y IV “Descripción y Dinámica de Cuentas”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31" w14:textId="77777777" w:rsidR="008C20EB" w:rsidRDefault="008D25BE">
            <w:pPr>
              <w:pStyle w:val="TableParagraph"/>
              <w:spacing w:after="240"/>
              <w:ind w:left="67" w:right="61"/>
              <w:jc w:val="both"/>
              <w:rPr>
                <w:snapToGrid w:val="0"/>
                <w:sz w:val="20"/>
                <w:szCs w:val="20"/>
              </w:rPr>
            </w:pPr>
            <w:r>
              <w:rPr>
                <w:color w:val="000000"/>
                <w:sz w:val="20"/>
                <w:szCs w:val="20"/>
                <w:lang w:val="es-PE"/>
              </w:rPr>
              <w:t>En el Capítulo II:</w:t>
            </w:r>
          </w:p>
          <w:p w14:paraId="40FE143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el numeral 9. “Operaciones con partes vinculadas”, del acápite B “Notas a los Estados Financieros”, de la sección I “Estados Financieros”.</w:t>
            </w:r>
          </w:p>
          <w:p w14:paraId="40FE143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el rubro “Otras provisiones” en las Normas de Agrupación del Estado de Resultados - Forma B-1.</w:t>
            </w:r>
          </w:p>
          <w:p w14:paraId="40FE1434" w14:textId="77777777" w:rsidR="008C20EB" w:rsidRDefault="008C20EB">
            <w:pPr>
              <w:pStyle w:val="TableParagraph"/>
              <w:ind w:right="61"/>
              <w:jc w:val="both"/>
              <w:rPr>
                <w:snapToGrid w:val="0"/>
                <w:sz w:val="20"/>
                <w:szCs w:val="20"/>
              </w:rPr>
            </w:pPr>
          </w:p>
          <w:p w14:paraId="40FE1435" w14:textId="77777777" w:rsidR="008C20EB" w:rsidRDefault="008D25BE">
            <w:pPr>
              <w:pStyle w:val="TableParagraph"/>
              <w:spacing w:after="240"/>
              <w:ind w:left="67" w:right="61"/>
              <w:jc w:val="both"/>
              <w:rPr>
                <w:snapToGrid w:val="0"/>
                <w:sz w:val="20"/>
                <w:szCs w:val="20"/>
              </w:rPr>
            </w:pPr>
            <w:r>
              <w:rPr>
                <w:color w:val="000000"/>
                <w:sz w:val="20"/>
                <w:szCs w:val="20"/>
                <w:lang w:val="es-PE"/>
              </w:rPr>
              <w:t>En los Capítulos III y IV:</w:t>
            </w:r>
          </w:p>
          <w:p w14:paraId="40FE143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1104 “Bancos y Otras Instituciones Financieras del Exterior”.</w:t>
            </w:r>
          </w:p>
          <w:p w14:paraId="40FE143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1104.03 “Supervisados por la oficina matriz, sujeta a supervisión por organismos similares a la SBS”, por “Supervisados por la matriz sujeta a supervisión de organismos similares a la SBS”.</w:t>
            </w:r>
          </w:p>
          <w:p w14:paraId="40FE143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la denominación de la subcuenta 1104.06 “Oficina matriz, sucursales y subsidiarias” por “Matriz, sucursales y subsidiarias”. </w:t>
            </w:r>
          </w:p>
          <w:p w14:paraId="40FE143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1104.06.01 “Matriz”, 1104.06.02 “Sucursales” y 1104.06.03 “Subsidiarias”.</w:t>
            </w:r>
          </w:p>
          <w:p w14:paraId="40FE143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1104 “Bancos y Otras Instituciones Financieras del Exterior” referido a la subcuenta 1104.06 “Matriz, sucursales y subsidiarias”.</w:t>
            </w:r>
          </w:p>
          <w:p w14:paraId="40FE143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del Rubro 19 “Otros Activos”.</w:t>
            </w:r>
          </w:p>
          <w:p w14:paraId="40FE143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1908 “Operaciones en trámite”.</w:t>
            </w:r>
          </w:p>
          <w:p w14:paraId="40FE143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1908.08 “Operaciones en trámite con partes vinculadas”, así como su descripción.</w:t>
            </w:r>
          </w:p>
          <w:p w14:paraId="40FE143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cuenta analítica 1908.09.09 “Provisión de operaciones en trámite”.</w:t>
            </w:r>
          </w:p>
          <w:p w14:paraId="40FE143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1909 “Oficina principal, sucursales y agencias”.</w:t>
            </w:r>
          </w:p>
          <w:p w14:paraId="40FE1440"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1909.01.01 “Oficina principal” y 1909.01.02 “Agencias”.</w:t>
            </w:r>
          </w:p>
          <w:p w14:paraId="40FE1441"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descripción en la subcuenta 1909.02 “Operaciones exterior”.</w:t>
            </w:r>
          </w:p>
          <w:p w14:paraId="40FE144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del rubro 23 “Depósitos de Empresas del Sistema Financiero y Organismos Financieros Internacionales”.</w:t>
            </w:r>
          </w:p>
          <w:p w14:paraId="40FE144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2301 “Depósitos a la vista”.</w:t>
            </w:r>
          </w:p>
          <w:p w14:paraId="40FE1444"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2301.03 “Depósitos a la vista de la oficina matriz, sucursales y subsidiarias” por “Depósitos a la vista de la matriz, sucursales y subsidiarias”; así como también, incorporar su descripción.</w:t>
            </w:r>
          </w:p>
          <w:p w14:paraId="40FE144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las subcuentas analíticas 2301.03.01.01 “Matriz”, 2301.03.01.02 “Sucursales” y </w:t>
            </w:r>
            <w:r>
              <w:rPr>
                <w:color w:val="000000"/>
                <w:sz w:val="20"/>
                <w:szCs w:val="20"/>
                <w:lang w:val="es-PE"/>
              </w:rPr>
              <w:lastRenderedPageBreak/>
              <w:t>2301.03.01.03 “Subsidiarias”.</w:t>
            </w:r>
          </w:p>
          <w:p w14:paraId="40FE144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2301.03.09.01 “Matriz”, 2301.03.09.02 “Sucursales” y 2301.03.09.03 “Subsidiarias”.</w:t>
            </w:r>
          </w:p>
          <w:p w14:paraId="40FE144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2302 “Depósitos de ahorro”.</w:t>
            </w:r>
          </w:p>
          <w:p w14:paraId="40FE144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2302.03 “Depósitos de ahorro de la oficina matriz, sucursales y subsidiarias” por “Depósitos de ahorro de la matriz, sucursales y subsidiarias”; así como también, incorporar su descripción.</w:t>
            </w:r>
          </w:p>
          <w:p w14:paraId="40FE144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2302.03.01 “Matriz”, 2302.03.02 “Sucursales” y 2302.03.03 “Subsidiarias”.</w:t>
            </w:r>
          </w:p>
          <w:p w14:paraId="40FE144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2303 “Depósitos a plazo”.</w:t>
            </w:r>
          </w:p>
          <w:p w14:paraId="40FE144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2303.03 “Depósitos a plazo de la oficina matriz, sucursales y subsidiarias” por “Depósitos a plazo de la matriz, sucursales y subsidiarias”; así como también, incorporar su descripción.</w:t>
            </w:r>
          </w:p>
          <w:p w14:paraId="40FE144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2303.03.01 “Matriz”, 2303.03.02 “Sucursales” y 2303.03.03 “Subsidiarias”.</w:t>
            </w:r>
          </w:p>
          <w:p w14:paraId="40FE144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2308 “Gastos por pagar por depósitos de empresas del Sistema Financiero y organismos financieros internacionales”.</w:t>
            </w:r>
          </w:p>
          <w:p w14:paraId="40FE144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2308.01.03 “Depósitos a la vista de la oficina matriz, sucursales y subsidiarias” por “Depósitos a la vista de la matriz, sucursales y subsidiarias”; así como también, incorporar su descripción.</w:t>
            </w:r>
          </w:p>
          <w:p w14:paraId="40FE144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2308.01.03.01 “Matriz”, 2308.01.03.02 “Sucursales” y 2308.01.03.03 “Subsidiarias”.</w:t>
            </w:r>
          </w:p>
          <w:p w14:paraId="40FE1450"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2308.02.03 “Depósitos de ahorro de la oficina matriz, sucursales y subsidiarias” por “Depósitos de ahorro de la matriz, sucursales y subsidiarias”; así como también, incorporar su descripción.</w:t>
            </w:r>
          </w:p>
          <w:p w14:paraId="40FE1451"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2308.02.03.01 “Matriz”, 2308.02.03.02 “Sucursales” y 2308.02.03.03 “Subsidiarias”.</w:t>
            </w:r>
          </w:p>
          <w:p w14:paraId="40FE145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2308.03.03 “Depósitos a plazo de la oficina matriz, sucursales y subsidiarias” por “Depósitos a plazo de la matriz, sucursales y subsidiarias”; así como también, incorporar su descripción.</w:t>
            </w:r>
          </w:p>
          <w:p w14:paraId="40FE145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2308.03.03.01 “Matriz”, 2308.03.03.02 “Sucursales” y 2308.03.03.03 “Subsidiarias”.</w:t>
            </w:r>
          </w:p>
          <w:p w14:paraId="40FE1454"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del rubro 24 “Adeudos y obligaciones financieras a corto plazo”.</w:t>
            </w:r>
          </w:p>
          <w:p w14:paraId="40FE145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del rubro 29 “Otros pasivos”.</w:t>
            </w:r>
          </w:p>
          <w:p w14:paraId="40FE145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2908 “Operaciones en trámite”.</w:t>
            </w:r>
          </w:p>
          <w:p w14:paraId="40FE145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2908.08 “Operaciones en trámite con partes vinculadas”, así como su descripción.</w:t>
            </w:r>
          </w:p>
          <w:p w14:paraId="40FE145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2909 “Oficina principal, sucursales y agencias”.</w:t>
            </w:r>
          </w:p>
          <w:p w14:paraId="40FE145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cuentas analíticas 2909.01.01 “Oficina principal” y 2909.01.02 “Agencias”.</w:t>
            </w:r>
          </w:p>
          <w:p w14:paraId="40FE145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descripción en la subcuenta 2909.02 “Operaciones exterior”.</w:t>
            </w:r>
          </w:p>
          <w:p w14:paraId="40FE145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4103 “Intereses y gastos por depósitos de empresas del Sistema Financiero y organismos financieros internacionales”.</w:t>
            </w:r>
          </w:p>
          <w:p w14:paraId="40FE145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la denominación de la cuenta analítica 4103.01.03 “Intereses y gastos por depósitos a la vista </w:t>
            </w:r>
            <w:r>
              <w:rPr>
                <w:color w:val="000000"/>
                <w:sz w:val="20"/>
                <w:szCs w:val="20"/>
                <w:lang w:val="es-PE"/>
              </w:rPr>
              <w:lastRenderedPageBreak/>
              <w:t>de la oficina matriz, sucursales y subsidiarias” por “Intereses y gastos por depósitos a la vista de la matriz, sucursales y subsidiarias”; así como también, incorporar su descripción.</w:t>
            </w:r>
          </w:p>
          <w:p w14:paraId="40FE145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4103.01.03.01 “Matriz”, 4103.01.03.02 “Sucursales” y 4103.01.03.03 “Subsidiarias”.</w:t>
            </w:r>
          </w:p>
          <w:p w14:paraId="40FE145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4103.02.03 “Intereses y gastos por depósitos de ahorro de la oficina matriz, sucursales y subsidiarias” por “Intereses y gastos por depósitos de ahorro de la matriz, sucursales y subsidiarias”; así como también, incorporar su descripción.</w:t>
            </w:r>
          </w:p>
          <w:p w14:paraId="40FE145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4103.02.03.01 “Matriz”, 4103.02.03.02 “Sucursales” y 4103.02.03.03 “Subsidiarias”.</w:t>
            </w:r>
          </w:p>
          <w:p w14:paraId="40FE1460"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4103.03.03 “Intereses y gastos por depósitos a plazo de la oficina matriz, sucursales y subsidiarias” por “Intereses y gastos por depósitos a plazo de la matriz, sucursales y subsidiarias”; así como también, incorporar su descripción.</w:t>
            </w:r>
          </w:p>
          <w:p w14:paraId="40FE1461"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4103.03.03.01 “Matriz”, 4103.03.03.02 “Sucursales” y 4103.03.03.03 “Subsidiarias”.</w:t>
            </w:r>
          </w:p>
          <w:p w14:paraId="40FE146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4305 “Provisiones para contingencias y otras”.</w:t>
            </w:r>
          </w:p>
          <w:p w14:paraId="40FE146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4305.08 “Provisión por operaciones en trámite”.</w:t>
            </w:r>
          </w:p>
          <w:p w14:paraId="40FE1464"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texto en el débito de la dinámica aplicable a las cuentas 4301, 4302, 4303, 4304 y 4305.</w:t>
            </w:r>
          </w:p>
          <w:p w14:paraId="40FE146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descripción de la cuenta 5101 “Intereses y rendimientos por disponibles”.</w:t>
            </w:r>
          </w:p>
          <w:p w14:paraId="40FE146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5101.04.03 “Supervisadas por la oficina matriz sujeta a supervisión de organismos similares a la SBS” por “Supervisadas por la matriz sujeta a supervisión de organismos similares a la SBS”.</w:t>
            </w:r>
          </w:p>
          <w:p w14:paraId="40FE146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cuenta analítica 5101.04.06 “Oficina matriz, sucursales y subsidiarias” por “Matriz, sucursales y subsidiarias”.</w:t>
            </w:r>
          </w:p>
          <w:p w14:paraId="40FE146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las subcuentas analíticas 5101.04.06.01 “Matriz”, 5101.04.06.02 “Sucursales” y 5101.04.06.03 “Subsidiarias”.</w:t>
            </w:r>
          </w:p>
          <w:p w14:paraId="40FE146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8109.80 “Operaciones en trámite no identificadas”.</w:t>
            </w:r>
          </w:p>
          <w:p w14:paraId="40FE146A" w14:textId="77777777" w:rsidR="008C20EB" w:rsidRDefault="008C20EB">
            <w:pPr>
              <w:pStyle w:val="TableParagraph"/>
              <w:ind w:left="67" w:right="61"/>
              <w:jc w:val="both"/>
              <w:rPr>
                <w:color w:val="000000"/>
                <w:sz w:val="20"/>
                <w:szCs w:val="20"/>
                <w:lang w:val="es-PE"/>
              </w:rPr>
            </w:pPr>
          </w:p>
          <w:p w14:paraId="40FE146B" w14:textId="77777777" w:rsidR="008C20EB" w:rsidRDefault="008D25BE">
            <w:pPr>
              <w:pStyle w:val="TableParagraph"/>
              <w:ind w:left="67" w:right="61"/>
              <w:jc w:val="both"/>
              <w:rPr>
                <w:color w:val="000000"/>
                <w:sz w:val="20"/>
                <w:szCs w:val="20"/>
                <w:lang w:val="es-PE"/>
              </w:rPr>
            </w:pPr>
            <w:r>
              <w:rPr>
                <w:color w:val="000000"/>
                <w:sz w:val="20"/>
                <w:szCs w:val="20"/>
                <w:lang w:val="es-PE"/>
              </w:rPr>
              <w:t>La vigencia de las modificaciones es a partir de la información de enero 2024.</w:t>
            </w:r>
          </w:p>
        </w:tc>
      </w:tr>
      <w:tr w:rsidR="008C20EB" w14:paraId="40FE14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6D"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0066-2023</w:t>
            </w:r>
          </w:p>
        </w:tc>
        <w:tc>
          <w:tcPr>
            <w:tcW w:w="1560" w:type="dxa"/>
            <w:tcBorders>
              <w:top w:val="single" w:sz="4" w:space="0" w:color="auto"/>
              <w:left w:val="single" w:sz="4" w:space="0" w:color="auto"/>
              <w:bottom w:val="single" w:sz="4" w:space="0" w:color="auto"/>
              <w:right w:val="single" w:sz="4" w:space="0" w:color="auto"/>
            </w:tcBorders>
          </w:tcPr>
          <w:p w14:paraId="40FE146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09.01.2023</w:t>
            </w:r>
            <w:r>
              <w:rPr>
                <w:b/>
                <w:sz w:val="20"/>
                <w:szCs w:val="20"/>
              </w:rPr>
              <w:tab/>
              <w:t>/</w:t>
            </w:r>
          </w:p>
          <w:p w14:paraId="40FE146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13.01.2023</w:t>
            </w:r>
          </w:p>
        </w:tc>
        <w:tc>
          <w:tcPr>
            <w:tcW w:w="3935" w:type="dxa"/>
            <w:tcBorders>
              <w:top w:val="single" w:sz="4" w:space="0" w:color="auto"/>
              <w:left w:val="single" w:sz="4" w:space="0" w:color="auto"/>
              <w:bottom w:val="single" w:sz="4" w:space="0" w:color="auto"/>
              <w:right w:val="single" w:sz="4" w:space="0" w:color="auto"/>
            </w:tcBorders>
          </w:tcPr>
          <w:p w14:paraId="40FE1470"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71"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72" w14:textId="77777777" w:rsidR="008C20EB" w:rsidRDefault="008D25BE">
            <w:pPr>
              <w:pStyle w:val="TableParagraph"/>
              <w:numPr>
                <w:ilvl w:val="0"/>
                <w:numId w:val="20"/>
              </w:numPr>
              <w:ind w:right="61"/>
              <w:jc w:val="both"/>
              <w:rPr>
                <w:sz w:val="20"/>
                <w:szCs w:val="20"/>
                <w:lang w:val="es-PE"/>
              </w:rPr>
            </w:pPr>
            <w:r>
              <w:rPr>
                <w:sz w:val="20"/>
                <w:szCs w:val="20"/>
                <w:lang w:val="es-PE"/>
              </w:rPr>
              <w:t>Se modifica el Reporte N° 13 “Control de Límites Globales e Individuales aplicables a las Empresas del Sistema Financiero”.</w:t>
            </w:r>
          </w:p>
          <w:p w14:paraId="40FE1473" w14:textId="77777777" w:rsidR="008C20EB" w:rsidRDefault="008C20EB">
            <w:pPr>
              <w:pStyle w:val="TableParagraph"/>
              <w:shd w:val="clear" w:color="auto" w:fill="FFFFFF" w:themeFill="background1"/>
              <w:spacing w:after="240"/>
              <w:ind w:left="67" w:right="61"/>
              <w:jc w:val="both"/>
              <w:rPr>
                <w:color w:val="000000"/>
                <w:sz w:val="20"/>
                <w:szCs w:val="20"/>
                <w:lang w:val="es-PE"/>
              </w:rPr>
            </w:pPr>
          </w:p>
        </w:tc>
      </w:tr>
      <w:tr w:rsidR="008C20EB" w14:paraId="40FE14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75"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3955-2022</w:t>
            </w:r>
          </w:p>
        </w:tc>
        <w:tc>
          <w:tcPr>
            <w:tcW w:w="1560" w:type="dxa"/>
            <w:tcBorders>
              <w:top w:val="single" w:sz="4" w:space="0" w:color="auto"/>
              <w:left w:val="single" w:sz="4" w:space="0" w:color="auto"/>
              <w:bottom w:val="single" w:sz="4" w:space="0" w:color="auto"/>
              <w:right w:val="single" w:sz="4" w:space="0" w:color="auto"/>
            </w:tcBorders>
          </w:tcPr>
          <w:p w14:paraId="40FE1476"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77"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78"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79"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7A" w14:textId="77777777" w:rsidR="008C20EB" w:rsidRDefault="008D25BE">
            <w:pPr>
              <w:pStyle w:val="TableParagraph"/>
              <w:numPr>
                <w:ilvl w:val="0"/>
                <w:numId w:val="25"/>
              </w:numPr>
              <w:shd w:val="clear" w:color="auto" w:fill="FFFFFF" w:themeFill="background1"/>
              <w:spacing w:after="240"/>
              <w:ind w:right="61"/>
              <w:jc w:val="both"/>
              <w:rPr>
                <w:color w:val="000000"/>
                <w:sz w:val="20"/>
                <w:szCs w:val="20"/>
                <w:lang w:val="es-PE"/>
              </w:rPr>
            </w:pPr>
            <w:r>
              <w:rPr>
                <w:color w:val="000000"/>
                <w:sz w:val="20"/>
                <w:szCs w:val="20"/>
                <w:lang w:val="es-PE"/>
              </w:rPr>
              <w:t>Se elimina el Reporte N° 34 “Patrimonio Efectivo Ajustado - Activos y Contingentes Ponderados por Riesgo Totales Ajustados”.</w:t>
            </w:r>
          </w:p>
          <w:p w14:paraId="40FE147B" w14:textId="77777777" w:rsidR="008C20EB" w:rsidRDefault="008D25BE">
            <w:pPr>
              <w:pStyle w:val="TableParagraph"/>
              <w:numPr>
                <w:ilvl w:val="0"/>
                <w:numId w:val="25"/>
              </w:numPr>
              <w:shd w:val="clear" w:color="auto" w:fill="FFFFFF" w:themeFill="background1"/>
              <w:spacing w:after="240"/>
              <w:ind w:right="61"/>
              <w:jc w:val="both"/>
              <w:rPr>
                <w:color w:val="000000"/>
                <w:sz w:val="20"/>
                <w:szCs w:val="20"/>
                <w:lang w:val="es-PE"/>
              </w:rPr>
            </w:pPr>
            <w:r>
              <w:rPr>
                <w:color w:val="000000"/>
                <w:sz w:val="20"/>
                <w:szCs w:val="20"/>
                <w:lang w:val="es-PE"/>
              </w:rPr>
              <w:t>Se sustituye el formato y las notas metodológicas del Reporte N° 37 “Ratio de Apalancamiento”.</w:t>
            </w:r>
          </w:p>
        </w:tc>
      </w:tr>
      <w:tr w:rsidR="008C20EB" w14:paraId="40FE14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7D"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3954-2022</w:t>
            </w:r>
          </w:p>
        </w:tc>
        <w:tc>
          <w:tcPr>
            <w:tcW w:w="1560" w:type="dxa"/>
            <w:tcBorders>
              <w:top w:val="single" w:sz="4" w:space="0" w:color="auto"/>
              <w:left w:val="single" w:sz="4" w:space="0" w:color="auto"/>
              <w:bottom w:val="single" w:sz="4" w:space="0" w:color="auto"/>
              <w:right w:val="single" w:sz="4" w:space="0" w:color="auto"/>
            </w:tcBorders>
          </w:tcPr>
          <w:p w14:paraId="40FE147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7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80"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81"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82" w14:textId="77777777" w:rsidR="008C20EB" w:rsidRDefault="008D25BE">
            <w:pPr>
              <w:pStyle w:val="TableParagraph"/>
              <w:numPr>
                <w:ilvl w:val="0"/>
                <w:numId w:val="26"/>
              </w:numPr>
              <w:shd w:val="clear" w:color="auto" w:fill="FFFFFF" w:themeFill="background1"/>
              <w:spacing w:after="240"/>
              <w:ind w:right="61"/>
              <w:jc w:val="both"/>
              <w:rPr>
                <w:color w:val="000000"/>
                <w:sz w:val="20"/>
                <w:szCs w:val="20"/>
                <w:lang w:val="es-PE"/>
              </w:rPr>
            </w:pPr>
            <w:r>
              <w:rPr>
                <w:color w:val="000000"/>
                <w:sz w:val="20"/>
                <w:szCs w:val="20"/>
                <w:lang w:val="es-PE"/>
              </w:rPr>
              <w:t>Se modifica los Reportes N° 4-A1 – Requerimiento de Colchón por Ciclo Económico – Empresas que aplican Método Estándar y N° 4-E - Información para calcular el Indicador de Riesgo por Concentración de Mercado.</w:t>
            </w:r>
          </w:p>
          <w:p w14:paraId="40FE1483" w14:textId="77777777" w:rsidR="008C20EB" w:rsidRDefault="008D25BE">
            <w:pPr>
              <w:pStyle w:val="TableParagraph"/>
              <w:numPr>
                <w:ilvl w:val="0"/>
                <w:numId w:val="26"/>
              </w:numPr>
              <w:shd w:val="clear" w:color="auto" w:fill="FFFFFF" w:themeFill="background1"/>
              <w:spacing w:after="240"/>
              <w:ind w:right="61"/>
              <w:jc w:val="both"/>
              <w:rPr>
                <w:color w:val="000000"/>
                <w:sz w:val="20"/>
                <w:szCs w:val="20"/>
                <w:lang w:val="es-PE"/>
              </w:rPr>
            </w:pPr>
            <w:r>
              <w:rPr>
                <w:color w:val="000000"/>
                <w:sz w:val="20"/>
                <w:szCs w:val="20"/>
                <w:lang w:val="es-PE"/>
              </w:rPr>
              <w:t>Se modifica el título del Reporte N° 4-A2 por Reporte N° 4-A2 Requerimiento de Colchón por el Ciclo Económico – Empresas que aplican Método IRB; asimismo se modifican sus notas metodológicas.</w:t>
            </w:r>
          </w:p>
          <w:p w14:paraId="40FE1484" w14:textId="77777777" w:rsidR="008C20EB" w:rsidRDefault="008D25BE">
            <w:pPr>
              <w:pStyle w:val="TableParagraph"/>
              <w:numPr>
                <w:ilvl w:val="0"/>
                <w:numId w:val="26"/>
              </w:numPr>
              <w:shd w:val="clear" w:color="auto" w:fill="FFFFFF" w:themeFill="background1"/>
              <w:spacing w:after="240"/>
              <w:ind w:right="61"/>
              <w:jc w:val="both"/>
              <w:rPr>
                <w:color w:val="000000"/>
                <w:sz w:val="20"/>
                <w:szCs w:val="20"/>
                <w:lang w:val="es-PE"/>
              </w:rPr>
            </w:pPr>
            <w:r>
              <w:rPr>
                <w:color w:val="000000"/>
                <w:sz w:val="20"/>
                <w:szCs w:val="20"/>
                <w:lang w:val="es-PE"/>
              </w:rPr>
              <w:t>Se incorpora el Reporte N° 4-F – Resumen del Requerimiento de Colchones de Conservación, por Ciclo Económico y por Riesgo por Concentración de Mercado.</w:t>
            </w:r>
          </w:p>
        </w:tc>
      </w:tr>
      <w:tr w:rsidR="008C20EB" w14:paraId="40FE1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86"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3953-2022</w:t>
            </w:r>
          </w:p>
        </w:tc>
        <w:tc>
          <w:tcPr>
            <w:tcW w:w="1560" w:type="dxa"/>
            <w:tcBorders>
              <w:top w:val="single" w:sz="4" w:space="0" w:color="auto"/>
              <w:left w:val="single" w:sz="4" w:space="0" w:color="auto"/>
              <w:bottom w:val="single" w:sz="4" w:space="0" w:color="auto"/>
              <w:right w:val="single" w:sz="4" w:space="0" w:color="auto"/>
            </w:tcBorders>
          </w:tcPr>
          <w:p w14:paraId="40FE1487"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88"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89"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8A"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w:t>
            </w:r>
          </w:p>
          <w:p w14:paraId="40FE148B" w14:textId="77777777" w:rsidR="008C20EB" w:rsidRDefault="008D25BE">
            <w:pPr>
              <w:pStyle w:val="TableParagraph"/>
              <w:numPr>
                <w:ilvl w:val="0"/>
                <w:numId w:val="27"/>
              </w:numPr>
              <w:shd w:val="clear" w:color="auto" w:fill="FFFFFF" w:themeFill="background1"/>
              <w:spacing w:after="240"/>
              <w:ind w:right="61"/>
              <w:jc w:val="both"/>
              <w:rPr>
                <w:color w:val="000000"/>
                <w:sz w:val="20"/>
                <w:szCs w:val="20"/>
                <w:lang w:val="es-PE"/>
              </w:rPr>
            </w:pPr>
            <w:r>
              <w:rPr>
                <w:color w:val="000000"/>
                <w:sz w:val="20"/>
                <w:szCs w:val="20"/>
                <w:lang w:val="es-PE"/>
              </w:rPr>
              <w:t>Se modifica los formatos de los Reportes N° 4-B1, 4-B2, 4-B3, 4-C y 4-D, sus denominaciones y sus correspondientes notas metodológicas.</w:t>
            </w:r>
          </w:p>
          <w:p w14:paraId="40FE148C" w14:textId="77777777" w:rsidR="008C20EB" w:rsidRDefault="008D25BE">
            <w:pPr>
              <w:pStyle w:val="TableParagraph"/>
              <w:numPr>
                <w:ilvl w:val="0"/>
                <w:numId w:val="27"/>
              </w:numPr>
              <w:shd w:val="clear" w:color="auto" w:fill="FFFFFF" w:themeFill="background1"/>
              <w:spacing w:after="240"/>
              <w:ind w:right="61"/>
              <w:jc w:val="both"/>
              <w:rPr>
                <w:color w:val="000000"/>
                <w:sz w:val="20"/>
                <w:szCs w:val="20"/>
                <w:lang w:val="es-PE"/>
              </w:rPr>
            </w:pPr>
            <w:r>
              <w:rPr>
                <w:color w:val="000000"/>
                <w:sz w:val="20"/>
                <w:szCs w:val="20"/>
                <w:lang w:val="es-PE"/>
              </w:rPr>
              <w:t>Se elimina el Reporte N° 2-D.</w:t>
            </w:r>
          </w:p>
        </w:tc>
      </w:tr>
      <w:tr w:rsidR="008C20EB" w14:paraId="40FE14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8E"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3952-2022</w:t>
            </w:r>
          </w:p>
        </w:tc>
        <w:tc>
          <w:tcPr>
            <w:tcW w:w="1560" w:type="dxa"/>
            <w:tcBorders>
              <w:top w:val="single" w:sz="4" w:space="0" w:color="auto"/>
              <w:left w:val="single" w:sz="4" w:space="0" w:color="auto"/>
              <w:bottom w:val="single" w:sz="4" w:space="0" w:color="auto"/>
              <w:right w:val="single" w:sz="4" w:space="0" w:color="auto"/>
            </w:tcBorders>
          </w:tcPr>
          <w:p w14:paraId="40FE148F"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90"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91"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realizan modificaciones a los Capítulos II “Estados Financieros e Información Complementaria”, III “Catálogo de Cuentas”, IV “Descripción y Dinámica de Cuentas” y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92" w14:textId="77777777" w:rsidR="008C20EB" w:rsidRDefault="008D25BE">
            <w:pPr>
              <w:pStyle w:val="TableParagraph"/>
              <w:spacing w:after="240"/>
              <w:ind w:left="67" w:right="61"/>
              <w:jc w:val="both"/>
              <w:rPr>
                <w:snapToGrid w:val="0"/>
                <w:sz w:val="20"/>
                <w:szCs w:val="20"/>
              </w:rPr>
            </w:pPr>
            <w:r>
              <w:rPr>
                <w:color w:val="000000"/>
                <w:sz w:val="20"/>
                <w:szCs w:val="20"/>
                <w:lang w:val="es-PE"/>
              </w:rPr>
              <w:t>En el Capítulo II:</w:t>
            </w:r>
          </w:p>
          <w:p w14:paraId="40FE149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modifican los rubros “Ajustes al Patrimonio” y “Resultados Acumulados” en las Normas de Agrupación del Estado de Situación Financiera - Forma A.</w:t>
            </w:r>
          </w:p>
          <w:p w14:paraId="40FE1494" w14:textId="77777777" w:rsidR="008C20EB" w:rsidRDefault="008C20EB">
            <w:pPr>
              <w:pStyle w:val="TableParagraph"/>
              <w:ind w:right="61"/>
              <w:jc w:val="both"/>
              <w:rPr>
                <w:snapToGrid w:val="0"/>
                <w:sz w:val="20"/>
                <w:szCs w:val="20"/>
              </w:rPr>
            </w:pPr>
          </w:p>
          <w:p w14:paraId="40FE1495" w14:textId="77777777" w:rsidR="008C20EB" w:rsidRDefault="008D25BE">
            <w:pPr>
              <w:pStyle w:val="TableParagraph"/>
              <w:spacing w:after="240"/>
              <w:ind w:left="67" w:right="61"/>
              <w:jc w:val="both"/>
              <w:rPr>
                <w:snapToGrid w:val="0"/>
                <w:sz w:val="20"/>
                <w:szCs w:val="20"/>
              </w:rPr>
            </w:pPr>
            <w:r>
              <w:rPr>
                <w:color w:val="000000"/>
                <w:sz w:val="20"/>
                <w:szCs w:val="20"/>
                <w:lang w:val="es-PE"/>
              </w:rPr>
              <w:t>En los Capítulos III y IV:</w:t>
            </w:r>
          </w:p>
          <w:p w14:paraId="40FE149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 las subcuentas 3303.01 “Reservas facultativas que solo pueden ser reducidas con previa autorización de la Superintendencia” y 3303.02 “Reservas facultativas que pueden ser reducidas sin previa autorización de la Superintendencia”.</w:t>
            </w:r>
          </w:p>
          <w:p w14:paraId="40FE1497"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3303.03 “Reservas facultativas”.</w:t>
            </w:r>
          </w:p>
          <w:p w14:paraId="40FE149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la denominación de la subcuenta 3801.01 “Utilidad Acumulada con acuerdo de capitalización” por “Utilidad acumulada”.</w:t>
            </w:r>
          </w:p>
          <w:p w14:paraId="40FE149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 la subcuenta 3801.02 “Utilidad acumulada sin acuerdo de capitalización”.</w:t>
            </w:r>
          </w:p>
          <w:p w14:paraId="40FE149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lastRenderedPageBreak/>
              <w:t>Se eliminan las subcuentas 3801.04 “Ganancia por método de participación patrimonial correspondiente a inversiones que se deducen del patrimonio efectivo” y 3801.05 “Ganancia por método de participación patrimonial correspondiente a inversiones que no se deducen del patrimonio efectivo”.</w:t>
            </w:r>
          </w:p>
          <w:p w14:paraId="40FE149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3801.06 “Ganancia por método de participación patrimonial”, así como su descripción.</w:t>
            </w:r>
          </w:p>
          <w:p w14:paraId="40FE149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eliminan las subcuentas 3802.05 “Pérdida por método de participación patrimonial correspondiente a inversiones que se deducen del patrimonio efectivo” y 3802.06 “Pérdida por método de participación patrimonial correspondiente a inversiones que no se deducen del patrimonio efectivo”.</w:t>
            </w:r>
          </w:p>
          <w:p w14:paraId="40FE149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3802.07 “Pérdida por método de participación patrimonial”, así como su descripción.</w:t>
            </w:r>
          </w:p>
          <w:p w14:paraId="40FE149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eliminan las subcuentas 3901.01 “Utilidad neta del ejercicio con acuerdo de capitalización” y 3901.02 “Utilidad neta del ejercicio sin acuerdo de capitalización”.</w:t>
            </w:r>
          </w:p>
          <w:p w14:paraId="40FE149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subcuenta 3901.03 “Utilidad neta del ejercicio”.</w:t>
            </w:r>
          </w:p>
          <w:p w14:paraId="40FE14A0" w14:textId="77777777" w:rsidR="008C20EB" w:rsidRDefault="008C20EB">
            <w:pPr>
              <w:pStyle w:val="TableParagraph"/>
              <w:ind w:right="61"/>
              <w:jc w:val="both"/>
              <w:rPr>
                <w:color w:val="000000"/>
                <w:sz w:val="20"/>
                <w:szCs w:val="20"/>
                <w:lang w:val="es-PE"/>
              </w:rPr>
            </w:pPr>
          </w:p>
          <w:p w14:paraId="40FE14A1" w14:textId="77777777" w:rsidR="008C20EB" w:rsidRDefault="008C20EB">
            <w:pPr>
              <w:pStyle w:val="TableParagraph"/>
              <w:ind w:right="61"/>
              <w:jc w:val="both"/>
              <w:rPr>
                <w:color w:val="000000"/>
                <w:sz w:val="20"/>
                <w:szCs w:val="20"/>
                <w:lang w:val="es-PE"/>
              </w:rPr>
            </w:pPr>
          </w:p>
          <w:p w14:paraId="40FE14A2" w14:textId="77777777" w:rsidR="008C20EB" w:rsidRDefault="008D25BE">
            <w:pPr>
              <w:pStyle w:val="TableParagraph"/>
              <w:ind w:left="67" w:right="61"/>
              <w:jc w:val="both"/>
              <w:rPr>
                <w:rFonts w:cs="Arial"/>
                <w:sz w:val="20"/>
                <w:szCs w:val="20"/>
              </w:rPr>
            </w:pPr>
            <w:r>
              <w:rPr>
                <w:rFonts w:cs="Arial"/>
                <w:sz w:val="20"/>
                <w:szCs w:val="20"/>
              </w:rPr>
              <w:t>Adicionalmente</w:t>
            </w:r>
            <w:r>
              <w:rPr>
                <w:color w:val="000000"/>
                <w:sz w:val="20"/>
                <w:szCs w:val="20"/>
                <w:lang w:val="es-PE"/>
              </w:rPr>
              <w:t>, se realizan las siguientes modificaciones e</w:t>
            </w:r>
            <w:r>
              <w:rPr>
                <w:rFonts w:cs="Arial"/>
                <w:sz w:val="20"/>
                <w:szCs w:val="20"/>
              </w:rPr>
              <w:t>n el Capítulo V:</w:t>
            </w:r>
          </w:p>
          <w:p w14:paraId="40FE14A3" w14:textId="77777777" w:rsidR="008C20EB" w:rsidRDefault="008C20EB">
            <w:pPr>
              <w:pStyle w:val="TableParagraph"/>
              <w:ind w:left="67" w:right="61"/>
              <w:jc w:val="both"/>
              <w:rPr>
                <w:sz w:val="20"/>
                <w:szCs w:val="20"/>
                <w:lang w:val="es-PE"/>
              </w:rPr>
            </w:pPr>
          </w:p>
          <w:p w14:paraId="40FE14A4" w14:textId="77777777" w:rsidR="008C20EB" w:rsidRDefault="008D25BE">
            <w:pPr>
              <w:pStyle w:val="TableParagraph"/>
              <w:numPr>
                <w:ilvl w:val="0"/>
                <w:numId w:val="20"/>
              </w:numPr>
              <w:ind w:right="61"/>
              <w:jc w:val="both"/>
              <w:rPr>
                <w:sz w:val="20"/>
                <w:szCs w:val="20"/>
                <w:lang w:val="es-PE"/>
              </w:rPr>
            </w:pPr>
            <w:r>
              <w:rPr>
                <w:sz w:val="20"/>
                <w:szCs w:val="20"/>
                <w:lang w:val="es-PE"/>
              </w:rPr>
              <w:t>Se modifica la sección correspondiente a “Entidades del Sector Público” y “Otras” del primer cuadro; así como el segundo cuadro, del Reporte N° 2-AI “Activos y Contingentes Ponderados por Riesgo de Crédito – Método Estándar”.</w:t>
            </w:r>
          </w:p>
          <w:p w14:paraId="40FE14A5" w14:textId="77777777" w:rsidR="008C20EB" w:rsidRDefault="008D25BE">
            <w:pPr>
              <w:pStyle w:val="TableParagraph"/>
              <w:numPr>
                <w:ilvl w:val="0"/>
                <w:numId w:val="20"/>
              </w:numPr>
              <w:ind w:right="61"/>
              <w:jc w:val="both"/>
              <w:rPr>
                <w:sz w:val="20"/>
                <w:szCs w:val="20"/>
                <w:lang w:val="es-PE"/>
              </w:rPr>
            </w:pPr>
            <w:r>
              <w:rPr>
                <w:sz w:val="20"/>
                <w:szCs w:val="20"/>
                <w:lang w:val="es-PE"/>
              </w:rPr>
              <w:t>Se modifica las notas metodológicas del Reporte N° 2-A1 “Activos y Contingentes Ponderados por Riesgo de Crédito – Método Estándar”.</w:t>
            </w:r>
          </w:p>
          <w:p w14:paraId="40FE14A6" w14:textId="77777777" w:rsidR="008C20EB" w:rsidRDefault="008D25BE">
            <w:pPr>
              <w:pStyle w:val="TableParagraph"/>
              <w:numPr>
                <w:ilvl w:val="0"/>
                <w:numId w:val="20"/>
              </w:numPr>
              <w:ind w:right="61"/>
              <w:jc w:val="both"/>
              <w:rPr>
                <w:sz w:val="20"/>
                <w:szCs w:val="20"/>
                <w:lang w:val="es-PE"/>
              </w:rPr>
            </w:pPr>
            <w:r>
              <w:rPr>
                <w:sz w:val="20"/>
                <w:szCs w:val="20"/>
                <w:lang w:val="es-PE"/>
              </w:rPr>
              <w:t>Se modifica las notas metodológicas del Reporte N° 2-A2 “Reporte de Activos y Contingentes Ponderados por Riesgo de Crédito – Métodos Basados en Calificaciones Internas”.</w:t>
            </w:r>
          </w:p>
          <w:p w14:paraId="40FE14A7" w14:textId="77777777" w:rsidR="008C20EB" w:rsidRDefault="008D25BE">
            <w:pPr>
              <w:pStyle w:val="TableParagraph"/>
              <w:numPr>
                <w:ilvl w:val="0"/>
                <w:numId w:val="20"/>
              </w:numPr>
              <w:ind w:right="61"/>
              <w:jc w:val="both"/>
              <w:rPr>
                <w:sz w:val="20"/>
                <w:szCs w:val="20"/>
                <w:lang w:val="es-PE"/>
              </w:rPr>
            </w:pPr>
            <w:r>
              <w:rPr>
                <w:sz w:val="20"/>
                <w:szCs w:val="20"/>
                <w:lang w:val="es-PE"/>
              </w:rPr>
              <w:t>Se sustituye el formato del Reporte N° 3 “Patrimonio Efectivo”.</w:t>
            </w:r>
          </w:p>
          <w:p w14:paraId="40FE14A8" w14:textId="77777777" w:rsidR="008C20EB" w:rsidRDefault="008D25BE">
            <w:pPr>
              <w:pStyle w:val="TableParagraph"/>
              <w:numPr>
                <w:ilvl w:val="0"/>
                <w:numId w:val="20"/>
              </w:numPr>
              <w:ind w:right="61"/>
              <w:jc w:val="both"/>
              <w:rPr>
                <w:sz w:val="20"/>
                <w:szCs w:val="20"/>
                <w:lang w:val="es-PE"/>
              </w:rPr>
            </w:pPr>
            <w:r>
              <w:rPr>
                <w:sz w:val="20"/>
                <w:szCs w:val="20"/>
                <w:lang w:val="es-PE"/>
              </w:rPr>
              <w:t>Se modifica el Reporte N° 13 “Control de Límites Globales e Individuales aplicables a las Empresas del Sistema Financiero”.</w:t>
            </w:r>
          </w:p>
          <w:p w14:paraId="40FE14A9" w14:textId="77777777" w:rsidR="008C20EB" w:rsidRDefault="008C20EB">
            <w:pPr>
              <w:pStyle w:val="TableParagraph"/>
              <w:shd w:val="clear" w:color="auto" w:fill="FFFFFF" w:themeFill="background1"/>
              <w:spacing w:after="240"/>
              <w:ind w:left="67" w:right="61"/>
              <w:jc w:val="both"/>
              <w:rPr>
                <w:color w:val="000000"/>
                <w:sz w:val="20"/>
                <w:szCs w:val="20"/>
                <w:lang w:val="es-PE"/>
              </w:rPr>
            </w:pPr>
          </w:p>
        </w:tc>
      </w:tr>
      <w:tr w:rsidR="008C20EB" w14:paraId="40FE14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AB"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3951-2022</w:t>
            </w:r>
          </w:p>
        </w:tc>
        <w:tc>
          <w:tcPr>
            <w:tcW w:w="1560" w:type="dxa"/>
            <w:tcBorders>
              <w:top w:val="single" w:sz="4" w:space="0" w:color="auto"/>
              <w:left w:val="single" w:sz="4" w:space="0" w:color="auto"/>
              <w:bottom w:val="single" w:sz="4" w:space="0" w:color="auto"/>
              <w:right w:val="single" w:sz="4" w:space="0" w:color="auto"/>
            </w:tcBorders>
          </w:tcPr>
          <w:p w14:paraId="40FE14AC"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AD"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AE"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AF"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el Capítulo V:</w:t>
            </w:r>
          </w:p>
          <w:p w14:paraId="40FE14B0" w14:textId="77777777" w:rsidR="008C20EB" w:rsidRDefault="008D25BE">
            <w:pPr>
              <w:pStyle w:val="TableParagraph"/>
              <w:numPr>
                <w:ilvl w:val="0"/>
                <w:numId w:val="28"/>
              </w:numPr>
              <w:shd w:val="clear" w:color="auto" w:fill="FFFFFF" w:themeFill="background1"/>
              <w:spacing w:after="240"/>
              <w:ind w:right="61"/>
              <w:jc w:val="both"/>
              <w:rPr>
                <w:color w:val="000000"/>
                <w:sz w:val="20"/>
                <w:szCs w:val="20"/>
                <w:lang w:val="es-PE"/>
              </w:rPr>
            </w:pPr>
            <w:r>
              <w:rPr>
                <w:color w:val="000000"/>
                <w:sz w:val="20"/>
                <w:szCs w:val="20"/>
                <w:lang w:val="es-PE"/>
              </w:rPr>
              <w:t>Se sustituye el formato del Anexo N° 12–I “Control de Instrumentos Representativos de Capital”.</w:t>
            </w:r>
          </w:p>
        </w:tc>
      </w:tr>
      <w:tr w:rsidR="008C20EB" w14:paraId="40FE14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B2"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3950-2022</w:t>
            </w:r>
          </w:p>
        </w:tc>
        <w:tc>
          <w:tcPr>
            <w:tcW w:w="1560" w:type="dxa"/>
            <w:tcBorders>
              <w:top w:val="single" w:sz="4" w:space="0" w:color="auto"/>
              <w:left w:val="single" w:sz="4" w:space="0" w:color="auto"/>
              <w:bottom w:val="single" w:sz="4" w:space="0" w:color="auto"/>
              <w:right w:val="single" w:sz="4" w:space="0" w:color="auto"/>
            </w:tcBorders>
          </w:tcPr>
          <w:p w14:paraId="40FE14B3"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22.12.2022</w:t>
            </w:r>
            <w:r>
              <w:rPr>
                <w:b/>
                <w:sz w:val="20"/>
                <w:szCs w:val="20"/>
              </w:rPr>
              <w:tab/>
              <w:t>/</w:t>
            </w:r>
          </w:p>
          <w:p w14:paraId="40FE14B4"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27.12.2022</w:t>
            </w:r>
          </w:p>
        </w:tc>
        <w:tc>
          <w:tcPr>
            <w:tcW w:w="3935" w:type="dxa"/>
            <w:tcBorders>
              <w:top w:val="single" w:sz="4" w:space="0" w:color="auto"/>
              <w:left w:val="single" w:sz="4" w:space="0" w:color="auto"/>
              <w:bottom w:val="single" w:sz="4" w:space="0" w:color="auto"/>
              <w:right w:val="single" w:sz="4" w:space="0" w:color="auto"/>
            </w:tcBorders>
          </w:tcPr>
          <w:p w14:paraId="40FE14B5"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 xml:space="preserve">Se modifica el Capítulo V “Información Complementaria” del Manual de Contabilidad para las Empresas del Sistema Financiero. </w:t>
            </w:r>
          </w:p>
        </w:tc>
        <w:tc>
          <w:tcPr>
            <w:tcW w:w="8162" w:type="dxa"/>
            <w:tcBorders>
              <w:top w:val="single" w:sz="4" w:space="0" w:color="auto"/>
              <w:left w:val="single" w:sz="4" w:space="0" w:color="auto"/>
              <w:bottom w:val="single" w:sz="4" w:space="0" w:color="auto"/>
              <w:right w:val="single" w:sz="4" w:space="0" w:color="auto"/>
            </w:tcBorders>
          </w:tcPr>
          <w:p w14:paraId="40FE14B6"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el Capítulo V:</w:t>
            </w:r>
          </w:p>
          <w:p w14:paraId="40FE14B7" w14:textId="77777777" w:rsidR="008C20EB" w:rsidRDefault="008D25BE">
            <w:pPr>
              <w:pStyle w:val="TableParagraph"/>
              <w:numPr>
                <w:ilvl w:val="0"/>
                <w:numId w:val="29"/>
              </w:numPr>
              <w:shd w:val="clear" w:color="auto" w:fill="FFFFFF" w:themeFill="background1"/>
              <w:spacing w:after="240"/>
              <w:ind w:right="61"/>
              <w:jc w:val="both"/>
              <w:rPr>
                <w:color w:val="000000"/>
                <w:sz w:val="20"/>
                <w:szCs w:val="20"/>
                <w:lang w:val="es-PE"/>
              </w:rPr>
            </w:pPr>
            <w:r>
              <w:rPr>
                <w:color w:val="000000"/>
                <w:sz w:val="20"/>
                <w:szCs w:val="20"/>
                <w:lang w:val="es-PE"/>
              </w:rPr>
              <w:t>Se sustituye el formato del Anexo N° 12–II “Control de Deuda Subordinada”.</w:t>
            </w:r>
          </w:p>
        </w:tc>
      </w:tr>
      <w:tr w:rsidR="008C20EB" w14:paraId="40FE14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B9"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3932-2022</w:t>
            </w:r>
          </w:p>
        </w:tc>
        <w:tc>
          <w:tcPr>
            <w:tcW w:w="1560" w:type="dxa"/>
            <w:tcBorders>
              <w:top w:val="single" w:sz="4" w:space="0" w:color="auto"/>
              <w:left w:val="single" w:sz="4" w:space="0" w:color="auto"/>
              <w:bottom w:val="single" w:sz="4" w:space="0" w:color="auto"/>
              <w:right w:val="single" w:sz="4" w:space="0" w:color="auto"/>
            </w:tcBorders>
          </w:tcPr>
          <w:p w14:paraId="40FE14BA"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21.12.2022</w:t>
            </w:r>
            <w:r>
              <w:rPr>
                <w:b/>
                <w:sz w:val="20"/>
                <w:szCs w:val="20"/>
              </w:rPr>
              <w:tab/>
              <w:t>/</w:t>
            </w:r>
          </w:p>
          <w:p w14:paraId="40FE14BB"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22.12.2022</w:t>
            </w:r>
          </w:p>
        </w:tc>
        <w:tc>
          <w:tcPr>
            <w:tcW w:w="3935" w:type="dxa"/>
            <w:tcBorders>
              <w:top w:val="single" w:sz="4" w:space="0" w:color="auto"/>
              <w:left w:val="single" w:sz="4" w:space="0" w:color="auto"/>
              <w:bottom w:val="single" w:sz="4" w:space="0" w:color="auto"/>
              <w:right w:val="single" w:sz="4" w:space="0" w:color="auto"/>
            </w:tcBorders>
          </w:tcPr>
          <w:p w14:paraId="40FE14BC"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modifica el Capítulo V “Información Complementaria” del Manual de Contabilidad para las Empresas del Sistema Financiero.</w:t>
            </w:r>
          </w:p>
        </w:tc>
        <w:tc>
          <w:tcPr>
            <w:tcW w:w="8162" w:type="dxa"/>
            <w:tcBorders>
              <w:top w:val="single" w:sz="4" w:space="0" w:color="auto"/>
              <w:left w:val="single" w:sz="4" w:space="0" w:color="auto"/>
              <w:bottom w:val="single" w:sz="4" w:space="0" w:color="auto"/>
              <w:right w:val="single" w:sz="4" w:space="0" w:color="auto"/>
            </w:tcBorders>
          </w:tcPr>
          <w:p w14:paraId="40FE14BD"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color w:val="000000"/>
                <w:sz w:val="20"/>
                <w:szCs w:val="20"/>
                <w:lang w:val="es-PE"/>
              </w:rPr>
              <w:t>En el Capítulo V se modifica el Reporte N° 32-A “Reporte Diario de Dinero Electrónico” y la sección IV del Reporte N° 32-B “Reporte Mensual de Dinero electrónico”.</w:t>
            </w:r>
          </w:p>
        </w:tc>
      </w:tr>
      <w:tr w:rsidR="008C20EB" w14:paraId="40FE14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BF"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3296-2022</w:t>
            </w:r>
          </w:p>
        </w:tc>
        <w:tc>
          <w:tcPr>
            <w:tcW w:w="1560" w:type="dxa"/>
            <w:tcBorders>
              <w:top w:val="single" w:sz="4" w:space="0" w:color="auto"/>
              <w:left w:val="single" w:sz="4" w:space="0" w:color="auto"/>
              <w:bottom w:val="single" w:sz="4" w:space="0" w:color="auto"/>
              <w:right w:val="single" w:sz="4" w:space="0" w:color="auto"/>
            </w:tcBorders>
          </w:tcPr>
          <w:p w14:paraId="40FE14C0"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28.10.2022</w:t>
            </w:r>
            <w:r>
              <w:rPr>
                <w:b/>
                <w:sz w:val="20"/>
                <w:szCs w:val="20"/>
              </w:rPr>
              <w:tab/>
              <w:t>/</w:t>
            </w:r>
          </w:p>
          <w:p w14:paraId="40FE14C1"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31.10.2022</w:t>
            </w:r>
          </w:p>
        </w:tc>
        <w:tc>
          <w:tcPr>
            <w:tcW w:w="3935" w:type="dxa"/>
            <w:tcBorders>
              <w:top w:val="single" w:sz="4" w:space="0" w:color="auto"/>
              <w:left w:val="single" w:sz="4" w:space="0" w:color="auto"/>
              <w:bottom w:val="single" w:sz="4" w:space="0" w:color="auto"/>
              <w:right w:val="single" w:sz="4" w:space="0" w:color="auto"/>
            </w:tcBorders>
          </w:tcPr>
          <w:p w14:paraId="40FE14C2"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modifica el Capítulo V “Información Complementaria” del Manual de Contabilidad para las Empresas del Sistema Financiero. Dichas modificaciones son vigentes a partir de la información correspondiente a partir del 1 de enero del 2024.</w:t>
            </w:r>
          </w:p>
        </w:tc>
        <w:tc>
          <w:tcPr>
            <w:tcW w:w="8162" w:type="dxa"/>
            <w:tcBorders>
              <w:top w:val="single" w:sz="4" w:space="0" w:color="auto"/>
              <w:left w:val="single" w:sz="4" w:space="0" w:color="auto"/>
              <w:bottom w:val="single" w:sz="4" w:space="0" w:color="auto"/>
              <w:right w:val="single" w:sz="4" w:space="0" w:color="auto"/>
            </w:tcBorders>
          </w:tcPr>
          <w:p w14:paraId="40FE14C3"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el Capítulo V:</w:t>
            </w:r>
          </w:p>
          <w:p w14:paraId="40FE14C4" w14:textId="77777777" w:rsidR="008C20EB" w:rsidRDefault="008D25BE">
            <w:pPr>
              <w:pStyle w:val="TableParagraph"/>
              <w:numPr>
                <w:ilvl w:val="0"/>
                <w:numId w:val="30"/>
              </w:numPr>
              <w:shd w:val="clear" w:color="auto" w:fill="FFFFFF" w:themeFill="background1"/>
              <w:ind w:right="61"/>
              <w:jc w:val="both"/>
              <w:rPr>
                <w:color w:val="000000"/>
                <w:sz w:val="20"/>
                <w:szCs w:val="20"/>
                <w:lang w:val="es-PE"/>
              </w:rPr>
            </w:pPr>
            <w:r>
              <w:rPr>
                <w:color w:val="000000"/>
                <w:sz w:val="20"/>
                <w:szCs w:val="20"/>
                <w:lang w:val="es-PE"/>
              </w:rPr>
              <w:t>Se sustituye el formato del Anexo N° 15–B “Ratio de Cobertura de Liquidez” y sus notas metodológicas.</w:t>
            </w:r>
          </w:p>
          <w:p w14:paraId="40FE14C5" w14:textId="77777777" w:rsidR="008C20EB" w:rsidRDefault="008C20EB">
            <w:pPr>
              <w:pStyle w:val="TableParagraph"/>
              <w:shd w:val="clear" w:color="auto" w:fill="FFFFFF" w:themeFill="background1"/>
              <w:spacing w:after="240"/>
              <w:ind w:left="67" w:right="61"/>
              <w:jc w:val="both"/>
              <w:rPr>
                <w:color w:val="000000"/>
                <w:sz w:val="20"/>
                <w:szCs w:val="20"/>
                <w:lang w:val="es-PE"/>
              </w:rPr>
            </w:pPr>
          </w:p>
        </w:tc>
      </w:tr>
      <w:tr w:rsidR="008C20EB" w14:paraId="40FE14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tcPr>
          <w:p w14:paraId="40FE14C7" w14:textId="77777777" w:rsidR="008C20EB" w:rsidRDefault="008D25BE">
            <w:pPr>
              <w:pStyle w:val="TableParagraph"/>
              <w:shd w:val="clear" w:color="auto" w:fill="FFFFFF" w:themeFill="background1"/>
              <w:ind w:left="71" w:right="42"/>
              <w:jc w:val="both"/>
              <w:rPr>
                <w:b/>
                <w:sz w:val="20"/>
                <w:szCs w:val="20"/>
              </w:rPr>
            </w:pPr>
            <w:r>
              <w:rPr>
                <w:b/>
                <w:sz w:val="20"/>
                <w:szCs w:val="20"/>
              </w:rPr>
              <w:t>Oficio Múltiple N° 46448-2022</w:t>
            </w:r>
          </w:p>
        </w:tc>
        <w:tc>
          <w:tcPr>
            <w:tcW w:w="1560" w:type="dxa"/>
            <w:tcBorders>
              <w:top w:val="single" w:sz="4" w:space="0" w:color="auto"/>
              <w:left w:val="single" w:sz="4" w:space="0" w:color="auto"/>
              <w:bottom w:val="single" w:sz="4" w:space="0" w:color="auto"/>
              <w:right w:val="single" w:sz="4" w:space="0" w:color="auto"/>
            </w:tcBorders>
          </w:tcPr>
          <w:p w14:paraId="40FE14C8"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Pr. 28.10.2022</w:t>
            </w:r>
          </w:p>
        </w:tc>
        <w:tc>
          <w:tcPr>
            <w:tcW w:w="3935" w:type="dxa"/>
            <w:tcBorders>
              <w:top w:val="single" w:sz="4" w:space="0" w:color="auto"/>
              <w:left w:val="single" w:sz="4" w:space="0" w:color="auto"/>
              <w:bottom w:val="single" w:sz="4" w:space="0" w:color="auto"/>
              <w:right w:val="single" w:sz="4" w:space="0" w:color="auto"/>
            </w:tcBorders>
          </w:tcPr>
          <w:p w14:paraId="40FE14C9" w14:textId="77777777" w:rsidR="008C20EB" w:rsidRDefault="008D25BE">
            <w:pPr>
              <w:pStyle w:val="TableParagraph"/>
              <w:shd w:val="clear" w:color="auto" w:fill="FFFFFF" w:themeFill="background1"/>
              <w:ind w:left="67" w:right="61"/>
              <w:jc w:val="both"/>
              <w:rPr>
                <w:color w:val="000000"/>
                <w:sz w:val="20"/>
                <w:szCs w:val="20"/>
                <w:lang w:val="es-PE"/>
              </w:rPr>
            </w:pPr>
            <w:r>
              <w:rPr>
                <w:color w:val="000000"/>
                <w:sz w:val="20"/>
                <w:szCs w:val="20"/>
                <w:lang w:val="es-PE"/>
              </w:rPr>
              <w:t xml:space="preserve">Se modifica el Capítulo I “Disposiciones Generales” del Manual de Contabilidad para las Empresas del Sistema Financiero. Dicha disposición es vigente a partir de la información     correspondiente de octubre 2022. </w:t>
            </w:r>
          </w:p>
          <w:p w14:paraId="40FE14CA" w14:textId="77777777" w:rsidR="008C20EB" w:rsidRDefault="008C20EB">
            <w:pPr>
              <w:pStyle w:val="TableParagraph"/>
              <w:shd w:val="clear" w:color="auto" w:fill="FFFFFF" w:themeFill="background1"/>
              <w:ind w:left="67" w:right="61"/>
              <w:jc w:val="both"/>
              <w:rPr>
                <w:rFonts w:cs="Arial"/>
                <w:sz w:val="20"/>
                <w:szCs w:val="20"/>
              </w:rPr>
            </w:pPr>
          </w:p>
        </w:tc>
        <w:tc>
          <w:tcPr>
            <w:tcW w:w="8162" w:type="dxa"/>
            <w:tcBorders>
              <w:top w:val="single" w:sz="4" w:space="0" w:color="auto"/>
              <w:left w:val="single" w:sz="4" w:space="0" w:color="auto"/>
              <w:bottom w:val="single" w:sz="4" w:space="0" w:color="auto"/>
              <w:right w:val="single" w:sz="4" w:space="0" w:color="auto"/>
            </w:tcBorders>
          </w:tcPr>
          <w:p w14:paraId="40FE14CB" w14:textId="77777777" w:rsidR="008C20EB" w:rsidRDefault="008D25BE">
            <w:pPr>
              <w:pStyle w:val="TableParagraph"/>
              <w:shd w:val="clear" w:color="auto" w:fill="FFFFFF" w:themeFill="background1"/>
              <w:spacing w:after="240"/>
              <w:ind w:left="68" w:right="62"/>
              <w:jc w:val="both"/>
              <w:rPr>
                <w:color w:val="000000"/>
                <w:sz w:val="20"/>
                <w:szCs w:val="20"/>
                <w:lang w:val="es-PE"/>
              </w:rPr>
            </w:pPr>
            <w:r>
              <w:rPr>
                <w:color w:val="000000"/>
                <w:sz w:val="20"/>
                <w:szCs w:val="20"/>
                <w:lang w:val="es-PE"/>
              </w:rPr>
              <w:t xml:space="preserve">Se modifica la denominación de la Tabla de Empresas, señalada en el acápite J del Capítulo I “Disposiciones Generales” del Manual de Contabilidad para las Empresas del Sistema Financiero: </w:t>
            </w:r>
          </w:p>
          <w:p w14:paraId="40FE14CC" w14:textId="77777777" w:rsidR="008C20EB" w:rsidRDefault="008D25BE">
            <w:pPr>
              <w:pStyle w:val="TableParagraph"/>
              <w:shd w:val="clear" w:color="auto" w:fill="FFFFFF" w:themeFill="background1"/>
              <w:ind w:left="68" w:right="62"/>
              <w:jc w:val="both"/>
              <w:rPr>
                <w:b/>
                <w:bCs/>
                <w:sz w:val="20"/>
                <w:szCs w:val="20"/>
              </w:rPr>
            </w:pPr>
            <w:r>
              <w:rPr>
                <w:b/>
                <w:bCs/>
                <w:sz w:val="20"/>
                <w:szCs w:val="20"/>
              </w:rPr>
              <w:t xml:space="preserve">Código: </w:t>
            </w:r>
            <w:r>
              <w:rPr>
                <w:sz w:val="20"/>
                <w:szCs w:val="20"/>
              </w:rPr>
              <w:t>06</w:t>
            </w:r>
          </w:p>
          <w:p w14:paraId="40FE14CD"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b/>
                <w:bCs/>
                <w:sz w:val="20"/>
                <w:szCs w:val="20"/>
              </w:rPr>
              <w:t xml:space="preserve">BANCOS 01: </w:t>
            </w:r>
            <w:r>
              <w:rPr>
                <w:color w:val="000000"/>
                <w:sz w:val="20"/>
                <w:szCs w:val="20"/>
                <w:lang w:val="es-PE"/>
              </w:rPr>
              <w:t>Banco BBVA Perú</w:t>
            </w:r>
          </w:p>
          <w:p w14:paraId="40FE14CE" w14:textId="77777777" w:rsidR="008C20EB" w:rsidRDefault="008D25BE">
            <w:pPr>
              <w:pStyle w:val="TableParagraph"/>
              <w:shd w:val="clear" w:color="auto" w:fill="FFFFFF" w:themeFill="background1"/>
              <w:ind w:left="68" w:right="62"/>
              <w:jc w:val="both"/>
              <w:rPr>
                <w:b/>
                <w:bCs/>
                <w:sz w:val="20"/>
                <w:szCs w:val="20"/>
              </w:rPr>
            </w:pPr>
            <w:r>
              <w:rPr>
                <w:b/>
                <w:bCs/>
                <w:sz w:val="20"/>
                <w:szCs w:val="20"/>
              </w:rPr>
              <w:t xml:space="preserve">Código: </w:t>
            </w:r>
            <w:r>
              <w:rPr>
                <w:sz w:val="20"/>
                <w:szCs w:val="20"/>
              </w:rPr>
              <w:t>09</w:t>
            </w:r>
          </w:p>
          <w:p w14:paraId="40FE14CF"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b/>
                <w:bCs/>
                <w:sz w:val="20"/>
                <w:szCs w:val="20"/>
              </w:rPr>
              <w:t xml:space="preserve">BANCOS 01: </w:t>
            </w:r>
            <w:r>
              <w:rPr>
                <w:color w:val="000000"/>
                <w:sz w:val="20"/>
                <w:szCs w:val="20"/>
                <w:lang w:val="es-PE"/>
              </w:rPr>
              <w:t>Banco Pichincha</w:t>
            </w:r>
          </w:p>
        </w:tc>
      </w:tr>
      <w:tr w:rsidR="008C20EB" w14:paraId="40FE14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D1"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3178-2022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D2"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17.10.2022</w:t>
            </w:r>
            <w:r>
              <w:rPr>
                <w:b/>
                <w:sz w:val="20"/>
                <w:szCs w:val="20"/>
              </w:rPr>
              <w:tab/>
              <w:t>/</w:t>
            </w:r>
          </w:p>
          <w:p w14:paraId="40FE14D3"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18.10.2022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D4"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realizan modificaciones a los Capítulos III “Catálogo de Cuentas”, IV “Descripción y Dinámica de Cuentas” y V “Información Complementaria” del Manual de Contabilidad para las Empresas del Sistema Financiero. Dichas modificaciones son vigentes a partir de la información correspondiente al mes de octubre 2022.</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D5"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los Capítulo III y IV:</w:t>
            </w:r>
          </w:p>
          <w:p w14:paraId="40FE14D6"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color w:val="000000"/>
                <w:sz w:val="20"/>
                <w:szCs w:val="20"/>
                <w:lang w:val="es-PE"/>
              </w:rPr>
              <w:t>Se elimina el último párrafo de la descripción de la cuenta 8103 “Cuentas Incobrables Castigadas”.</w:t>
            </w:r>
          </w:p>
          <w:p w14:paraId="40FE14D7"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color w:val="000000"/>
                <w:sz w:val="20"/>
                <w:szCs w:val="20"/>
                <w:lang w:val="es-PE"/>
              </w:rPr>
              <w:t>Se elimina la subcuenta 8109.25 “Créditos castigados que vienen siendo amortizados”, así como su descripción. Se otorga un plazo de adecuación hasta el 30 de junio de 2023.</w:t>
            </w:r>
          </w:p>
          <w:p w14:paraId="40FE14D8"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snapToGrid w:val="0"/>
                <w:sz w:val="20"/>
                <w:szCs w:val="20"/>
              </w:rPr>
              <w:t>Se incorpora la subcuenta 8109.51 “Créditos bajo esquema de financiamiento del FAE - TEXCO”, junto con sus respectivas cuentas y subcuentas analíticas.</w:t>
            </w:r>
          </w:p>
          <w:p w14:paraId="40FE14D9"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snapToGrid w:val="0"/>
                <w:sz w:val="20"/>
                <w:szCs w:val="20"/>
              </w:rPr>
              <w:t>Se incorpora la cuenta analítica 8404.05.22 “Garantía del FAE – TEXCO”.</w:t>
            </w:r>
          </w:p>
          <w:p w14:paraId="40FE14DA" w14:textId="77777777" w:rsidR="008C20EB" w:rsidRDefault="008C20EB">
            <w:pPr>
              <w:pStyle w:val="TableParagraph"/>
              <w:shd w:val="clear" w:color="auto" w:fill="FFFFFF" w:themeFill="background1"/>
              <w:ind w:left="67" w:right="61"/>
              <w:jc w:val="both"/>
              <w:rPr>
                <w:color w:val="000000"/>
                <w:sz w:val="20"/>
                <w:szCs w:val="20"/>
                <w:lang w:val="es-PE"/>
              </w:rPr>
            </w:pPr>
          </w:p>
          <w:p w14:paraId="40FE14DB"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lastRenderedPageBreak/>
              <w:t>Adicionalmente</w:t>
            </w:r>
            <w:r>
              <w:rPr>
                <w:color w:val="000000"/>
                <w:sz w:val="20"/>
                <w:szCs w:val="20"/>
                <w:lang w:val="es-PE"/>
              </w:rPr>
              <w:t>, se realizan las siguientes modificaciones e</w:t>
            </w:r>
            <w:r>
              <w:rPr>
                <w:rFonts w:cs="Arial"/>
                <w:sz w:val="20"/>
                <w:szCs w:val="20"/>
              </w:rPr>
              <w:t>n el Capítulo V:</w:t>
            </w:r>
          </w:p>
          <w:p w14:paraId="40FE14DC" w14:textId="77777777" w:rsidR="008C20EB" w:rsidRDefault="008C20EB">
            <w:pPr>
              <w:pStyle w:val="TableParagraph"/>
              <w:shd w:val="clear" w:color="auto" w:fill="FFFFFF" w:themeFill="background1"/>
              <w:ind w:left="67" w:right="61"/>
              <w:jc w:val="both"/>
              <w:rPr>
                <w:color w:val="000000"/>
                <w:sz w:val="20"/>
                <w:szCs w:val="20"/>
                <w:lang w:val="es-PE"/>
              </w:rPr>
            </w:pPr>
          </w:p>
          <w:p w14:paraId="40FE14DD"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las notas metodológicas del Anexo N° 5 “Informe de Clasificación de Deudores y Provisiones”</w:t>
            </w:r>
          </w:p>
          <w:p w14:paraId="40FE14DE"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color w:val="000000"/>
                <w:sz w:val="20"/>
                <w:szCs w:val="20"/>
                <w:lang w:val="es-PE"/>
              </w:rPr>
              <w:t xml:space="preserve">Se modifica </w:t>
            </w:r>
            <w:r>
              <w:rPr>
                <w:sz w:val="20"/>
                <w:szCs w:val="20"/>
              </w:rPr>
              <w:t xml:space="preserve">el Anexo N° 6 “Reporte Crediticio de Deudores - RCD” incorporando en el Catálogo de Cuentas del RCD las subcuentas analíticas de la subcuenta 8109.51 “Créditos bajo esquema de financiamiento del FAE – TEXCO” y la cuenta analítica 8404.05.22 “Garantía del FAE –TEXCO”. Así como también, se elimina la subcuenta 8109.25 “Créditos castigados que vienen siendo amortizados”. Por este último, se otorga un plazo de adecuación hasta el 30 de junio de 2023. </w:t>
            </w:r>
          </w:p>
          <w:p w14:paraId="40FE14DF" w14:textId="77777777" w:rsidR="008C20EB" w:rsidRDefault="008D25BE">
            <w:pPr>
              <w:pStyle w:val="TableParagraph"/>
              <w:numPr>
                <w:ilvl w:val="0"/>
                <w:numId w:val="20"/>
              </w:numPr>
              <w:shd w:val="clear" w:color="auto" w:fill="FFFFFF" w:themeFill="background1"/>
              <w:ind w:right="61"/>
              <w:jc w:val="both"/>
              <w:rPr>
                <w:color w:val="000000"/>
                <w:sz w:val="20"/>
                <w:szCs w:val="20"/>
                <w:lang w:val="es-PE"/>
              </w:rPr>
            </w:pPr>
            <w:r>
              <w:rPr>
                <w:sz w:val="20"/>
                <w:szCs w:val="20"/>
              </w:rPr>
              <w:t>Se modifica el Anexo N° 13 “Depósito según escala de montos”.</w:t>
            </w:r>
          </w:p>
          <w:p w14:paraId="40FE14E0" w14:textId="77777777" w:rsidR="008C20EB" w:rsidRDefault="008D25BE">
            <w:pPr>
              <w:pStyle w:val="TableParagraph"/>
              <w:numPr>
                <w:ilvl w:val="0"/>
                <w:numId w:val="20"/>
              </w:numPr>
              <w:shd w:val="clear" w:color="auto" w:fill="FFFFFF" w:themeFill="background1"/>
              <w:ind w:right="61"/>
              <w:jc w:val="both"/>
              <w:rPr>
                <w:bCs/>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las notas metodológicas del Reporte N° 2-A1 “Activos y Contingentes Ponderados por Riesgo de Crédito - Método Estándar".</w:t>
            </w:r>
          </w:p>
          <w:p w14:paraId="40FE14E1" w14:textId="77777777" w:rsidR="008C20EB" w:rsidRDefault="008D25BE">
            <w:pPr>
              <w:pStyle w:val="TableParagraph"/>
              <w:numPr>
                <w:ilvl w:val="0"/>
                <w:numId w:val="20"/>
              </w:numPr>
              <w:shd w:val="clear" w:color="auto" w:fill="FFFFFF" w:themeFill="background1"/>
              <w:ind w:right="61"/>
              <w:jc w:val="both"/>
              <w:rPr>
                <w:bCs/>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el Reporte N° 25 “Información de transferencias de cartera crediticia, de castigos y condonaciones de créditos”. Se otorga un plazo de adecuación hasta el 30 de junio de 2023.</w:t>
            </w:r>
          </w:p>
          <w:p w14:paraId="40FE14E2" w14:textId="77777777" w:rsidR="008C20EB" w:rsidRDefault="008C20EB">
            <w:pPr>
              <w:pStyle w:val="TableParagraph"/>
              <w:shd w:val="clear" w:color="auto" w:fill="FFFFFF" w:themeFill="background1"/>
              <w:ind w:left="795" w:right="61"/>
              <w:jc w:val="both"/>
              <w:rPr>
                <w:color w:val="000000"/>
                <w:sz w:val="20"/>
                <w:szCs w:val="20"/>
                <w:lang w:val="es-PE"/>
              </w:rPr>
            </w:pPr>
          </w:p>
        </w:tc>
      </w:tr>
      <w:tr w:rsidR="008C20EB" w14:paraId="40FE14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9"/>
        </w:trPr>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4"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Resolución SBS N° 02800-2022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5"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13.09.2022</w:t>
            </w:r>
            <w:r>
              <w:rPr>
                <w:b/>
                <w:sz w:val="20"/>
                <w:szCs w:val="20"/>
              </w:rPr>
              <w:tab/>
              <w:t>/</w:t>
            </w:r>
          </w:p>
          <w:p w14:paraId="40FE14E6"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16.09.2022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7" w14:textId="77777777" w:rsidR="008C20EB" w:rsidRDefault="008D25BE">
            <w:pPr>
              <w:pStyle w:val="TableParagraph"/>
              <w:shd w:val="clear" w:color="auto" w:fill="FFFFFF" w:themeFill="background1"/>
              <w:ind w:left="67" w:right="61"/>
              <w:jc w:val="both"/>
              <w:rPr>
                <w:rFonts w:cs="Arial"/>
                <w:sz w:val="20"/>
                <w:szCs w:val="20"/>
              </w:rPr>
            </w:pPr>
            <w:r>
              <w:rPr>
                <w:rFonts w:cs="Arial"/>
                <w:sz w:val="20"/>
                <w:szCs w:val="20"/>
              </w:rPr>
              <w:t>Se modifica el Capítulo V “Información Complementaria” del Manual de Contabilidad para las Empresas del Sistema Financiero. Dichas modificaciones son vigentes a partir de la información correspondiente a partir del 23 de setiembre del 2022.</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8" w14:textId="77777777" w:rsidR="008C20EB" w:rsidRDefault="008D25BE">
            <w:pPr>
              <w:pStyle w:val="TableParagraph"/>
              <w:shd w:val="clear" w:color="auto" w:fill="FFFFFF" w:themeFill="background1"/>
              <w:spacing w:after="240"/>
              <w:ind w:left="67" w:right="61"/>
              <w:jc w:val="both"/>
              <w:rPr>
                <w:snapToGrid w:val="0"/>
                <w:sz w:val="20"/>
                <w:szCs w:val="20"/>
              </w:rPr>
            </w:pPr>
            <w:r>
              <w:rPr>
                <w:color w:val="000000"/>
                <w:sz w:val="20"/>
                <w:szCs w:val="20"/>
                <w:lang w:val="es-PE"/>
              </w:rPr>
              <w:t>En el Capítulo V:</w:t>
            </w:r>
          </w:p>
          <w:p w14:paraId="40FE14E9" w14:textId="77777777" w:rsidR="008C20EB" w:rsidRDefault="008D25BE">
            <w:pPr>
              <w:pStyle w:val="TableParagraph"/>
              <w:numPr>
                <w:ilvl w:val="0"/>
                <w:numId w:val="30"/>
              </w:numPr>
              <w:shd w:val="clear" w:color="auto" w:fill="FFFFFF" w:themeFill="background1"/>
              <w:ind w:right="61"/>
              <w:jc w:val="both"/>
              <w:rPr>
                <w:color w:val="000000"/>
                <w:sz w:val="20"/>
                <w:szCs w:val="20"/>
                <w:lang w:val="es-PE"/>
              </w:rPr>
            </w:pPr>
            <w:r>
              <w:rPr>
                <w:color w:val="000000"/>
                <w:sz w:val="20"/>
                <w:szCs w:val="20"/>
                <w:lang w:val="es-PE"/>
              </w:rPr>
              <w:t>Se sustituye la Sección IX. Posición Contable Neta en Productos Financieros Derivados (Moneda Extranjera / PEN) del formato del Anexo N° 15 – A “Reporte de Tesorería y Posición Diaria de Liquidez”.</w:t>
            </w:r>
          </w:p>
          <w:p w14:paraId="40FE14EA" w14:textId="77777777" w:rsidR="008C20EB" w:rsidRDefault="008D25BE">
            <w:pPr>
              <w:pStyle w:val="TableParagraph"/>
              <w:numPr>
                <w:ilvl w:val="0"/>
                <w:numId w:val="30"/>
              </w:numPr>
              <w:shd w:val="clear" w:color="auto" w:fill="FFFFFF" w:themeFill="background1"/>
              <w:ind w:right="61"/>
              <w:jc w:val="both"/>
              <w:rPr>
                <w:snapToGrid w:val="0"/>
                <w:sz w:val="20"/>
                <w:szCs w:val="20"/>
              </w:rPr>
            </w:pPr>
            <w:r>
              <w:rPr>
                <w:snapToGrid w:val="0"/>
                <w:sz w:val="20"/>
                <w:szCs w:val="20"/>
              </w:rPr>
              <w:t>Se incorpora la nota metodológica 35 del Anexo N° 15 – A “Reporte de Tesorería y Posición Diaria de Liquidez”.</w:t>
            </w:r>
          </w:p>
        </w:tc>
      </w:tr>
      <w:tr w:rsidR="008C20EB" w14:paraId="40FE14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7"/>
        </w:trPr>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C" w14:textId="77777777" w:rsidR="008C20EB" w:rsidRDefault="008D25BE">
            <w:pPr>
              <w:pStyle w:val="TableParagraph"/>
              <w:shd w:val="clear" w:color="auto" w:fill="FFFFFF" w:themeFill="background1"/>
              <w:ind w:left="71" w:right="42"/>
              <w:jc w:val="both"/>
              <w:rPr>
                <w:b/>
                <w:sz w:val="20"/>
                <w:szCs w:val="20"/>
              </w:rPr>
            </w:pPr>
            <w:r>
              <w:rPr>
                <w:b/>
                <w:sz w:val="20"/>
                <w:szCs w:val="20"/>
              </w:rPr>
              <w:t>Resolución SBS N° 02596-2022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D"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19.08.2022</w:t>
            </w:r>
            <w:r>
              <w:rPr>
                <w:b/>
                <w:sz w:val="20"/>
                <w:szCs w:val="20"/>
              </w:rPr>
              <w:tab/>
              <w:t>/</w:t>
            </w:r>
          </w:p>
          <w:p w14:paraId="40FE14EE"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Pub. 22.08.2022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EF" w14:textId="77777777" w:rsidR="008C20EB" w:rsidRDefault="008D25BE">
            <w:pPr>
              <w:pStyle w:val="TableParagraph"/>
              <w:shd w:val="clear" w:color="auto" w:fill="FFFFFF" w:themeFill="background1"/>
              <w:ind w:left="67" w:right="61"/>
              <w:jc w:val="both"/>
              <w:rPr>
                <w:color w:val="000000"/>
                <w:sz w:val="20"/>
                <w:szCs w:val="20"/>
                <w:lang w:val="es-PE"/>
              </w:rPr>
            </w:pPr>
            <w:r>
              <w:rPr>
                <w:rFonts w:cs="Arial"/>
                <w:sz w:val="20"/>
                <w:szCs w:val="20"/>
              </w:rPr>
              <w:t>Se modifica el Capítulo V “Información Complementaria” del Manual de Contabilidad para las Empresas del Sistema Financiero. Dicha modificación es vigente a partir de la información correspondiente al mes de agosto 2022.</w:t>
            </w: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0" w14:textId="77777777" w:rsidR="008C20EB" w:rsidRDefault="008D25BE">
            <w:pPr>
              <w:pStyle w:val="TableParagraph"/>
              <w:shd w:val="clear" w:color="auto" w:fill="FFFFFF" w:themeFill="background1"/>
              <w:spacing w:after="240"/>
              <w:ind w:left="68" w:right="62"/>
              <w:jc w:val="both"/>
              <w:rPr>
                <w:color w:val="000000"/>
                <w:sz w:val="20"/>
                <w:szCs w:val="20"/>
                <w:lang w:val="es-PE"/>
              </w:rPr>
            </w:pPr>
            <w:r>
              <w:rPr>
                <w:color w:val="000000"/>
                <w:sz w:val="20"/>
                <w:szCs w:val="20"/>
                <w:lang w:val="es-PE"/>
              </w:rPr>
              <w:t xml:space="preserve">En el Capítulo V se modifica el Reporte N° 36 “Detalle por Operación de la Cartera de Créditos”. </w:t>
            </w:r>
          </w:p>
        </w:tc>
      </w:tr>
      <w:tr w:rsidR="008C20EB" w14:paraId="40FE14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2"/>
        </w:trPr>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2" w14:textId="77777777" w:rsidR="008C20EB" w:rsidRDefault="008D25BE">
            <w:pPr>
              <w:pStyle w:val="TableParagraph"/>
              <w:shd w:val="clear" w:color="auto" w:fill="FFFFFF" w:themeFill="background1"/>
              <w:ind w:left="71" w:right="42"/>
              <w:jc w:val="both"/>
              <w:rPr>
                <w:b/>
                <w:sz w:val="20"/>
                <w:szCs w:val="20"/>
              </w:rPr>
            </w:pPr>
            <w:r>
              <w:rPr>
                <w:b/>
                <w:sz w:val="20"/>
                <w:szCs w:val="20"/>
              </w:rPr>
              <w:lastRenderedPageBreak/>
              <w:t>Oficio Múltiple N° 34819-2022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3" w14:textId="77777777" w:rsidR="008C20EB" w:rsidRDefault="008D25BE">
            <w:pPr>
              <w:pStyle w:val="TableParagraph"/>
              <w:shd w:val="clear" w:color="auto" w:fill="FFFFFF" w:themeFill="background1"/>
              <w:tabs>
                <w:tab w:val="left" w:pos="1606"/>
              </w:tabs>
              <w:spacing w:line="243" w:lineRule="exact"/>
              <w:jc w:val="both"/>
              <w:rPr>
                <w:b/>
                <w:sz w:val="20"/>
                <w:szCs w:val="20"/>
              </w:rPr>
            </w:pPr>
            <w:r>
              <w:rPr>
                <w:b/>
                <w:sz w:val="20"/>
                <w:szCs w:val="20"/>
              </w:rPr>
              <w:t>Pr. 18.08.2022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4" w14:textId="77777777" w:rsidR="008C20EB" w:rsidRDefault="008D25BE">
            <w:pPr>
              <w:pStyle w:val="TableParagraph"/>
              <w:shd w:val="clear" w:color="auto" w:fill="FFFFFF" w:themeFill="background1"/>
              <w:ind w:left="67" w:right="61"/>
              <w:jc w:val="both"/>
              <w:rPr>
                <w:color w:val="000000"/>
                <w:sz w:val="20"/>
                <w:szCs w:val="20"/>
                <w:lang w:val="es-PE"/>
              </w:rPr>
            </w:pPr>
            <w:r>
              <w:rPr>
                <w:color w:val="000000"/>
                <w:sz w:val="20"/>
                <w:szCs w:val="20"/>
                <w:lang w:val="es-PE"/>
              </w:rPr>
              <w:t xml:space="preserve">Se modifica el Capítulo I “Disposiciones Generales” del Manual de Contabilidad para las Empresas del Sistema Financiero. Dicha disposición es vigente a partir de la información     correspondiente de agosto 2022. </w:t>
            </w:r>
          </w:p>
          <w:p w14:paraId="40FE14F5" w14:textId="77777777" w:rsidR="008C20EB" w:rsidRDefault="008C20EB">
            <w:pPr>
              <w:pStyle w:val="TableParagraph"/>
              <w:shd w:val="clear" w:color="auto" w:fill="FFFFFF" w:themeFill="background1"/>
              <w:ind w:left="67" w:right="61"/>
              <w:jc w:val="both"/>
              <w:rPr>
                <w:rFonts w:cs="Arial"/>
                <w:sz w:val="20"/>
                <w:szCs w:val="20"/>
              </w:rPr>
            </w:pPr>
          </w:p>
        </w:tc>
        <w:tc>
          <w:tcPr>
            <w:tcW w:w="8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14F6" w14:textId="77777777" w:rsidR="008C20EB" w:rsidRDefault="008D25BE">
            <w:pPr>
              <w:pStyle w:val="TableParagraph"/>
              <w:shd w:val="clear" w:color="auto" w:fill="FFFFFF" w:themeFill="background1"/>
              <w:spacing w:after="240"/>
              <w:ind w:left="68" w:right="62"/>
              <w:jc w:val="both"/>
              <w:rPr>
                <w:color w:val="000000"/>
                <w:sz w:val="20"/>
                <w:szCs w:val="20"/>
                <w:lang w:val="es-PE"/>
              </w:rPr>
            </w:pPr>
            <w:r>
              <w:rPr>
                <w:color w:val="000000"/>
                <w:sz w:val="20"/>
                <w:szCs w:val="20"/>
                <w:lang w:val="es-PE"/>
              </w:rPr>
              <w:t xml:space="preserve">Se incorpora el código y denominación de la Tabla de Empresas, señalada en el acápite J del Capítulo I “Disposiciones Generales” del Manual de Contabilidad para las Empresas del Sistema Financiero: </w:t>
            </w:r>
          </w:p>
          <w:p w14:paraId="40FE14F7" w14:textId="77777777" w:rsidR="008C20EB" w:rsidRDefault="008D25BE">
            <w:pPr>
              <w:pStyle w:val="TableParagraph"/>
              <w:shd w:val="clear" w:color="auto" w:fill="FFFFFF" w:themeFill="background1"/>
              <w:ind w:left="68" w:right="62"/>
              <w:jc w:val="both"/>
              <w:rPr>
                <w:b/>
                <w:bCs/>
                <w:sz w:val="20"/>
                <w:szCs w:val="20"/>
              </w:rPr>
            </w:pPr>
            <w:r>
              <w:rPr>
                <w:b/>
                <w:bCs/>
                <w:sz w:val="20"/>
                <w:szCs w:val="20"/>
              </w:rPr>
              <w:t xml:space="preserve">Código: </w:t>
            </w:r>
            <w:r>
              <w:rPr>
                <w:sz w:val="20"/>
                <w:szCs w:val="20"/>
              </w:rPr>
              <w:t>23</w:t>
            </w:r>
          </w:p>
          <w:p w14:paraId="40FE14F8"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b/>
                <w:bCs/>
                <w:sz w:val="20"/>
                <w:szCs w:val="20"/>
              </w:rPr>
              <w:t xml:space="preserve">EMPRESA DE CRÉDITOS 05: </w:t>
            </w:r>
            <w:r>
              <w:rPr>
                <w:color w:val="000000"/>
                <w:sz w:val="20"/>
                <w:szCs w:val="20"/>
                <w:lang w:val="es-PE"/>
              </w:rPr>
              <w:t>Volvo Finance Empresa de Créditos S.A</w:t>
            </w:r>
          </w:p>
          <w:p w14:paraId="40FE14F9" w14:textId="77777777" w:rsidR="008C20EB" w:rsidRDefault="008D25BE">
            <w:pPr>
              <w:pStyle w:val="TableParagraph"/>
              <w:shd w:val="clear" w:color="auto" w:fill="FFFFFF" w:themeFill="background1"/>
              <w:spacing w:after="240"/>
              <w:ind w:left="68" w:right="62"/>
              <w:jc w:val="both"/>
              <w:rPr>
                <w:color w:val="000000"/>
                <w:sz w:val="20"/>
                <w:szCs w:val="20"/>
                <w:lang w:val="es-PE"/>
              </w:rPr>
            </w:pPr>
            <w:r>
              <w:rPr>
                <w:color w:val="000000"/>
                <w:sz w:val="20"/>
                <w:szCs w:val="20"/>
                <w:lang w:val="es-PE"/>
              </w:rPr>
              <w:t xml:space="preserve">Se elimina el código y denominación de la Tabla de Empresas, señalada en el acápite J del Capítulo I “Disposiciones Generales” del Manual de Contabilidad para las Empresas del Sistema Financiero: </w:t>
            </w:r>
          </w:p>
          <w:p w14:paraId="40FE14FA" w14:textId="77777777" w:rsidR="008C20EB" w:rsidRDefault="008D25BE">
            <w:pPr>
              <w:pStyle w:val="TableParagraph"/>
              <w:shd w:val="clear" w:color="auto" w:fill="FFFFFF" w:themeFill="background1"/>
              <w:ind w:left="68" w:right="62"/>
              <w:jc w:val="both"/>
              <w:rPr>
                <w:b/>
                <w:bCs/>
                <w:sz w:val="20"/>
                <w:szCs w:val="20"/>
              </w:rPr>
            </w:pPr>
            <w:r>
              <w:rPr>
                <w:b/>
                <w:bCs/>
                <w:sz w:val="20"/>
                <w:szCs w:val="20"/>
              </w:rPr>
              <w:t xml:space="preserve">Código: </w:t>
            </w:r>
            <w:r>
              <w:rPr>
                <w:sz w:val="20"/>
                <w:szCs w:val="20"/>
              </w:rPr>
              <w:t>13</w:t>
            </w:r>
          </w:p>
          <w:p w14:paraId="40FE14FB" w14:textId="77777777" w:rsidR="008C20EB" w:rsidRDefault="008D25BE">
            <w:pPr>
              <w:pStyle w:val="TableParagraph"/>
              <w:shd w:val="clear" w:color="auto" w:fill="FFFFFF" w:themeFill="background1"/>
              <w:spacing w:after="240"/>
              <w:ind w:left="67" w:right="61"/>
              <w:jc w:val="both"/>
              <w:rPr>
                <w:color w:val="000000"/>
                <w:sz w:val="20"/>
                <w:szCs w:val="20"/>
                <w:lang w:val="es-PE"/>
              </w:rPr>
            </w:pPr>
            <w:r>
              <w:rPr>
                <w:b/>
                <w:bCs/>
                <w:sz w:val="20"/>
                <w:szCs w:val="20"/>
              </w:rPr>
              <w:t xml:space="preserve">EMPRESAS DE ARRENDAMIENTO FINANCIERO 07: </w:t>
            </w:r>
            <w:r>
              <w:rPr>
                <w:color w:val="000000"/>
                <w:sz w:val="20"/>
                <w:szCs w:val="20"/>
                <w:lang w:val="es-PE"/>
              </w:rPr>
              <w:t>Volvo Leasing Perú</w:t>
            </w:r>
          </w:p>
        </w:tc>
      </w:tr>
      <w:tr w:rsidR="008C20EB" w14:paraId="40FE15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4"/>
        </w:trPr>
        <w:tc>
          <w:tcPr>
            <w:tcW w:w="1574" w:type="dxa"/>
            <w:tcBorders>
              <w:top w:val="single" w:sz="4" w:space="0" w:color="auto"/>
              <w:left w:val="single" w:sz="4" w:space="0" w:color="auto"/>
              <w:bottom w:val="single" w:sz="4" w:space="0" w:color="auto"/>
              <w:right w:val="single" w:sz="4" w:space="0" w:color="auto"/>
            </w:tcBorders>
          </w:tcPr>
          <w:p w14:paraId="40FE14FD" w14:textId="77777777" w:rsidR="008C20EB" w:rsidRDefault="008D25BE">
            <w:pPr>
              <w:pStyle w:val="TableParagraph"/>
              <w:ind w:left="71" w:right="42"/>
              <w:jc w:val="both"/>
              <w:rPr>
                <w:b/>
                <w:sz w:val="20"/>
                <w:szCs w:val="20"/>
              </w:rPr>
            </w:pPr>
            <w:r>
              <w:rPr>
                <w:b/>
                <w:sz w:val="20"/>
                <w:szCs w:val="20"/>
              </w:rPr>
              <w:t>Resolución SBS N° 02326-2022</w:t>
            </w:r>
          </w:p>
        </w:tc>
        <w:tc>
          <w:tcPr>
            <w:tcW w:w="1560" w:type="dxa"/>
            <w:tcBorders>
              <w:top w:val="single" w:sz="4" w:space="0" w:color="auto"/>
              <w:left w:val="single" w:sz="4" w:space="0" w:color="auto"/>
              <w:bottom w:val="single" w:sz="4" w:space="0" w:color="auto"/>
              <w:right w:val="single" w:sz="4" w:space="0" w:color="auto"/>
            </w:tcBorders>
          </w:tcPr>
          <w:p w14:paraId="40FE14FE"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25.07.2022</w:t>
            </w:r>
            <w:r>
              <w:rPr>
                <w:b/>
                <w:sz w:val="20"/>
                <w:szCs w:val="20"/>
              </w:rPr>
              <w:tab/>
              <w:t>/</w:t>
            </w:r>
          </w:p>
          <w:p w14:paraId="40FE14FF" w14:textId="77777777" w:rsidR="008C20EB" w:rsidRDefault="008D25BE">
            <w:pPr>
              <w:pStyle w:val="TableParagraph"/>
              <w:tabs>
                <w:tab w:val="left" w:pos="1606"/>
              </w:tabs>
              <w:spacing w:line="243" w:lineRule="exact"/>
              <w:jc w:val="both"/>
              <w:rPr>
                <w:b/>
                <w:sz w:val="20"/>
                <w:szCs w:val="20"/>
              </w:rPr>
            </w:pPr>
            <w:r>
              <w:rPr>
                <w:b/>
                <w:sz w:val="20"/>
                <w:szCs w:val="20"/>
              </w:rPr>
              <w:t>Pub. 27.07.2022</w:t>
            </w:r>
          </w:p>
        </w:tc>
        <w:tc>
          <w:tcPr>
            <w:tcW w:w="3935" w:type="dxa"/>
            <w:tcBorders>
              <w:top w:val="single" w:sz="4" w:space="0" w:color="auto"/>
              <w:left w:val="single" w:sz="4" w:space="0" w:color="auto"/>
              <w:bottom w:val="single" w:sz="4" w:space="0" w:color="auto"/>
              <w:right w:val="single" w:sz="4" w:space="0" w:color="auto"/>
            </w:tcBorders>
          </w:tcPr>
          <w:p w14:paraId="40FE1500" w14:textId="77777777" w:rsidR="008C20EB" w:rsidRDefault="008D25BE">
            <w:pPr>
              <w:pStyle w:val="TableParagraph"/>
              <w:ind w:left="67" w:right="61"/>
              <w:jc w:val="both"/>
              <w:rPr>
                <w:rFonts w:cs="Arial"/>
                <w:sz w:val="20"/>
                <w:szCs w:val="20"/>
              </w:rPr>
            </w:pPr>
            <w:r>
              <w:rPr>
                <w:rFonts w:cs="Arial"/>
                <w:sz w:val="20"/>
                <w:szCs w:val="20"/>
              </w:rPr>
              <w:t>Se modifica el Capítulo V “Información Complementaria” del Manual de Contabilidad para las Empresas del Sistema Financiero. Dichas modificaciones son vigentes a partir de la información correspondiente al mes de diciembre 2022.</w:t>
            </w:r>
          </w:p>
        </w:tc>
        <w:tc>
          <w:tcPr>
            <w:tcW w:w="8162" w:type="dxa"/>
            <w:tcBorders>
              <w:top w:val="single" w:sz="4" w:space="0" w:color="auto"/>
              <w:left w:val="single" w:sz="4" w:space="0" w:color="auto"/>
              <w:bottom w:val="single" w:sz="4" w:space="0" w:color="auto"/>
              <w:right w:val="single" w:sz="4" w:space="0" w:color="auto"/>
            </w:tcBorders>
          </w:tcPr>
          <w:p w14:paraId="40FE1501"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 xml:space="preserve">En el Capítulo V se modifica el Reporte N° 30 “Cajeros Automáticos, Establecimientos de Operaciones Básicas y Cajeros Corresponsales” y el Reporte N° 32-B “Reporte Mensual de Dinero electrónico”. </w:t>
            </w:r>
          </w:p>
        </w:tc>
      </w:tr>
      <w:tr w:rsidR="008C20EB" w14:paraId="40FE15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3"/>
        </w:trPr>
        <w:tc>
          <w:tcPr>
            <w:tcW w:w="1574" w:type="dxa"/>
            <w:tcBorders>
              <w:top w:val="single" w:sz="4" w:space="0" w:color="auto"/>
              <w:left w:val="single" w:sz="4" w:space="0" w:color="auto"/>
              <w:bottom w:val="single" w:sz="4" w:space="0" w:color="auto"/>
              <w:right w:val="single" w:sz="4" w:space="0" w:color="auto"/>
            </w:tcBorders>
          </w:tcPr>
          <w:p w14:paraId="40FE1503" w14:textId="77777777" w:rsidR="008C20EB" w:rsidRDefault="008D25BE">
            <w:pPr>
              <w:pStyle w:val="TableParagraph"/>
              <w:ind w:left="71" w:right="42"/>
              <w:jc w:val="both"/>
              <w:rPr>
                <w:b/>
                <w:sz w:val="20"/>
                <w:szCs w:val="20"/>
              </w:rPr>
            </w:pPr>
            <w:r>
              <w:rPr>
                <w:b/>
                <w:sz w:val="20"/>
                <w:szCs w:val="20"/>
              </w:rPr>
              <w:lastRenderedPageBreak/>
              <w:t>Resolución SBS N° 02165-2022</w:t>
            </w:r>
          </w:p>
        </w:tc>
        <w:tc>
          <w:tcPr>
            <w:tcW w:w="1560" w:type="dxa"/>
            <w:tcBorders>
              <w:top w:val="single" w:sz="4" w:space="0" w:color="auto"/>
              <w:left w:val="single" w:sz="4" w:space="0" w:color="auto"/>
              <w:bottom w:val="single" w:sz="4" w:space="0" w:color="auto"/>
              <w:right w:val="single" w:sz="4" w:space="0" w:color="auto"/>
            </w:tcBorders>
          </w:tcPr>
          <w:p w14:paraId="40FE1504"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11.07.2022</w:t>
            </w:r>
            <w:r>
              <w:rPr>
                <w:b/>
                <w:sz w:val="20"/>
                <w:szCs w:val="20"/>
              </w:rPr>
              <w:tab/>
              <w:t>/</w:t>
            </w:r>
          </w:p>
          <w:p w14:paraId="40FE1505" w14:textId="77777777" w:rsidR="008C20EB" w:rsidRDefault="008D25BE">
            <w:pPr>
              <w:pStyle w:val="TableParagraph"/>
              <w:tabs>
                <w:tab w:val="left" w:pos="1606"/>
              </w:tabs>
              <w:spacing w:line="243" w:lineRule="exact"/>
              <w:jc w:val="both"/>
              <w:rPr>
                <w:b/>
                <w:sz w:val="20"/>
                <w:szCs w:val="20"/>
              </w:rPr>
            </w:pPr>
            <w:r>
              <w:rPr>
                <w:b/>
                <w:sz w:val="20"/>
                <w:szCs w:val="20"/>
              </w:rPr>
              <w:t>Pub. 12.07.2022</w:t>
            </w:r>
          </w:p>
        </w:tc>
        <w:tc>
          <w:tcPr>
            <w:tcW w:w="3935" w:type="dxa"/>
            <w:tcBorders>
              <w:top w:val="single" w:sz="4" w:space="0" w:color="auto"/>
              <w:left w:val="single" w:sz="4" w:space="0" w:color="auto"/>
              <w:bottom w:val="single" w:sz="4" w:space="0" w:color="auto"/>
              <w:right w:val="single" w:sz="4" w:space="0" w:color="auto"/>
            </w:tcBorders>
          </w:tcPr>
          <w:p w14:paraId="40FE1506" w14:textId="77777777" w:rsidR="008C20EB" w:rsidRDefault="008D25BE">
            <w:pPr>
              <w:pStyle w:val="TableParagraph"/>
              <w:ind w:left="67" w:right="61"/>
              <w:jc w:val="both"/>
              <w:rPr>
                <w:sz w:val="20"/>
                <w:szCs w:val="20"/>
              </w:rPr>
            </w:pPr>
            <w:r>
              <w:rPr>
                <w:rFonts w:cs="Arial"/>
                <w:sz w:val="20"/>
                <w:szCs w:val="20"/>
              </w:rPr>
              <w:t>Se realizan modificaciones a los Capítulos III “Catálogo de Cuentas”, IV “Descripción y Dinámica de Cuentas” y V “Información Complementaria” del Manual de Contabilidad para las Empresas del Sistema Financiero. Dichas modificaciones son vigentes a partir de la información correspondiente al mes de julio 2022.</w:t>
            </w:r>
          </w:p>
        </w:tc>
        <w:tc>
          <w:tcPr>
            <w:tcW w:w="8162" w:type="dxa"/>
            <w:tcBorders>
              <w:top w:val="single" w:sz="4" w:space="0" w:color="auto"/>
              <w:left w:val="single" w:sz="4" w:space="0" w:color="auto"/>
              <w:bottom w:val="single" w:sz="4" w:space="0" w:color="auto"/>
              <w:right w:val="single" w:sz="4" w:space="0" w:color="auto"/>
            </w:tcBorders>
          </w:tcPr>
          <w:p w14:paraId="40FE1507" w14:textId="77777777" w:rsidR="008C20EB" w:rsidRDefault="008D25BE">
            <w:pPr>
              <w:pStyle w:val="TableParagraph"/>
              <w:spacing w:after="240"/>
              <w:ind w:left="67" w:right="61"/>
              <w:jc w:val="both"/>
              <w:rPr>
                <w:snapToGrid w:val="0"/>
                <w:sz w:val="20"/>
                <w:szCs w:val="20"/>
              </w:rPr>
            </w:pPr>
            <w:r>
              <w:rPr>
                <w:color w:val="000000"/>
                <w:sz w:val="20"/>
                <w:szCs w:val="20"/>
                <w:lang w:val="es-PE"/>
              </w:rPr>
              <w:t>En los Capítulo III y IV:</w:t>
            </w:r>
          </w:p>
          <w:p w14:paraId="40FE150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sustituye la descripción de la cuenta 8108 “Créditos que participan en el programa Reactiva Perú”.</w:t>
            </w:r>
          </w:p>
          <w:p w14:paraId="40FE1509"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t>Se incorporan la subcuenta 8108.12 “Créditos reprogramados – DU N° 011-2022”, junto con sus respectivas cuentas y subcuentas analíticas.</w:t>
            </w:r>
          </w:p>
          <w:p w14:paraId="40FE150A"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t>Se incorporan la cuenta analítica 8404.05.21 “Garantía otorgada por el Gobierno Nacional – Créditos Reprogramados Programa Reactiva Perú – DU N° 011-2022”.</w:t>
            </w:r>
          </w:p>
          <w:p w14:paraId="40FE150B" w14:textId="77777777" w:rsidR="008C20EB" w:rsidRDefault="008C20EB">
            <w:pPr>
              <w:pStyle w:val="TableParagraph"/>
              <w:ind w:left="67" w:right="61"/>
              <w:jc w:val="both"/>
              <w:rPr>
                <w:color w:val="000000"/>
                <w:sz w:val="20"/>
                <w:szCs w:val="20"/>
                <w:lang w:val="es-PE"/>
              </w:rPr>
            </w:pPr>
          </w:p>
          <w:p w14:paraId="40FE150C" w14:textId="77777777" w:rsidR="008C20EB" w:rsidRDefault="008D25BE">
            <w:pPr>
              <w:pStyle w:val="TableParagraph"/>
              <w:ind w:left="67" w:right="61"/>
              <w:jc w:val="both"/>
              <w:rPr>
                <w:rFonts w:cs="Arial"/>
                <w:sz w:val="20"/>
                <w:szCs w:val="20"/>
              </w:rPr>
            </w:pPr>
            <w:r>
              <w:rPr>
                <w:rFonts w:cs="Arial"/>
                <w:sz w:val="20"/>
                <w:szCs w:val="20"/>
              </w:rPr>
              <w:t>Adicionalmente</w:t>
            </w:r>
            <w:r>
              <w:rPr>
                <w:color w:val="000000"/>
                <w:sz w:val="20"/>
                <w:szCs w:val="20"/>
                <w:lang w:val="es-PE"/>
              </w:rPr>
              <w:t>, se realizan las siguientes modificaciones e</w:t>
            </w:r>
            <w:r>
              <w:rPr>
                <w:rFonts w:cs="Arial"/>
                <w:sz w:val="20"/>
                <w:szCs w:val="20"/>
              </w:rPr>
              <w:t>n el Capítulo V:</w:t>
            </w:r>
          </w:p>
          <w:p w14:paraId="40FE150D" w14:textId="77777777" w:rsidR="008C20EB" w:rsidRDefault="008C20EB">
            <w:pPr>
              <w:pStyle w:val="TableParagraph"/>
              <w:ind w:left="67" w:right="61"/>
              <w:jc w:val="both"/>
              <w:rPr>
                <w:color w:val="000000"/>
                <w:sz w:val="20"/>
                <w:szCs w:val="20"/>
                <w:lang w:val="es-PE"/>
              </w:rPr>
            </w:pPr>
          </w:p>
          <w:p w14:paraId="40FE150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las notas metodológicas del Anexo N° 5 “Informe de Clasificación de Deudores y Provisiones”.</w:t>
            </w:r>
          </w:p>
          <w:p w14:paraId="40FE150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w:t>
            </w:r>
            <w:r>
              <w:rPr>
                <w:sz w:val="20"/>
                <w:szCs w:val="20"/>
              </w:rPr>
              <w:t>el Anexo N° 6 “Reporte Crediticio de Deudores - RCD” incorporando en el Catálogo de Cuentas del RCD las subcuentas analíticas de la subcuenta 8108.12 “Créditos Reprogramados – DU N° 011-2022” y la cuenta analítica 8404.05.21 “Garantía otorgada por el Gobierno Nacional – Créditos Reprogramados Programa Reactiva Perú – DU N° 011-2022”.</w:t>
            </w:r>
          </w:p>
        </w:tc>
      </w:tr>
      <w:tr w:rsidR="008C20EB" w14:paraId="40FE15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9"/>
        </w:trPr>
        <w:tc>
          <w:tcPr>
            <w:tcW w:w="1574" w:type="dxa"/>
            <w:tcBorders>
              <w:top w:val="single" w:sz="4" w:space="0" w:color="auto"/>
              <w:left w:val="single" w:sz="4" w:space="0" w:color="auto"/>
              <w:bottom w:val="single" w:sz="4" w:space="0" w:color="auto"/>
              <w:right w:val="single" w:sz="4" w:space="0" w:color="auto"/>
            </w:tcBorders>
          </w:tcPr>
          <w:p w14:paraId="40FE1511" w14:textId="77777777" w:rsidR="008C20EB" w:rsidRDefault="008D25BE">
            <w:pPr>
              <w:pStyle w:val="TableParagraph"/>
              <w:ind w:left="71" w:right="42"/>
              <w:jc w:val="both"/>
              <w:rPr>
                <w:b/>
                <w:sz w:val="20"/>
                <w:szCs w:val="20"/>
              </w:rPr>
            </w:pPr>
            <w:r>
              <w:rPr>
                <w:b/>
                <w:sz w:val="20"/>
                <w:szCs w:val="20"/>
              </w:rPr>
              <w:t>Resolución SBS N° 01944-2022</w:t>
            </w:r>
          </w:p>
        </w:tc>
        <w:tc>
          <w:tcPr>
            <w:tcW w:w="1560" w:type="dxa"/>
            <w:tcBorders>
              <w:top w:val="single" w:sz="4" w:space="0" w:color="auto"/>
              <w:left w:val="single" w:sz="4" w:space="0" w:color="auto"/>
              <w:bottom w:val="single" w:sz="4" w:space="0" w:color="auto"/>
              <w:right w:val="single" w:sz="4" w:space="0" w:color="auto"/>
            </w:tcBorders>
          </w:tcPr>
          <w:p w14:paraId="40FE1512"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16.06.2022</w:t>
            </w:r>
            <w:r>
              <w:rPr>
                <w:b/>
                <w:sz w:val="20"/>
                <w:szCs w:val="20"/>
              </w:rPr>
              <w:tab/>
              <w:t>/</w:t>
            </w:r>
          </w:p>
          <w:p w14:paraId="40FE1513" w14:textId="77777777" w:rsidR="008C20EB" w:rsidRDefault="008D25BE">
            <w:pPr>
              <w:pStyle w:val="TableParagraph"/>
              <w:tabs>
                <w:tab w:val="left" w:pos="1606"/>
              </w:tabs>
              <w:spacing w:line="243" w:lineRule="exact"/>
              <w:jc w:val="both"/>
              <w:rPr>
                <w:b/>
                <w:sz w:val="20"/>
                <w:szCs w:val="20"/>
              </w:rPr>
            </w:pPr>
            <w:r>
              <w:rPr>
                <w:b/>
                <w:sz w:val="20"/>
                <w:szCs w:val="20"/>
              </w:rPr>
              <w:t>Pub. 17.06.2022</w:t>
            </w:r>
          </w:p>
        </w:tc>
        <w:tc>
          <w:tcPr>
            <w:tcW w:w="3935" w:type="dxa"/>
            <w:tcBorders>
              <w:top w:val="single" w:sz="4" w:space="0" w:color="auto"/>
              <w:left w:val="single" w:sz="4" w:space="0" w:color="auto"/>
              <w:bottom w:val="single" w:sz="4" w:space="0" w:color="auto"/>
              <w:right w:val="single" w:sz="4" w:space="0" w:color="auto"/>
            </w:tcBorders>
          </w:tcPr>
          <w:p w14:paraId="40FE1514" w14:textId="77777777" w:rsidR="008C20EB" w:rsidRDefault="008D25BE">
            <w:pPr>
              <w:pStyle w:val="TableParagraph"/>
              <w:ind w:left="67" w:right="61"/>
              <w:jc w:val="both"/>
              <w:rPr>
                <w:sz w:val="20"/>
                <w:szCs w:val="20"/>
              </w:rPr>
            </w:pPr>
            <w:r>
              <w:rPr>
                <w:sz w:val="20"/>
                <w:szCs w:val="20"/>
              </w:rPr>
              <w:t xml:space="preserve">Se crea las subcuentas de orden para el control de los créditos reprogramados con recursos de los programas FAE – TURISMO, así como la referida a </w:t>
            </w:r>
            <w:r>
              <w:rPr>
                <w:color w:val="000000"/>
                <w:sz w:val="20"/>
                <w:szCs w:val="20"/>
                <w:lang w:val="es-PE"/>
              </w:rPr>
              <w:t>la garantía por dicho programa. Adicionalmente se modifica el Capítulo V referido a la información complementaria.</w:t>
            </w:r>
          </w:p>
        </w:tc>
        <w:tc>
          <w:tcPr>
            <w:tcW w:w="8162" w:type="dxa"/>
            <w:tcBorders>
              <w:top w:val="single" w:sz="4" w:space="0" w:color="auto"/>
              <w:left w:val="single" w:sz="4" w:space="0" w:color="auto"/>
              <w:bottom w:val="single" w:sz="4" w:space="0" w:color="auto"/>
              <w:right w:val="single" w:sz="4" w:space="0" w:color="auto"/>
            </w:tcBorders>
          </w:tcPr>
          <w:p w14:paraId="40FE1515" w14:textId="77777777" w:rsidR="008C20EB" w:rsidRDefault="008D25BE">
            <w:pPr>
              <w:pStyle w:val="TableParagraph"/>
              <w:ind w:left="68" w:right="61"/>
              <w:jc w:val="both"/>
              <w:rPr>
                <w:color w:val="000000"/>
                <w:sz w:val="20"/>
                <w:szCs w:val="20"/>
                <w:lang w:val="es-PE"/>
              </w:rPr>
            </w:pPr>
            <w:r>
              <w:rPr>
                <w:color w:val="000000"/>
                <w:sz w:val="20"/>
                <w:szCs w:val="20"/>
                <w:lang w:val="es-PE"/>
              </w:rPr>
              <w:t xml:space="preserve">En los Capítulo III y IV se incorporan las </w:t>
            </w:r>
            <w:r>
              <w:rPr>
                <w:sz w:val="20"/>
                <w:szCs w:val="20"/>
              </w:rPr>
              <w:t>subcuentas de orden 8109.50 para el control de los créditos reprogramados bajo los financiamientos FAE-TURISMO. Asimismo, se incorporan cuentas a mayor nivel en la cuenta 8404 de garantías recibidas por créditos, para</w:t>
            </w:r>
            <w:r>
              <w:rPr>
                <w:color w:val="000000"/>
                <w:sz w:val="20"/>
                <w:szCs w:val="20"/>
                <w:lang w:val="es-PE"/>
              </w:rPr>
              <w:t xml:space="preserve"> el registro de las garantías de dicho programa.</w:t>
            </w:r>
          </w:p>
          <w:p w14:paraId="40FE1516" w14:textId="77777777" w:rsidR="008C20EB" w:rsidRDefault="008D25BE">
            <w:pPr>
              <w:pStyle w:val="TableParagraph"/>
              <w:tabs>
                <w:tab w:val="left" w:pos="778"/>
                <w:tab w:val="left" w:pos="779"/>
              </w:tabs>
              <w:spacing w:line="259" w:lineRule="exact"/>
              <w:ind w:left="68"/>
              <w:jc w:val="both"/>
              <w:rPr>
                <w:sz w:val="20"/>
                <w:szCs w:val="20"/>
              </w:rPr>
            </w:pPr>
            <w:r>
              <w:rPr>
                <w:sz w:val="20"/>
                <w:szCs w:val="20"/>
              </w:rPr>
              <w:t xml:space="preserve">. </w:t>
            </w:r>
          </w:p>
          <w:p w14:paraId="40FE1517" w14:textId="77777777" w:rsidR="008C20EB" w:rsidRDefault="008D25BE">
            <w:pPr>
              <w:pStyle w:val="TableParagraph"/>
              <w:ind w:left="68" w:right="61"/>
              <w:jc w:val="both"/>
              <w:rPr>
                <w:sz w:val="20"/>
                <w:szCs w:val="20"/>
              </w:rPr>
            </w:pPr>
            <w:r>
              <w:rPr>
                <w:color w:val="000000"/>
                <w:sz w:val="20"/>
                <w:szCs w:val="20"/>
                <w:lang w:val="es-PE"/>
              </w:rPr>
              <w:t>En el Capítulo V referido a la información complementaria, se modifican las notas del Anexo 5 y Reporte 2-A-1, y se incorpora las cuentas a mayor nivel en el Catálogo del Anexo N° 6 –RCD.</w:t>
            </w:r>
          </w:p>
          <w:p w14:paraId="40FE1518" w14:textId="77777777" w:rsidR="008C20EB" w:rsidRDefault="008D25BE">
            <w:pPr>
              <w:pStyle w:val="TableParagraph"/>
              <w:ind w:left="68" w:right="61"/>
              <w:jc w:val="both"/>
              <w:rPr>
                <w:color w:val="000000"/>
                <w:sz w:val="20"/>
                <w:szCs w:val="20"/>
                <w:lang w:val="es-PE"/>
              </w:rPr>
            </w:pPr>
            <w:r>
              <w:rPr>
                <w:sz w:val="20"/>
                <w:szCs w:val="20"/>
              </w:rPr>
              <w:t xml:space="preserve">La vigencia es a partir de la información de junio 2022. </w:t>
            </w:r>
          </w:p>
        </w:tc>
      </w:tr>
      <w:tr w:rsidR="008C20EB" w14:paraId="40FE1521" w14:textId="77777777">
        <w:trPr>
          <w:trHeight w:val="253"/>
        </w:trPr>
        <w:tc>
          <w:tcPr>
            <w:tcW w:w="1574" w:type="dxa"/>
          </w:tcPr>
          <w:p w14:paraId="40FE151A" w14:textId="77777777" w:rsidR="008C20EB" w:rsidRDefault="008D25BE">
            <w:pPr>
              <w:pStyle w:val="TableParagraph"/>
              <w:ind w:right="42"/>
              <w:jc w:val="both"/>
              <w:rPr>
                <w:b/>
                <w:sz w:val="20"/>
                <w:szCs w:val="20"/>
              </w:rPr>
            </w:pPr>
            <w:r>
              <w:rPr>
                <w:b/>
                <w:sz w:val="20"/>
                <w:szCs w:val="20"/>
              </w:rPr>
              <w:t>Oficio Múltiple N° 08219-2022</w:t>
            </w:r>
          </w:p>
        </w:tc>
        <w:tc>
          <w:tcPr>
            <w:tcW w:w="1560" w:type="dxa"/>
          </w:tcPr>
          <w:p w14:paraId="40FE151B" w14:textId="77777777" w:rsidR="008C20EB" w:rsidRDefault="008D25BE">
            <w:pPr>
              <w:pStyle w:val="TableParagraph"/>
              <w:spacing w:line="234" w:lineRule="exact"/>
              <w:jc w:val="both"/>
              <w:rPr>
                <w:b/>
                <w:sz w:val="20"/>
                <w:szCs w:val="20"/>
              </w:rPr>
            </w:pPr>
            <w:r>
              <w:rPr>
                <w:b/>
                <w:sz w:val="20"/>
                <w:szCs w:val="20"/>
              </w:rPr>
              <w:t>Pr. 25.02.2022</w:t>
            </w:r>
          </w:p>
        </w:tc>
        <w:tc>
          <w:tcPr>
            <w:tcW w:w="3935" w:type="dxa"/>
          </w:tcPr>
          <w:p w14:paraId="40FE151C"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modifica el Capítulo I “Disposiciones Generales” del Manual de Contabilidad para las Empresas del Sistema Financiero. Dicha disposición es vigente a partir de la información     correspondiente   de marzo 2022. </w:t>
            </w:r>
          </w:p>
          <w:p w14:paraId="40FE151D" w14:textId="77777777" w:rsidR="008C20EB" w:rsidRDefault="008C20EB">
            <w:pPr>
              <w:pStyle w:val="TableParagraph"/>
              <w:spacing w:line="234" w:lineRule="exact"/>
              <w:ind w:left="1118"/>
              <w:jc w:val="both"/>
              <w:rPr>
                <w:b/>
                <w:sz w:val="20"/>
                <w:szCs w:val="20"/>
              </w:rPr>
            </w:pPr>
          </w:p>
        </w:tc>
        <w:tc>
          <w:tcPr>
            <w:tcW w:w="8162" w:type="dxa"/>
          </w:tcPr>
          <w:p w14:paraId="40FE151E"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 xml:space="preserve">Se elimina el código y denominación de la Tabla de empresas, señalada en el acápite J del Capítulo I “Disposiciones Generales” del Manual de Contabilidad para las Empresas del Sistema Financiero: </w:t>
            </w:r>
          </w:p>
          <w:p w14:paraId="40FE151F"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19</w:t>
            </w:r>
          </w:p>
          <w:p w14:paraId="40FE1520" w14:textId="77777777" w:rsidR="008C20EB" w:rsidRDefault="008D25BE">
            <w:pPr>
              <w:pStyle w:val="TableParagraph"/>
              <w:spacing w:after="240"/>
              <w:ind w:left="68" w:right="62"/>
              <w:jc w:val="both"/>
              <w:rPr>
                <w:b/>
                <w:bCs/>
                <w:sz w:val="20"/>
                <w:szCs w:val="20"/>
              </w:rPr>
            </w:pPr>
            <w:r>
              <w:rPr>
                <w:b/>
                <w:bCs/>
                <w:sz w:val="20"/>
                <w:szCs w:val="20"/>
              </w:rPr>
              <w:t xml:space="preserve">EDPYMES 05: </w:t>
            </w:r>
            <w:r>
              <w:rPr>
                <w:color w:val="000000"/>
                <w:sz w:val="20"/>
                <w:szCs w:val="20"/>
                <w:lang w:val="es-PE"/>
              </w:rPr>
              <w:t>BBVA Consumer Finance Edpyme</w:t>
            </w:r>
          </w:p>
        </w:tc>
      </w:tr>
      <w:tr w:rsidR="008C20EB" w14:paraId="40FE1531" w14:textId="77777777">
        <w:trPr>
          <w:trHeight w:val="253"/>
        </w:trPr>
        <w:tc>
          <w:tcPr>
            <w:tcW w:w="1574" w:type="dxa"/>
          </w:tcPr>
          <w:p w14:paraId="40FE1522" w14:textId="77777777" w:rsidR="008C20EB" w:rsidRDefault="008D25BE">
            <w:pPr>
              <w:pStyle w:val="TableParagraph"/>
              <w:ind w:right="42"/>
              <w:jc w:val="both"/>
              <w:rPr>
                <w:b/>
                <w:sz w:val="20"/>
                <w:szCs w:val="20"/>
              </w:rPr>
            </w:pPr>
            <w:r>
              <w:rPr>
                <w:b/>
                <w:sz w:val="20"/>
                <w:szCs w:val="20"/>
              </w:rPr>
              <w:t>Resolución</w:t>
            </w:r>
          </w:p>
          <w:p w14:paraId="40FE1523" w14:textId="77777777" w:rsidR="008C20EB" w:rsidRDefault="008D25BE">
            <w:pPr>
              <w:pStyle w:val="TableParagraph"/>
              <w:ind w:right="42"/>
              <w:jc w:val="both"/>
              <w:rPr>
                <w:b/>
                <w:sz w:val="20"/>
                <w:szCs w:val="20"/>
              </w:rPr>
            </w:pPr>
            <w:r>
              <w:rPr>
                <w:b/>
                <w:sz w:val="20"/>
                <w:szCs w:val="20"/>
              </w:rPr>
              <w:t>SBS 03922-2021</w:t>
            </w:r>
          </w:p>
        </w:tc>
        <w:tc>
          <w:tcPr>
            <w:tcW w:w="1560" w:type="dxa"/>
          </w:tcPr>
          <w:p w14:paraId="40FE1524" w14:textId="77777777" w:rsidR="008C20EB" w:rsidRDefault="008D25BE">
            <w:pPr>
              <w:pStyle w:val="TableParagraph"/>
              <w:spacing w:line="234" w:lineRule="exact"/>
              <w:jc w:val="both"/>
              <w:rPr>
                <w:b/>
                <w:sz w:val="20"/>
                <w:szCs w:val="20"/>
              </w:rPr>
            </w:pPr>
            <w:r>
              <w:rPr>
                <w:b/>
                <w:sz w:val="20"/>
                <w:szCs w:val="20"/>
              </w:rPr>
              <w:t>Pr.    23.12.2021    /</w:t>
            </w:r>
          </w:p>
          <w:p w14:paraId="40FE1525" w14:textId="77777777" w:rsidR="008C20EB" w:rsidRDefault="008D25BE">
            <w:pPr>
              <w:pStyle w:val="TableParagraph"/>
              <w:spacing w:line="234" w:lineRule="exact"/>
              <w:jc w:val="both"/>
              <w:rPr>
                <w:b/>
                <w:sz w:val="20"/>
                <w:szCs w:val="20"/>
              </w:rPr>
            </w:pPr>
            <w:r>
              <w:rPr>
                <w:b/>
                <w:sz w:val="20"/>
                <w:szCs w:val="20"/>
              </w:rPr>
              <w:t>Pub. 24.12.2021</w:t>
            </w:r>
          </w:p>
        </w:tc>
        <w:tc>
          <w:tcPr>
            <w:tcW w:w="3935" w:type="dxa"/>
          </w:tcPr>
          <w:p w14:paraId="40FE1526" w14:textId="77777777" w:rsidR="008C20EB" w:rsidRDefault="008D25BE">
            <w:pPr>
              <w:pStyle w:val="TableParagraph"/>
              <w:ind w:left="67" w:right="61"/>
              <w:jc w:val="both"/>
              <w:rPr>
                <w:b/>
                <w:sz w:val="20"/>
                <w:szCs w:val="20"/>
              </w:rPr>
            </w:pPr>
            <w:r>
              <w:rPr>
                <w:rFonts w:cs="Arial"/>
                <w:sz w:val="20"/>
                <w:szCs w:val="20"/>
              </w:rPr>
              <w:t xml:space="preserve">Se realizan modificaciones a los Capítulos III “Catálogo de Cuentas”, IV “Descripción y Dinámica de Cuentas” y V “Información Complementaria” del Manual de Contabilidad para las Empresas del </w:t>
            </w:r>
            <w:r>
              <w:rPr>
                <w:rFonts w:cs="Arial"/>
                <w:sz w:val="20"/>
                <w:szCs w:val="20"/>
              </w:rPr>
              <w:lastRenderedPageBreak/>
              <w:t>Sistema Financiero. Dichas modificaciones son vigentes a partir de la información correspondiente al mes de diciembre 2021.</w:t>
            </w:r>
          </w:p>
        </w:tc>
        <w:tc>
          <w:tcPr>
            <w:tcW w:w="8162" w:type="dxa"/>
          </w:tcPr>
          <w:p w14:paraId="40FE1527" w14:textId="77777777" w:rsidR="008C20EB" w:rsidRDefault="008D25BE">
            <w:pPr>
              <w:pStyle w:val="TableParagraph"/>
              <w:spacing w:after="240"/>
              <w:ind w:left="67" w:right="61"/>
              <w:jc w:val="both"/>
              <w:rPr>
                <w:snapToGrid w:val="0"/>
                <w:sz w:val="20"/>
                <w:szCs w:val="20"/>
              </w:rPr>
            </w:pPr>
            <w:r>
              <w:rPr>
                <w:color w:val="000000"/>
                <w:sz w:val="20"/>
                <w:szCs w:val="20"/>
                <w:lang w:val="es-PE"/>
              </w:rPr>
              <w:lastRenderedPageBreak/>
              <w:t>En los Capítulo III y IV:</w:t>
            </w:r>
          </w:p>
          <w:p w14:paraId="40FE1528"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t>Se incorporan la cuenta analítica 1409.12.07 “Provisiones específicas cartera reprogramada COVID-19, junto con sus respectivas subcuentas analíticas.</w:t>
            </w:r>
          </w:p>
          <w:p w14:paraId="40FE1529"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lastRenderedPageBreak/>
              <w:t>Se incorporan la cuenta analítica 4302.12.07 “Provisiones específicas cartera reprogramada COVID-19”, junto con sus respectivas subcuentas analíticas.</w:t>
            </w:r>
          </w:p>
          <w:p w14:paraId="40FE152A"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 xml:space="preserve">Se modifica </w:t>
            </w:r>
            <w:r>
              <w:rPr>
                <w:sz w:val="20"/>
                <w:szCs w:val="20"/>
              </w:rPr>
              <w:t>Modificar el último párrafo en la descripción de la cuenta 1409 “(Provisiones para créditos)”.</w:t>
            </w:r>
          </w:p>
          <w:p w14:paraId="40FE152B" w14:textId="77777777" w:rsidR="008C20EB" w:rsidRDefault="008D25BE">
            <w:pPr>
              <w:pStyle w:val="TableParagraph"/>
              <w:ind w:left="67" w:right="61"/>
              <w:jc w:val="both"/>
              <w:rPr>
                <w:color w:val="000000"/>
                <w:sz w:val="20"/>
                <w:szCs w:val="20"/>
                <w:lang w:val="es-PE"/>
              </w:rPr>
            </w:pPr>
            <w:r>
              <w:rPr>
                <w:rFonts w:cs="Arial"/>
                <w:sz w:val="20"/>
                <w:szCs w:val="20"/>
              </w:rPr>
              <w:t>Adicionalmente</w:t>
            </w:r>
            <w:r>
              <w:rPr>
                <w:color w:val="000000"/>
                <w:sz w:val="20"/>
                <w:szCs w:val="20"/>
                <w:lang w:val="es-PE"/>
              </w:rPr>
              <w:t>, se realizan las siguientes modificaciones e</w:t>
            </w:r>
            <w:r>
              <w:rPr>
                <w:rFonts w:cs="Arial"/>
                <w:sz w:val="20"/>
                <w:szCs w:val="20"/>
              </w:rPr>
              <w:t>n el Capítulo V:</w:t>
            </w:r>
          </w:p>
          <w:p w14:paraId="40FE152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snapToGrid w:val="0"/>
                <w:sz w:val="20"/>
                <w:szCs w:val="20"/>
              </w:rPr>
              <w:t>modifica</w:t>
            </w:r>
            <w:r>
              <w:rPr>
                <w:bCs/>
                <w:sz w:val="20"/>
                <w:szCs w:val="20"/>
                <w:lang w:val="es-PE"/>
              </w:rPr>
              <w:t xml:space="preserve"> el Anexo N° 5 “Informe de Clasificación de Deudores y Provisiones” y sus notas metodológicas.</w:t>
            </w:r>
          </w:p>
          <w:p w14:paraId="40FE152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sustituye </w:t>
            </w:r>
            <w:r>
              <w:rPr>
                <w:sz w:val="20"/>
                <w:szCs w:val="20"/>
              </w:rPr>
              <w:t>el primer párrafo de la descripción general de las Notas Metodológicas del Anexo N° 5 y sus anexos complementarios.</w:t>
            </w:r>
          </w:p>
          <w:p w14:paraId="40FE152E"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w:t>
            </w:r>
            <w:r>
              <w:rPr>
                <w:sz w:val="20"/>
                <w:szCs w:val="20"/>
              </w:rPr>
              <w:t>el cuarto párrafo en la descripción general de las Notas Metodológicas del Anexo N° 5 y sus anexos complementarios.</w:t>
            </w:r>
          </w:p>
          <w:p w14:paraId="40FE152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incorporan nuevas su</w:t>
            </w:r>
            <w:r>
              <w:rPr>
                <w:bCs/>
                <w:sz w:val="20"/>
                <w:szCs w:val="20"/>
                <w:lang w:val="es-PE"/>
              </w:rPr>
              <w:t>bcuentas analíticas correspondientes a los rubros 14 “Créditos” en el Catálogo de Cuentas del RCD del Anexo N° 6 “Reporte Crediticio de Deudores – RCD”.</w:t>
            </w:r>
          </w:p>
          <w:p w14:paraId="40FE1530" w14:textId="77777777" w:rsidR="008C20EB" w:rsidRDefault="008C20EB">
            <w:pPr>
              <w:pStyle w:val="TableParagraph"/>
              <w:ind w:right="61"/>
              <w:jc w:val="both"/>
              <w:rPr>
                <w:b/>
                <w:sz w:val="20"/>
                <w:szCs w:val="20"/>
              </w:rPr>
            </w:pPr>
          </w:p>
        </w:tc>
      </w:tr>
      <w:tr w:rsidR="008C20EB" w14:paraId="40FE1539" w14:textId="77777777">
        <w:trPr>
          <w:trHeight w:val="253"/>
        </w:trPr>
        <w:tc>
          <w:tcPr>
            <w:tcW w:w="1574" w:type="dxa"/>
          </w:tcPr>
          <w:p w14:paraId="40FE1532" w14:textId="77777777" w:rsidR="008C20EB" w:rsidRDefault="008D25BE">
            <w:pPr>
              <w:pStyle w:val="TableParagraph"/>
              <w:ind w:right="42"/>
              <w:jc w:val="both"/>
              <w:rPr>
                <w:b/>
                <w:sz w:val="20"/>
                <w:szCs w:val="20"/>
              </w:rPr>
            </w:pPr>
            <w:r>
              <w:rPr>
                <w:b/>
                <w:sz w:val="20"/>
                <w:szCs w:val="20"/>
              </w:rPr>
              <w:lastRenderedPageBreak/>
              <w:t>Resolución</w:t>
            </w:r>
          </w:p>
          <w:p w14:paraId="40FE1533" w14:textId="77777777" w:rsidR="008C20EB" w:rsidRDefault="008D25BE">
            <w:pPr>
              <w:pStyle w:val="TableParagraph"/>
              <w:ind w:right="42"/>
              <w:jc w:val="both"/>
              <w:rPr>
                <w:b/>
                <w:sz w:val="20"/>
                <w:szCs w:val="20"/>
              </w:rPr>
            </w:pPr>
            <w:r>
              <w:rPr>
                <w:b/>
                <w:sz w:val="20"/>
                <w:szCs w:val="20"/>
              </w:rPr>
              <w:t>SBS 3921-2021</w:t>
            </w:r>
          </w:p>
        </w:tc>
        <w:tc>
          <w:tcPr>
            <w:tcW w:w="1560" w:type="dxa"/>
          </w:tcPr>
          <w:p w14:paraId="40FE1534" w14:textId="77777777" w:rsidR="008C20EB" w:rsidRDefault="008D25BE">
            <w:pPr>
              <w:pStyle w:val="TableParagraph"/>
              <w:spacing w:line="234" w:lineRule="exact"/>
              <w:jc w:val="both"/>
              <w:rPr>
                <w:b/>
                <w:sz w:val="20"/>
                <w:szCs w:val="20"/>
              </w:rPr>
            </w:pPr>
            <w:r>
              <w:rPr>
                <w:b/>
                <w:sz w:val="20"/>
                <w:szCs w:val="20"/>
              </w:rPr>
              <w:t>Pr.    23.12.2021    /</w:t>
            </w:r>
          </w:p>
          <w:p w14:paraId="40FE1535" w14:textId="77777777" w:rsidR="008C20EB" w:rsidRDefault="008D25BE">
            <w:pPr>
              <w:pStyle w:val="TableParagraph"/>
              <w:spacing w:line="234" w:lineRule="exact"/>
              <w:jc w:val="both"/>
              <w:rPr>
                <w:b/>
                <w:sz w:val="20"/>
                <w:szCs w:val="20"/>
              </w:rPr>
            </w:pPr>
            <w:r>
              <w:rPr>
                <w:b/>
                <w:sz w:val="20"/>
                <w:szCs w:val="20"/>
              </w:rPr>
              <w:t>Pub. 27.12.2021</w:t>
            </w:r>
          </w:p>
        </w:tc>
        <w:tc>
          <w:tcPr>
            <w:tcW w:w="3935" w:type="dxa"/>
          </w:tcPr>
          <w:p w14:paraId="40FE1536" w14:textId="77777777" w:rsidR="008C20EB" w:rsidRDefault="008D25BE">
            <w:pPr>
              <w:pStyle w:val="TableParagraph"/>
              <w:ind w:left="67" w:right="61"/>
              <w:jc w:val="both"/>
              <w:rPr>
                <w:rFonts w:cs="Arial"/>
                <w:sz w:val="20"/>
                <w:szCs w:val="20"/>
              </w:rPr>
            </w:pPr>
            <w:r>
              <w:rPr>
                <w:rFonts w:cs="Arial"/>
                <w:sz w:val="20"/>
                <w:szCs w:val="20"/>
              </w:rPr>
              <w:t>Se realizan modificaciones al Capítulo V “Información Complementaria” del Manual de Contabilidad para las Empresas del Sistema Financiero. Dichas modificaciones son vigentes a partir de la información correspondiente al mes de diciembre 2021.</w:t>
            </w:r>
          </w:p>
        </w:tc>
        <w:tc>
          <w:tcPr>
            <w:tcW w:w="8162" w:type="dxa"/>
          </w:tcPr>
          <w:p w14:paraId="40FE1537" w14:textId="77777777" w:rsidR="008C20EB" w:rsidRDefault="008D25BE">
            <w:pPr>
              <w:pStyle w:val="TableParagraph"/>
              <w:spacing w:after="240"/>
              <w:ind w:left="67" w:right="61"/>
              <w:jc w:val="both"/>
              <w:rPr>
                <w:rFonts w:cs="Arial"/>
                <w:sz w:val="20"/>
                <w:szCs w:val="20"/>
              </w:rPr>
            </w:pPr>
            <w:r>
              <w:rPr>
                <w:rFonts w:cs="Arial"/>
                <w:sz w:val="20"/>
                <w:szCs w:val="20"/>
              </w:rPr>
              <w:t xml:space="preserve">En el </w:t>
            </w:r>
            <w:r>
              <w:rPr>
                <w:color w:val="000000"/>
                <w:sz w:val="20"/>
                <w:szCs w:val="20"/>
                <w:lang w:val="es-PE"/>
              </w:rPr>
              <w:t>Capítulo</w:t>
            </w:r>
            <w:r>
              <w:rPr>
                <w:rFonts w:cs="Arial"/>
                <w:sz w:val="20"/>
                <w:szCs w:val="20"/>
              </w:rPr>
              <w:t xml:space="preserve"> V:</w:t>
            </w:r>
          </w:p>
          <w:p w14:paraId="40FE1538" w14:textId="77777777" w:rsidR="008C20EB" w:rsidRDefault="008D25BE">
            <w:pPr>
              <w:pStyle w:val="TableParagraph"/>
              <w:numPr>
                <w:ilvl w:val="0"/>
                <w:numId w:val="20"/>
              </w:numPr>
              <w:ind w:right="61"/>
              <w:jc w:val="both"/>
              <w:rPr>
                <w:color w:val="000000"/>
                <w:sz w:val="20"/>
                <w:szCs w:val="20"/>
                <w:lang w:val="es-PE"/>
              </w:rPr>
            </w:pPr>
            <w:r>
              <w:rPr>
                <w:rFonts w:cs="Arial"/>
                <w:sz w:val="20"/>
                <w:szCs w:val="20"/>
              </w:rPr>
              <w:t>Se</w:t>
            </w:r>
            <w:r>
              <w:rPr>
                <w:color w:val="000000"/>
                <w:sz w:val="20"/>
                <w:szCs w:val="20"/>
                <w:lang w:val="es-PE"/>
              </w:rPr>
              <w:t xml:space="preserve"> incorpora el Reporte N° 4-E” Información para Calcular el Indicador de Riesgo por Concentración de Mercado”.</w:t>
            </w:r>
          </w:p>
        </w:tc>
      </w:tr>
      <w:tr w:rsidR="008C20EB" w14:paraId="40FE1541" w14:textId="77777777">
        <w:trPr>
          <w:trHeight w:val="253"/>
        </w:trPr>
        <w:tc>
          <w:tcPr>
            <w:tcW w:w="1574" w:type="dxa"/>
          </w:tcPr>
          <w:p w14:paraId="40FE153A" w14:textId="77777777" w:rsidR="008C20EB" w:rsidRDefault="008D25BE">
            <w:pPr>
              <w:pStyle w:val="TableParagraph"/>
              <w:ind w:right="42"/>
              <w:jc w:val="both"/>
              <w:rPr>
                <w:b/>
                <w:sz w:val="20"/>
                <w:szCs w:val="20"/>
              </w:rPr>
            </w:pPr>
            <w:r>
              <w:rPr>
                <w:b/>
                <w:sz w:val="20"/>
                <w:szCs w:val="20"/>
              </w:rPr>
              <w:t>Resolución</w:t>
            </w:r>
          </w:p>
          <w:p w14:paraId="40FE153B" w14:textId="77777777" w:rsidR="008C20EB" w:rsidRDefault="008D25BE">
            <w:pPr>
              <w:pStyle w:val="TableParagraph"/>
              <w:ind w:right="42"/>
              <w:jc w:val="both"/>
              <w:rPr>
                <w:b/>
                <w:sz w:val="20"/>
                <w:szCs w:val="20"/>
              </w:rPr>
            </w:pPr>
            <w:r>
              <w:rPr>
                <w:b/>
                <w:sz w:val="20"/>
                <w:szCs w:val="20"/>
              </w:rPr>
              <w:t>SBS 3791-2021</w:t>
            </w:r>
          </w:p>
        </w:tc>
        <w:tc>
          <w:tcPr>
            <w:tcW w:w="1560" w:type="dxa"/>
          </w:tcPr>
          <w:p w14:paraId="40FE153C" w14:textId="77777777" w:rsidR="008C20EB" w:rsidRDefault="008D25BE">
            <w:pPr>
              <w:pStyle w:val="TableParagraph"/>
              <w:spacing w:line="234" w:lineRule="exact"/>
              <w:jc w:val="both"/>
              <w:rPr>
                <w:b/>
                <w:sz w:val="20"/>
                <w:szCs w:val="20"/>
              </w:rPr>
            </w:pPr>
            <w:r>
              <w:rPr>
                <w:b/>
                <w:sz w:val="20"/>
                <w:szCs w:val="20"/>
              </w:rPr>
              <w:t>Pr.    14.12.2021    /</w:t>
            </w:r>
          </w:p>
          <w:p w14:paraId="40FE153D" w14:textId="77777777" w:rsidR="008C20EB" w:rsidRDefault="008D25BE">
            <w:pPr>
              <w:pStyle w:val="TableParagraph"/>
              <w:spacing w:line="234" w:lineRule="exact"/>
              <w:jc w:val="both"/>
              <w:rPr>
                <w:b/>
                <w:sz w:val="20"/>
                <w:szCs w:val="20"/>
              </w:rPr>
            </w:pPr>
            <w:r>
              <w:rPr>
                <w:b/>
                <w:sz w:val="20"/>
                <w:szCs w:val="20"/>
              </w:rPr>
              <w:t>Pub. 20.12.2021</w:t>
            </w:r>
          </w:p>
        </w:tc>
        <w:tc>
          <w:tcPr>
            <w:tcW w:w="3935" w:type="dxa"/>
          </w:tcPr>
          <w:p w14:paraId="40FE153E" w14:textId="77777777" w:rsidR="008C20EB" w:rsidRDefault="008D25BE">
            <w:pPr>
              <w:pStyle w:val="TableParagraph"/>
              <w:ind w:left="67" w:right="61"/>
              <w:jc w:val="both"/>
              <w:rPr>
                <w:rFonts w:cs="Arial"/>
                <w:sz w:val="20"/>
                <w:szCs w:val="20"/>
              </w:rPr>
            </w:pPr>
            <w:r>
              <w:rPr>
                <w:rFonts w:cs="Arial"/>
                <w:sz w:val="20"/>
                <w:szCs w:val="20"/>
              </w:rPr>
              <w:t xml:space="preserve">Se realizan modificaciones al Capítulo V “Información Complementaria” del Manual de Contabilidad para las Empresas del Sistema Financiero. Dichas modificaciones son vigentes a partir de la información </w:t>
            </w:r>
            <w:r>
              <w:rPr>
                <w:sz w:val="20"/>
                <w:szCs w:val="20"/>
              </w:rPr>
              <w:t xml:space="preserve">trimestral </w:t>
            </w:r>
            <w:r>
              <w:rPr>
                <w:rFonts w:cs="Arial"/>
                <w:sz w:val="20"/>
                <w:szCs w:val="20"/>
              </w:rPr>
              <w:t xml:space="preserve">correspondiente </w:t>
            </w:r>
            <w:r>
              <w:rPr>
                <w:sz w:val="20"/>
                <w:szCs w:val="20"/>
              </w:rPr>
              <w:t>que comprende de abril a junio de 2022</w:t>
            </w:r>
            <w:r>
              <w:rPr>
                <w:rFonts w:cs="Arial"/>
                <w:sz w:val="20"/>
                <w:szCs w:val="20"/>
              </w:rPr>
              <w:t>.</w:t>
            </w:r>
          </w:p>
        </w:tc>
        <w:tc>
          <w:tcPr>
            <w:tcW w:w="8162" w:type="dxa"/>
          </w:tcPr>
          <w:p w14:paraId="40FE153F" w14:textId="77777777" w:rsidR="008C20EB" w:rsidRDefault="008D25BE">
            <w:pPr>
              <w:pStyle w:val="TableParagraph"/>
              <w:spacing w:after="240"/>
              <w:ind w:left="67" w:right="61"/>
              <w:jc w:val="both"/>
              <w:rPr>
                <w:rFonts w:cs="Arial"/>
                <w:sz w:val="20"/>
                <w:szCs w:val="20"/>
              </w:rPr>
            </w:pPr>
            <w:r>
              <w:rPr>
                <w:rFonts w:cs="Arial"/>
                <w:sz w:val="20"/>
                <w:szCs w:val="20"/>
              </w:rPr>
              <w:t xml:space="preserve">En el </w:t>
            </w:r>
            <w:r>
              <w:rPr>
                <w:color w:val="000000"/>
                <w:sz w:val="20"/>
                <w:szCs w:val="20"/>
                <w:lang w:val="es-PE"/>
              </w:rPr>
              <w:t>Capítulo</w:t>
            </w:r>
            <w:r>
              <w:rPr>
                <w:rFonts w:cs="Arial"/>
                <w:sz w:val="20"/>
                <w:szCs w:val="20"/>
              </w:rPr>
              <w:t xml:space="preserve"> V:</w:t>
            </w:r>
          </w:p>
          <w:p w14:paraId="40FE1540"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rFonts w:cs="Arial"/>
                <w:sz w:val="20"/>
                <w:szCs w:val="20"/>
              </w:rPr>
              <w:t>incorpora</w:t>
            </w:r>
            <w:r>
              <w:rPr>
                <w:color w:val="000000"/>
                <w:sz w:val="20"/>
                <w:szCs w:val="20"/>
                <w:lang w:val="es-PE"/>
              </w:rPr>
              <w:t xml:space="preserve"> el Reporte N° 37 “Ratio de Apalancamiento”.</w:t>
            </w:r>
          </w:p>
        </w:tc>
      </w:tr>
      <w:tr w:rsidR="008C20EB" w14:paraId="40FE1549" w14:textId="77777777">
        <w:trPr>
          <w:trHeight w:val="253"/>
        </w:trPr>
        <w:tc>
          <w:tcPr>
            <w:tcW w:w="1574" w:type="dxa"/>
          </w:tcPr>
          <w:p w14:paraId="40FE1542" w14:textId="77777777" w:rsidR="008C20EB" w:rsidRDefault="008D25BE">
            <w:pPr>
              <w:pStyle w:val="TableParagraph"/>
              <w:ind w:right="42"/>
              <w:jc w:val="both"/>
              <w:rPr>
                <w:b/>
                <w:sz w:val="20"/>
                <w:szCs w:val="20"/>
              </w:rPr>
            </w:pPr>
            <w:r>
              <w:rPr>
                <w:b/>
                <w:sz w:val="20"/>
                <w:szCs w:val="20"/>
              </w:rPr>
              <w:t>Resolución</w:t>
            </w:r>
          </w:p>
          <w:p w14:paraId="40FE1543" w14:textId="77777777" w:rsidR="008C20EB" w:rsidRDefault="008D25BE">
            <w:pPr>
              <w:pStyle w:val="TableParagraph"/>
              <w:ind w:right="42"/>
              <w:jc w:val="both"/>
              <w:rPr>
                <w:b/>
                <w:sz w:val="20"/>
                <w:szCs w:val="20"/>
              </w:rPr>
            </w:pPr>
            <w:r>
              <w:rPr>
                <w:b/>
                <w:sz w:val="20"/>
                <w:szCs w:val="20"/>
              </w:rPr>
              <w:t>SBS 03718-2021</w:t>
            </w:r>
          </w:p>
        </w:tc>
        <w:tc>
          <w:tcPr>
            <w:tcW w:w="1560" w:type="dxa"/>
          </w:tcPr>
          <w:p w14:paraId="40FE1544" w14:textId="77777777" w:rsidR="008C20EB" w:rsidRDefault="008D25BE">
            <w:pPr>
              <w:pStyle w:val="TableParagraph"/>
              <w:spacing w:line="234" w:lineRule="exact"/>
              <w:jc w:val="both"/>
              <w:rPr>
                <w:b/>
                <w:sz w:val="20"/>
                <w:szCs w:val="20"/>
              </w:rPr>
            </w:pPr>
            <w:r>
              <w:rPr>
                <w:b/>
                <w:sz w:val="20"/>
                <w:szCs w:val="20"/>
              </w:rPr>
              <w:t>Pr.    07.12.2021    /</w:t>
            </w:r>
          </w:p>
          <w:p w14:paraId="40FE1545" w14:textId="77777777" w:rsidR="008C20EB" w:rsidRDefault="008D25BE">
            <w:pPr>
              <w:pStyle w:val="TableParagraph"/>
              <w:spacing w:line="234" w:lineRule="exact"/>
              <w:jc w:val="both"/>
              <w:rPr>
                <w:b/>
                <w:sz w:val="20"/>
                <w:szCs w:val="20"/>
              </w:rPr>
            </w:pPr>
            <w:r>
              <w:rPr>
                <w:b/>
                <w:sz w:val="20"/>
                <w:szCs w:val="20"/>
              </w:rPr>
              <w:t>Pub. 10.12.2021</w:t>
            </w:r>
          </w:p>
        </w:tc>
        <w:tc>
          <w:tcPr>
            <w:tcW w:w="3935" w:type="dxa"/>
          </w:tcPr>
          <w:p w14:paraId="40FE1546" w14:textId="77777777" w:rsidR="008C20EB" w:rsidRDefault="008D25BE">
            <w:pPr>
              <w:pStyle w:val="TableParagraph"/>
              <w:ind w:left="67" w:right="61"/>
              <w:jc w:val="both"/>
              <w:rPr>
                <w:color w:val="000000"/>
                <w:sz w:val="20"/>
                <w:szCs w:val="20"/>
                <w:lang w:val="es-PE"/>
              </w:rPr>
            </w:pPr>
            <w:r>
              <w:rPr>
                <w:rFonts w:cs="Arial"/>
                <w:sz w:val="20"/>
                <w:szCs w:val="20"/>
              </w:rPr>
              <w:t>Se realizan modificaciones al Capítulo V “Información Complementaria” del Manual de Contabilidad para las Empresas del Sistema Financiero. Dichas modificaciones son vigentes a partir de la información correspondiente al mes de diciembre 2021.</w:t>
            </w:r>
          </w:p>
        </w:tc>
        <w:tc>
          <w:tcPr>
            <w:tcW w:w="8162" w:type="dxa"/>
          </w:tcPr>
          <w:p w14:paraId="40FE1547" w14:textId="77777777" w:rsidR="008C20EB" w:rsidRDefault="008D25BE">
            <w:pPr>
              <w:pStyle w:val="TableParagraph"/>
              <w:spacing w:after="240"/>
              <w:ind w:left="67" w:right="61"/>
              <w:jc w:val="both"/>
              <w:rPr>
                <w:snapToGrid w:val="0"/>
                <w:sz w:val="20"/>
                <w:szCs w:val="20"/>
              </w:rPr>
            </w:pPr>
            <w:r>
              <w:rPr>
                <w:color w:val="000000"/>
                <w:sz w:val="20"/>
                <w:szCs w:val="20"/>
                <w:lang w:val="es-PE"/>
              </w:rPr>
              <w:t>Se sustituye el Anexo N° 5-A “Resumen de Provisiones Procíclicas” por el formato que se adjunta como Anexo. La aplicación de la regla procíclica se activa a diciembre 2023.</w:t>
            </w:r>
          </w:p>
          <w:p w14:paraId="40FE1548" w14:textId="77777777" w:rsidR="008C20EB" w:rsidRDefault="008C20EB">
            <w:pPr>
              <w:pStyle w:val="TableParagraph"/>
              <w:ind w:right="61"/>
              <w:jc w:val="both"/>
              <w:rPr>
                <w:color w:val="000000"/>
                <w:sz w:val="20"/>
                <w:szCs w:val="20"/>
                <w:lang w:val="es-PE"/>
              </w:rPr>
            </w:pPr>
          </w:p>
        </w:tc>
      </w:tr>
      <w:tr w:rsidR="008C20EB" w14:paraId="40FE1552" w14:textId="77777777">
        <w:trPr>
          <w:trHeight w:val="253"/>
        </w:trPr>
        <w:tc>
          <w:tcPr>
            <w:tcW w:w="1574" w:type="dxa"/>
          </w:tcPr>
          <w:p w14:paraId="40FE154A" w14:textId="77777777" w:rsidR="008C20EB" w:rsidRDefault="008D25BE">
            <w:pPr>
              <w:pStyle w:val="TableParagraph"/>
              <w:ind w:right="42"/>
              <w:jc w:val="both"/>
              <w:rPr>
                <w:b/>
                <w:sz w:val="20"/>
                <w:szCs w:val="20"/>
              </w:rPr>
            </w:pPr>
            <w:r>
              <w:rPr>
                <w:b/>
                <w:sz w:val="20"/>
                <w:szCs w:val="20"/>
              </w:rPr>
              <w:t>Oficio Múltiple N° 59994-2021</w:t>
            </w:r>
          </w:p>
        </w:tc>
        <w:tc>
          <w:tcPr>
            <w:tcW w:w="1560" w:type="dxa"/>
          </w:tcPr>
          <w:p w14:paraId="40FE154B" w14:textId="77777777" w:rsidR="008C20EB" w:rsidRDefault="008D25BE">
            <w:pPr>
              <w:pStyle w:val="TableParagraph"/>
              <w:spacing w:line="234" w:lineRule="exact"/>
              <w:jc w:val="both"/>
              <w:rPr>
                <w:b/>
                <w:sz w:val="20"/>
                <w:szCs w:val="20"/>
              </w:rPr>
            </w:pPr>
            <w:r>
              <w:rPr>
                <w:b/>
                <w:sz w:val="20"/>
                <w:szCs w:val="20"/>
              </w:rPr>
              <w:t>Pr. 10.12.2021</w:t>
            </w:r>
          </w:p>
        </w:tc>
        <w:tc>
          <w:tcPr>
            <w:tcW w:w="3935" w:type="dxa"/>
          </w:tcPr>
          <w:p w14:paraId="40FE154C" w14:textId="77777777" w:rsidR="008C20EB" w:rsidRDefault="008D25BE">
            <w:pPr>
              <w:pStyle w:val="TableParagraph"/>
              <w:ind w:left="67" w:right="61"/>
              <w:jc w:val="both"/>
              <w:rPr>
                <w:color w:val="000000"/>
                <w:sz w:val="20"/>
                <w:szCs w:val="20"/>
                <w:lang w:val="es-PE"/>
              </w:rPr>
            </w:pPr>
            <w:r>
              <w:rPr>
                <w:color w:val="000000"/>
                <w:sz w:val="20"/>
                <w:szCs w:val="20"/>
                <w:lang w:val="es-PE"/>
              </w:rPr>
              <w:t>Se modifica un código en a la Tabla de empresas, señalada en el acápite J del Capítulo I “Disposiciones Generales” del Manual de Contabilidad para las Empresas del Sistema Financiero, correspondiente a la modificación de la actual denominación social del “Banco Azteca del Perú” por “Alfin Banco S.A.”. Dicha modificación será vigente a partir de la información correspondiente al mes de diciembre 2021.</w:t>
            </w:r>
          </w:p>
          <w:p w14:paraId="40FE154D" w14:textId="77777777" w:rsidR="008C20EB" w:rsidRDefault="008C20EB">
            <w:pPr>
              <w:pStyle w:val="TableParagraph"/>
              <w:ind w:right="61"/>
              <w:jc w:val="both"/>
              <w:rPr>
                <w:color w:val="000000"/>
                <w:sz w:val="20"/>
                <w:szCs w:val="20"/>
                <w:lang w:val="es-PE"/>
              </w:rPr>
            </w:pPr>
          </w:p>
        </w:tc>
        <w:tc>
          <w:tcPr>
            <w:tcW w:w="8162" w:type="dxa"/>
          </w:tcPr>
          <w:p w14:paraId="40FE154E"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modifica la denominación en la Tabla de empresas, señalada en el acápite J del Capítulo I “Disposiciones Generales” del Manual de Contabilidad para las Empresas del Sistema Financiero: </w:t>
            </w:r>
          </w:p>
          <w:p w14:paraId="40FE154F" w14:textId="77777777" w:rsidR="008C20EB" w:rsidRDefault="008C20EB">
            <w:pPr>
              <w:pStyle w:val="TableParagraph"/>
              <w:ind w:left="67" w:right="61"/>
              <w:jc w:val="both"/>
              <w:rPr>
                <w:color w:val="000000"/>
                <w:sz w:val="20"/>
                <w:szCs w:val="20"/>
                <w:lang w:val="es-PE"/>
              </w:rPr>
            </w:pPr>
          </w:p>
          <w:p w14:paraId="40FE1550" w14:textId="77777777" w:rsidR="008C20EB" w:rsidRDefault="008D25BE">
            <w:pPr>
              <w:pStyle w:val="TableParagraph"/>
              <w:ind w:left="67" w:right="61"/>
              <w:jc w:val="both"/>
              <w:rPr>
                <w:color w:val="000000"/>
                <w:sz w:val="20"/>
                <w:szCs w:val="20"/>
                <w:lang w:val="es-PE"/>
              </w:rPr>
            </w:pPr>
            <w:r>
              <w:rPr>
                <w:b/>
                <w:bCs/>
                <w:color w:val="000000"/>
                <w:sz w:val="20"/>
                <w:szCs w:val="20"/>
                <w:lang w:val="es-PE"/>
              </w:rPr>
              <w:t>Código:</w:t>
            </w:r>
            <w:r>
              <w:rPr>
                <w:color w:val="000000"/>
                <w:sz w:val="20"/>
                <w:szCs w:val="20"/>
                <w:lang w:val="es-PE"/>
              </w:rPr>
              <w:t xml:space="preserve"> 06</w:t>
            </w:r>
          </w:p>
          <w:p w14:paraId="40FE1551" w14:textId="77777777" w:rsidR="008C20EB" w:rsidRDefault="008D25BE">
            <w:pPr>
              <w:pStyle w:val="TableParagraph"/>
              <w:ind w:left="67" w:right="61"/>
              <w:jc w:val="both"/>
              <w:rPr>
                <w:color w:val="000000"/>
                <w:sz w:val="20"/>
                <w:szCs w:val="20"/>
                <w:lang w:val="es-PE"/>
              </w:rPr>
            </w:pPr>
            <w:r>
              <w:rPr>
                <w:b/>
                <w:bCs/>
                <w:color w:val="000000"/>
                <w:sz w:val="20"/>
                <w:szCs w:val="20"/>
                <w:lang w:val="es-PE"/>
              </w:rPr>
              <w:t>Bancos 01:</w:t>
            </w:r>
            <w:r>
              <w:rPr>
                <w:color w:val="000000"/>
                <w:sz w:val="20"/>
                <w:szCs w:val="20"/>
                <w:lang w:val="es-PE"/>
              </w:rPr>
              <w:t xml:space="preserve"> Alfin Banco S.A.</w:t>
            </w:r>
          </w:p>
        </w:tc>
      </w:tr>
      <w:tr w:rsidR="008C20EB" w14:paraId="40FE155F" w14:textId="77777777">
        <w:trPr>
          <w:trHeight w:val="253"/>
        </w:trPr>
        <w:tc>
          <w:tcPr>
            <w:tcW w:w="1574" w:type="dxa"/>
          </w:tcPr>
          <w:p w14:paraId="40FE1553" w14:textId="77777777" w:rsidR="008C20EB" w:rsidRDefault="008D25BE">
            <w:pPr>
              <w:pStyle w:val="TableParagraph"/>
              <w:ind w:right="42"/>
              <w:jc w:val="both"/>
              <w:rPr>
                <w:b/>
                <w:sz w:val="20"/>
                <w:szCs w:val="20"/>
              </w:rPr>
            </w:pPr>
            <w:r>
              <w:rPr>
                <w:b/>
                <w:sz w:val="20"/>
                <w:szCs w:val="20"/>
              </w:rPr>
              <w:lastRenderedPageBreak/>
              <w:t>Oficio Múltiple N° 58114-2021</w:t>
            </w:r>
          </w:p>
        </w:tc>
        <w:tc>
          <w:tcPr>
            <w:tcW w:w="1560" w:type="dxa"/>
          </w:tcPr>
          <w:p w14:paraId="40FE1554" w14:textId="77777777" w:rsidR="008C20EB" w:rsidRDefault="008D25BE">
            <w:pPr>
              <w:pStyle w:val="TableParagraph"/>
              <w:spacing w:line="234" w:lineRule="exact"/>
              <w:jc w:val="both"/>
              <w:rPr>
                <w:b/>
                <w:sz w:val="20"/>
                <w:szCs w:val="20"/>
              </w:rPr>
            </w:pPr>
            <w:r>
              <w:rPr>
                <w:b/>
                <w:sz w:val="20"/>
                <w:szCs w:val="20"/>
              </w:rPr>
              <w:t>Pr. 29.11.2021</w:t>
            </w:r>
          </w:p>
        </w:tc>
        <w:tc>
          <w:tcPr>
            <w:tcW w:w="3935" w:type="dxa"/>
          </w:tcPr>
          <w:p w14:paraId="40FE1555" w14:textId="77777777" w:rsidR="008C20EB" w:rsidRDefault="008D25BE">
            <w:pPr>
              <w:pStyle w:val="TableParagraph"/>
              <w:ind w:left="67" w:right="61"/>
              <w:jc w:val="both"/>
              <w:rPr>
                <w:color w:val="000000"/>
                <w:sz w:val="20"/>
                <w:szCs w:val="20"/>
                <w:lang w:val="es-PE"/>
              </w:rPr>
            </w:pPr>
            <w:r>
              <w:rPr>
                <w:color w:val="000000"/>
                <w:sz w:val="20"/>
                <w:szCs w:val="20"/>
                <w:lang w:val="es-PE"/>
              </w:rPr>
              <w:t>Se sustituyen y habilitan códigos en a la Tabla de empresas, señalada en el acápite J del Capítulo I “Disposiciones Generales” del Manual de Contabilidad para las Empresas del Sistema Financiero, correspondientes a la fusión por absorción entre TOTAL Servicios Financieros EDPYME, anteriormente denominada Servicios Financieros TOTAL EDPYME, con “Factoring Total S.A.”. La modificación de denominación será vigente a partir de la información correspondiente a noviembre 2021; mientras que la eliminación del códi</w:t>
            </w:r>
            <w:r>
              <w:rPr>
                <w:color w:val="000000"/>
                <w:sz w:val="20"/>
                <w:szCs w:val="20"/>
                <w:lang w:val="es-PE"/>
              </w:rPr>
              <w:t>go y denominación de “Factoring Total S.A.” de la tabla de empresas del Sistema Financiero, a partir de enero 2022.</w:t>
            </w:r>
          </w:p>
        </w:tc>
        <w:tc>
          <w:tcPr>
            <w:tcW w:w="8162" w:type="dxa"/>
          </w:tcPr>
          <w:p w14:paraId="40FE1556"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elimina el código y denominación de la Tabla de empresas, señalada en el acápite J del Capítulo I “Disposiciones Generales” del Manual de Contabilidad para las Empresas del Sistema Financiero: </w:t>
            </w:r>
          </w:p>
          <w:p w14:paraId="40FE1557" w14:textId="77777777" w:rsidR="008C20EB" w:rsidRDefault="008C20EB">
            <w:pPr>
              <w:pStyle w:val="TableParagraph"/>
              <w:ind w:left="67" w:right="61"/>
              <w:jc w:val="both"/>
              <w:rPr>
                <w:color w:val="000000"/>
                <w:sz w:val="20"/>
                <w:szCs w:val="20"/>
                <w:lang w:val="es-PE"/>
              </w:rPr>
            </w:pPr>
          </w:p>
          <w:p w14:paraId="40FE1558" w14:textId="77777777" w:rsidR="008C20EB" w:rsidRDefault="008D25BE">
            <w:pPr>
              <w:pStyle w:val="TableParagraph"/>
              <w:ind w:left="67" w:right="61"/>
              <w:jc w:val="both"/>
              <w:rPr>
                <w:color w:val="000000"/>
                <w:sz w:val="20"/>
                <w:szCs w:val="20"/>
                <w:lang w:val="es-PE"/>
              </w:rPr>
            </w:pPr>
            <w:r>
              <w:rPr>
                <w:b/>
                <w:bCs/>
                <w:color w:val="000000"/>
                <w:sz w:val="20"/>
                <w:szCs w:val="20"/>
                <w:lang w:val="es-PE"/>
              </w:rPr>
              <w:t>Código:</w:t>
            </w:r>
            <w:r>
              <w:rPr>
                <w:color w:val="000000"/>
                <w:sz w:val="20"/>
                <w:szCs w:val="20"/>
                <w:lang w:val="es-PE"/>
              </w:rPr>
              <w:t xml:space="preserve"> 02</w:t>
            </w:r>
          </w:p>
          <w:p w14:paraId="40FE1559" w14:textId="77777777" w:rsidR="008C20EB" w:rsidRDefault="008D25BE">
            <w:pPr>
              <w:pStyle w:val="TableParagraph"/>
              <w:ind w:left="67" w:right="61"/>
              <w:jc w:val="both"/>
              <w:rPr>
                <w:color w:val="000000"/>
                <w:sz w:val="20"/>
                <w:szCs w:val="20"/>
                <w:lang w:val="es-PE"/>
              </w:rPr>
            </w:pPr>
            <w:r>
              <w:rPr>
                <w:b/>
                <w:bCs/>
                <w:color w:val="000000"/>
                <w:sz w:val="20"/>
                <w:szCs w:val="20"/>
                <w:lang w:val="es-PE"/>
              </w:rPr>
              <w:t>Empresas de Factoring 15:</w:t>
            </w:r>
            <w:r>
              <w:rPr>
                <w:color w:val="000000"/>
                <w:sz w:val="20"/>
                <w:szCs w:val="20"/>
                <w:lang w:val="es-PE"/>
              </w:rPr>
              <w:t xml:space="preserve"> Factoring Total</w:t>
            </w:r>
          </w:p>
          <w:p w14:paraId="40FE155A" w14:textId="77777777" w:rsidR="008C20EB" w:rsidRDefault="008C20EB">
            <w:pPr>
              <w:pStyle w:val="TableParagraph"/>
              <w:ind w:left="67" w:right="61"/>
              <w:jc w:val="both"/>
              <w:rPr>
                <w:color w:val="000000"/>
                <w:sz w:val="20"/>
                <w:szCs w:val="20"/>
                <w:lang w:val="es-PE"/>
              </w:rPr>
            </w:pPr>
          </w:p>
          <w:p w14:paraId="40FE155B"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modifica la denominación en la Tabla de empresas, señalada en el acápite J del Capítulo I “Disposiciones Generales” del Manual de Contabilidad para las Empresas del Sistema Financiero: </w:t>
            </w:r>
          </w:p>
          <w:p w14:paraId="40FE155C" w14:textId="77777777" w:rsidR="008C20EB" w:rsidRDefault="008C20EB">
            <w:pPr>
              <w:pStyle w:val="TableParagraph"/>
              <w:ind w:left="67" w:right="61"/>
              <w:jc w:val="both"/>
              <w:rPr>
                <w:color w:val="000000"/>
                <w:sz w:val="20"/>
                <w:szCs w:val="20"/>
                <w:lang w:val="es-PE"/>
              </w:rPr>
            </w:pPr>
          </w:p>
          <w:p w14:paraId="40FE155D" w14:textId="77777777" w:rsidR="008C20EB" w:rsidRDefault="008D25BE">
            <w:pPr>
              <w:pStyle w:val="TableParagraph"/>
              <w:ind w:left="67" w:right="61"/>
              <w:jc w:val="both"/>
              <w:rPr>
                <w:color w:val="000000"/>
                <w:sz w:val="20"/>
                <w:szCs w:val="20"/>
                <w:lang w:val="es-PE"/>
              </w:rPr>
            </w:pPr>
            <w:r>
              <w:rPr>
                <w:b/>
                <w:bCs/>
                <w:color w:val="000000"/>
                <w:sz w:val="20"/>
                <w:szCs w:val="20"/>
                <w:lang w:val="es-PE"/>
              </w:rPr>
              <w:t>Código:</w:t>
            </w:r>
            <w:r>
              <w:rPr>
                <w:color w:val="000000"/>
                <w:sz w:val="20"/>
                <w:szCs w:val="20"/>
                <w:lang w:val="es-PE"/>
              </w:rPr>
              <w:t xml:space="preserve"> 22</w:t>
            </w:r>
          </w:p>
          <w:p w14:paraId="40FE155E" w14:textId="77777777" w:rsidR="008C20EB" w:rsidRDefault="008D25BE">
            <w:pPr>
              <w:pStyle w:val="TableParagraph"/>
              <w:ind w:left="67" w:right="61"/>
              <w:jc w:val="both"/>
              <w:rPr>
                <w:color w:val="000000"/>
                <w:sz w:val="20"/>
                <w:szCs w:val="20"/>
                <w:lang w:val="es-PE"/>
              </w:rPr>
            </w:pPr>
            <w:r>
              <w:rPr>
                <w:b/>
                <w:bCs/>
                <w:color w:val="000000"/>
                <w:sz w:val="20"/>
                <w:szCs w:val="20"/>
                <w:lang w:val="es-PE"/>
              </w:rPr>
              <w:t>EDPYMES 05:</w:t>
            </w:r>
            <w:r>
              <w:rPr>
                <w:color w:val="000000"/>
                <w:sz w:val="20"/>
                <w:szCs w:val="20"/>
                <w:lang w:val="es-PE"/>
              </w:rPr>
              <w:t xml:space="preserve"> TOTAL Servicios Financieros EDPYME</w:t>
            </w:r>
          </w:p>
        </w:tc>
      </w:tr>
      <w:tr w:rsidR="008C20EB" w14:paraId="40FE156A" w14:textId="77777777">
        <w:trPr>
          <w:trHeight w:val="253"/>
        </w:trPr>
        <w:tc>
          <w:tcPr>
            <w:tcW w:w="1574" w:type="dxa"/>
          </w:tcPr>
          <w:p w14:paraId="40FE1560" w14:textId="77777777" w:rsidR="008C20EB" w:rsidRDefault="008D25BE">
            <w:pPr>
              <w:pStyle w:val="TableParagraph"/>
              <w:ind w:right="42"/>
              <w:jc w:val="both"/>
              <w:rPr>
                <w:b/>
                <w:sz w:val="20"/>
                <w:szCs w:val="20"/>
              </w:rPr>
            </w:pPr>
            <w:r>
              <w:rPr>
                <w:b/>
                <w:sz w:val="20"/>
                <w:szCs w:val="20"/>
              </w:rPr>
              <w:t>Resolución</w:t>
            </w:r>
          </w:p>
          <w:p w14:paraId="40FE1561" w14:textId="77777777" w:rsidR="008C20EB" w:rsidRDefault="008D25BE">
            <w:pPr>
              <w:pStyle w:val="TableParagraph"/>
              <w:ind w:right="42"/>
              <w:jc w:val="both"/>
              <w:rPr>
                <w:b/>
                <w:sz w:val="20"/>
                <w:szCs w:val="20"/>
              </w:rPr>
            </w:pPr>
            <w:r>
              <w:rPr>
                <w:b/>
                <w:sz w:val="20"/>
                <w:szCs w:val="20"/>
              </w:rPr>
              <w:t>SBS 2931-2021</w:t>
            </w:r>
          </w:p>
        </w:tc>
        <w:tc>
          <w:tcPr>
            <w:tcW w:w="1560" w:type="dxa"/>
          </w:tcPr>
          <w:p w14:paraId="40FE1562" w14:textId="77777777" w:rsidR="008C20EB" w:rsidRDefault="008D25BE">
            <w:pPr>
              <w:pStyle w:val="TableParagraph"/>
              <w:spacing w:line="234" w:lineRule="exact"/>
              <w:jc w:val="both"/>
              <w:rPr>
                <w:b/>
                <w:sz w:val="20"/>
                <w:szCs w:val="20"/>
              </w:rPr>
            </w:pPr>
            <w:r>
              <w:rPr>
                <w:b/>
                <w:sz w:val="20"/>
                <w:szCs w:val="20"/>
              </w:rPr>
              <w:t>Pr.    01.10.2021    /</w:t>
            </w:r>
          </w:p>
          <w:p w14:paraId="40FE1563" w14:textId="77777777" w:rsidR="008C20EB" w:rsidRDefault="008D25BE">
            <w:pPr>
              <w:pStyle w:val="TableParagraph"/>
              <w:spacing w:line="234" w:lineRule="exact"/>
              <w:jc w:val="both"/>
              <w:rPr>
                <w:b/>
                <w:sz w:val="20"/>
                <w:szCs w:val="20"/>
              </w:rPr>
            </w:pPr>
            <w:r>
              <w:rPr>
                <w:b/>
                <w:sz w:val="20"/>
                <w:szCs w:val="20"/>
              </w:rPr>
              <w:t>Pub. 04.10.2021</w:t>
            </w:r>
          </w:p>
        </w:tc>
        <w:tc>
          <w:tcPr>
            <w:tcW w:w="3935" w:type="dxa"/>
          </w:tcPr>
          <w:p w14:paraId="40FE1564" w14:textId="77777777" w:rsidR="008C20EB" w:rsidRDefault="008D25BE">
            <w:pPr>
              <w:pStyle w:val="TableParagraph"/>
              <w:ind w:left="67" w:right="61"/>
              <w:jc w:val="both"/>
              <w:rPr>
                <w:rFonts w:cs="Arial"/>
                <w:sz w:val="20"/>
                <w:szCs w:val="20"/>
              </w:rPr>
            </w:pPr>
            <w:r>
              <w:rPr>
                <w:rFonts w:cs="Arial"/>
                <w:sz w:val="20"/>
                <w:szCs w:val="20"/>
              </w:rPr>
              <w:t>Se realizan modificaciones a los Capítulos III “Catálogo de Cuentas”, IV “Descripción y Dinámica de Cuentas” y V “Información Complementaria” del Manual de Contabilidad para las Empresas del Sistema Financiero. Dichas modificaciones son vigentes a partir de la información correspondiente al mes de octubre 2021.</w:t>
            </w:r>
          </w:p>
        </w:tc>
        <w:tc>
          <w:tcPr>
            <w:tcW w:w="8162" w:type="dxa"/>
          </w:tcPr>
          <w:p w14:paraId="40FE1565"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los Capítulo III y IV:</w:t>
            </w:r>
          </w:p>
          <w:p w14:paraId="40FE1566"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 xml:space="preserve">Se </w:t>
            </w:r>
            <w:r>
              <w:rPr>
                <w:rFonts w:cs="Arial"/>
                <w:snapToGrid w:val="0"/>
                <w:sz w:val="20"/>
                <w:szCs w:val="20"/>
              </w:rPr>
              <w:t xml:space="preserve">incorporan </w:t>
            </w:r>
            <w:r>
              <w:rPr>
                <w:snapToGrid w:val="0"/>
                <w:sz w:val="20"/>
                <w:szCs w:val="20"/>
              </w:rPr>
              <w:t xml:space="preserve">la subcuenta 8109.49 “Créditos del Programa de Garantía del Gobierno Nacional a las Empresas del Sistema Financiero - DL 1508”, </w:t>
            </w:r>
            <w:r>
              <w:rPr>
                <w:rFonts w:cs="Arial"/>
                <w:snapToGrid w:val="0"/>
                <w:sz w:val="20"/>
                <w:szCs w:val="20"/>
              </w:rPr>
              <w:t>junto con sus respectivas cuentas analíticas.</w:t>
            </w:r>
          </w:p>
          <w:p w14:paraId="40FE1567" w14:textId="77777777" w:rsidR="008C20EB" w:rsidRDefault="008D25BE">
            <w:pPr>
              <w:pStyle w:val="TableParagraph"/>
              <w:spacing w:after="240"/>
              <w:ind w:left="67" w:right="61"/>
              <w:jc w:val="both"/>
              <w:rPr>
                <w:color w:val="000000"/>
                <w:sz w:val="20"/>
                <w:szCs w:val="20"/>
                <w:lang w:val="es-PE"/>
              </w:rPr>
            </w:pPr>
            <w:r>
              <w:rPr>
                <w:rFonts w:cs="Arial"/>
                <w:sz w:val="20"/>
                <w:szCs w:val="20"/>
              </w:rPr>
              <w:t>Adicionalmente</w:t>
            </w:r>
            <w:r>
              <w:rPr>
                <w:color w:val="000000"/>
                <w:sz w:val="20"/>
                <w:szCs w:val="20"/>
                <w:lang w:val="es-PE"/>
              </w:rPr>
              <w:t>, se realizan las siguientes modificaciones e</w:t>
            </w:r>
            <w:r>
              <w:rPr>
                <w:rFonts w:cs="Arial"/>
                <w:sz w:val="20"/>
                <w:szCs w:val="20"/>
              </w:rPr>
              <w:t xml:space="preserve">n el Capítulo V: </w:t>
            </w:r>
          </w:p>
          <w:p w14:paraId="40FE1568"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snapToGrid w:val="0"/>
                <w:sz w:val="20"/>
                <w:szCs w:val="20"/>
              </w:rPr>
              <w:t>incorpora en el Catálogo de Cuentas del RCD del Anexo N° 6 “Reporte Crediticio de Deudores - RCD” lo siguiente:</w:t>
            </w:r>
          </w:p>
          <w:p w14:paraId="40FE1569" w14:textId="77777777" w:rsidR="008C20EB" w:rsidRDefault="008D25BE">
            <w:pPr>
              <w:pStyle w:val="TableParagraph"/>
              <w:numPr>
                <w:ilvl w:val="0"/>
                <w:numId w:val="31"/>
              </w:numPr>
              <w:ind w:right="61"/>
              <w:jc w:val="both"/>
              <w:rPr>
                <w:sz w:val="20"/>
                <w:szCs w:val="20"/>
              </w:rPr>
            </w:pPr>
            <w:r>
              <w:rPr>
                <w:rFonts w:cs="Arial"/>
                <w:snapToGrid w:val="0"/>
                <w:sz w:val="20"/>
                <w:szCs w:val="20"/>
              </w:rPr>
              <w:t xml:space="preserve">Las cuentas analíticas de la subcuenta </w:t>
            </w:r>
            <w:r>
              <w:rPr>
                <w:snapToGrid w:val="0"/>
                <w:sz w:val="20"/>
                <w:szCs w:val="20"/>
              </w:rPr>
              <w:t>8109.49 “Créditos del Programa de Garantía del Gobierno Nacional a las Empresas del Sistema Financiero - DL 1508”.</w:t>
            </w:r>
          </w:p>
        </w:tc>
      </w:tr>
      <w:tr w:rsidR="008C20EB" w14:paraId="40FE157F" w14:textId="77777777">
        <w:trPr>
          <w:trHeight w:val="253"/>
        </w:trPr>
        <w:tc>
          <w:tcPr>
            <w:tcW w:w="1574" w:type="dxa"/>
          </w:tcPr>
          <w:p w14:paraId="40FE156B" w14:textId="77777777" w:rsidR="008C20EB" w:rsidRDefault="008D25BE">
            <w:pPr>
              <w:pStyle w:val="TableParagraph"/>
              <w:ind w:right="42"/>
              <w:jc w:val="both"/>
              <w:rPr>
                <w:b/>
                <w:sz w:val="20"/>
                <w:szCs w:val="20"/>
              </w:rPr>
            </w:pPr>
            <w:r>
              <w:rPr>
                <w:b/>
                <w:sz w:val="20"/>
                <w:szCs w:val="20"/>
              </w:rPr>
              <w:t>Resolución</w:t>
            </w:r>
          </w:p>
          <w:p w14:paraId="40FE156C" w14:textId="77777777" w:rsidR="008C20EB" w:rsidRDefault="008D25BE">
            <w:pPr>
              <w:pStyle w:val="TableParagraph"/>
              <w:ind w:right="42"/>
              <w:jc w:val="both"/>
              <w:rPr>
                <w:b/>
                <w:sz w:val="20"/>
                <w:szCs w:val="20"/>
              </w:rPr>
            </w:pPr>
            <w:r>
              <w:rPr>
                <w:b/>
                <w:sz w:val="20"/>
                <w:szCs w:val="20"/>
              </w:rPr>
              <w:t>SBS 2451-2021</w:t>
            </w:r>
          </w:p>
        </w:tc>
        <w:tc>
          <w:tcPr>
            <w:tcW w:w="1560" w:type="dxa"/>
          </w:tcPr>
          <w:p w14:paraId="40FE156D" w14:textId="77777777" w:rsidR="008C20EB" w:rsidRDefault="008D25BE">
            <w:pPr>
              <w:pStyle w:val="TableParagraph"/>
              <w:spacing w:line="234" w:lineRule="exact"/>
              <w:jc w:val="both"/>
              <w:rPr>
                <w:b/>
                <w:sz w:val="20"/>
                <w:szCs w:val="20"/>
              </w:rPr>
            </w:pPr>
            <w:r>
              <w:rPr>
                <w:b/>
                <w:sz w:val="20"/>
                <w:szCs w:val="20"/>
              </w:rPr>
              <w:t>Pr.    20.08.2021    /</w:t>
            </w:r>
          </w:p>
          <w:p w14:paraId="40FE156E" w14:textId="77777777" w:rsidR="008C20EB" w:rsidRDefault="008D25BE">
            <w:pPr>
              <w:pStyle w:val="TableParagraph"/>
              <w:spacing w:line="234" w:lineRule="exact"/>
              <w:jc w:val="both"/>
              <w:rPr>
                <w:b/>
                <w:sz w:val="20"/>
                <w:szCs w:val="20"/>
              </w:rPr>
            </w:pPr>
            <w:r>
              <w:rPr>
                <w:b/>
                <w:sz w:val="20"/>
                <w:szCs w:val="20"/>
              </w:rPr>
              <w:t>Pub. 24.08.2021</w:t>
            </w:r>
          </w:p>
        </w:tc>
        <w:tc>
          <w:tcPr>
            <w:tcW w:w="3935" w:type="dxa"/>
          </w:tcPr>
          <w:p w14:paraId="40FE156F" w14:textId="77777777" w:rsidR="008C20EB" w:rsidRDefault="008D25BE">
            <w:pPr>
              <w:pStyle w:val="TableParagraph"/>
              <w:ind w:left="67" w:right="61"/>
              <w:jc w:val="both"/>
              <w:rPr>
                <w:sz w:val="20"/>
                <w:szCs w:val="20"/>
              </w:rPr>
            </w:pPr>
            <w:r>
              <w:rPr>
                <w:sz w:val="20"/>
                <w:szCs w:val="20"/>
              </w:rPr>
              <w:t xml:space="preserve"> Se realizan modificaciones los</w:t>
            </w:r>
            <w:r>
              <w:rPr>
                <w:rFonts w:cs="Arial"/>
                <w:sz w:val="20"/>
                <w:szCs w:val="20"/>
              </w:rPr>
              <w:t xml:space="preserve"> Capítulos I</w:t>
            </w:r>
            <w:r>
              <w:rPr>
                <w:sz w:val="20"/>
                <w:szCs w:val="20"/>
              </w:rPr>
              <w:t xml:space="preserve"> </w:t>
            </w:r>
            <w:r>
              <w:rPr>
                <w:rFonts w:cs="Arial"/>
                <w:sz w:val="20"/>
                <w:szCs w:val="20"/>
              </w:rPr>
              <w:t>“Disposiciones Generales” y II “Estados Financieros e Información Complementaria”, III “Catálogo de Cuentas” y IV “Descripción y Dinámica de Cuentas” del Manual de Contabilidad para las Empresas del Sistema Financiero. Dichas modificaciones son vigentes a partir de la</w:t>
            </w:r>
            <w:r>
              <w:rPr>
                <w:sz w:val="20"/>
                <w:szCs w:val="20"/>
              </w:rPr>
              <w:t xml:space="preserve"> información     correspondiente   de enero 2022.</w:t>
            </w:r>
          </w:p>
          <w:p w14:paraId="40FE1570" w14:textId="77777777" w:rsidR="008C20EB" w:rsidRDefault="008C20EB">
            <w:pPr>
              <w:pStyle w:val="TableParagraph"/>
              <w:ind w:left="67" w:right="61"/>
              <w:jc w:val="both"/>
              <w:rPr>
                <w:rFonts w:cs="Arial"/>
                <w:sz w:val="20"/>
                <w:szCs w:val="20"/>
              </w:rPr>
            </w:pPr>
          </w:p>
        </w:tc>
        <w:tc>
          <w:tcPr>
            <w:tcW w:w="8162" w:type="dxa"/>
          </w:tcPr>
          <w:p w14:paraId="40FE1571"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el Capítulo I:</w:t>
            </w:r>
          </w:p>
          <w:p w14:paraId="40FE1572"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 xml:space="preserve">Se </w:t>
            </w:r>
            <w:r>
              <w:rPr>
                <w:rFonts w:cs="Arial"/>
                <w:sz w:val="20"/>
                <w:szCs w:val="20"/>
              </w:rPr>
              <w:t xml:space="preserve">incorpora </w:t>
            </w:r>
            <w:r>
              <w:rPr>
                <w:sz w:val="20"/>
                <w:szCs w:val="20"/>
              </w:rPr>
              <w:t>el numeral 9 denominado “Tratamiento contable de las controversias” en el Acápite E “Normas Contables Generales” (Anexo).</w:t>
            </w:r>
          </w:p>
          <w:p w14:paraId="40FE1573"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el Capítulo II:</w:t>
            </w:r>
          </w:p>
          <w:p w14:paraId="40FE1574"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Se</w:t>
            </w:r>
            <w:r>
              <w:rPr>
                <w:sz w:val="20"/>
                <w:szCs w:val="20"/>
              </w:rPr>
              <w:t xml:space="preserve"> sustituye la información referida a provisiones, pasivos contingentes y activos contingentes en el numeral 3 “Políticas Contables y Criterios de Valoración” del literal B “Notas a los Estados Financieros” del acápite I “Estados Financieros”.</w:t>
            </w:r>
          </w:p>
          <w:p w14:paraId="40FE1575" w14:textId="77777777" w:rsidR="008C20EB" w:rsidRDefault="008D25BE">
            <w:pPr>
              <w:pStyle w:val="TableParagraph"/>
              <w:spacing w:after="240"/>
              <w:ind w:right="61"/>
              <w:jc w:val="both"/>
              <w:rPr>
                <w:color w:val="000000"/>
                <w:sz w:val="20"/>
                <w:szCs w:val="20"/>
                <w:lang w:val="es-PE"/>
              </w:rPr>
            </w:pPr>
            <w:r>
              <w:rPr>
                <w:color w:val="000000"/>
                <w:sz w:val="20"/>
                <w:szCs w:val="20"/>
                <w:lang w:val="es-PE"/>
              </w:rPr>
              <w:t xml:space="preserve">En los Capítulo III y IV: </w:t>
            </w:r>
          </w:p>
          <w:p w14:paraId="40FE1576" w14:textId="77777777" w:rsidR="008C20EB" w:rsidRDefault="008D25BE">
            <w:pPr>
              <w:pStyle w:val="TableParagraph"/>
              <w:numPr>
                <w:ilvl w:val="0"/>
                <w:numId w:val="20"/>
              </w:numPr>
              <w:ind w:right="61"/>
              <w:jc w:val="both"/>
              <w:rPr>
                <w:sz w:val="20"/>
                <w:szCs w:val="20"/>
              </w:rPr>
            </w:pPr>
            <w:r>
              <w:rPr>
                <w:color w:val="000000"/>
                <w:sz w:val="20"/>
                <w:szCs w:val="20"/>
                <w:lang w:val="es-PE"/>
              </w:rPr>
              <w:t xml:space="preserve">Se </w:t>
            </w:r>
            <w:r>
              <w:rPr>
                <w:sz w:val="20"/>
                <w:szCs w:val="20"/>
              </w:rPr>
              <w:t>sustituye el segundo párrafo de la descripción del rubro 27 “Provisiones”.</w:t>
            </w:r>
          </w:p>
          <w:p w14:paraId="40FE1577" w14:textId="77777777" w:rsidR="008C20EB" w:rsidRDefault="008D25BE">
            <w:pPr>
              <w:pStyle w:val="TableParagraph"/>
              <w:numPr>
                <w:ilvl w:val="0"/>
                <w:numId w:val="20"/>
              </w:numPr>
              <w:ind w:right="61"/>
              <w:jc w:val="both"/>
              <w:rPr>
                <w:sz w:val="20"/>
                <w:szCs w:val="20"/>
              </w:rPr>
            </w:pPr>
            <w:r>
              <w:rPr>
                <w:sz w:val="20"/>
                <w:szCs w:val="20"/>
              </w:rPr>
              <w:t>Se sustituye el segundo párrafo de la descripción de la cuenta 2702 “Otras Provisiones”.</w:t>
            </w:r>
          </w:p>
          <w:p w14:paraId="40FE1578" w14:textId="77777777" w:rsidR="008C20EB" w:rsidRDefault="008D25BE">
            <w:pPr>
              <w:pStyle w:val="TableParagraph"/>
              <w:numPr>
                <w:ilvl w:val="0"/>
                <w:numId w:val="20"/>
              </w:numPr>
              <w:ind w:right="61"/>
              <w:jc w:val="both"/>
              <w:rPr>
                <w:sz w:val="20"/>
                <w:szCs w:val="20"/>
              </w:rPr>
            </w:pPr>
            <w:r>
              <w:rPr>
                <w:sz w:val="20"/>
                <w:szCs w:val="20"/>
              </w:rPr>
              <w:t>Se sustituye la denominación de la subcuenta 2702.02 “Provisiones para litigios y demandas” por “Provisiones por controversias”.</w:t>
            </w:r>
          </w:p>
          <w:p w14:paraId="40FE1579" w14:textId="77777777" w:rsidR="008C20EB" w:rsidRDefault="008D25BE">
            <w:pPr>
              <w:pStyle w:val="TableParagraph"/>
              <w:numPr>
                <w:ilvl w:val="0"/>
                <w:numId w:val="20"/>
              </w:numPr>
              <w:ind w:right="61"/>
              <w:jc w:val="both"/>
              <w:rPr>
                <w:sz w:val="20"/>
                <w:szCs w:val="20"/>
              </w:rPr>
            </w:pPr>
            <w:r>
              <w:rPr>
                <w:sz w:val="20"/>
                <w:szCs w:val="20"/>
              </w:rPr>
              <w:lastRenderedPageBreak/>
              <w:t xml:space="preserve">Se incorpora una descripción a la subcuenta 2702.02 denominada “Provisiones por </w:t>
            </w:r>
            <w:r>
              <w:rPr>
                <w:sz w:val="20"/>
                <w:szCs w:val="20"/>
              </w:rPr>
              <w:br/>
              <w:t>controversias”.</w:t>
            </w:r>
          </w:p>
          <w:p w14:paraId="40FE157A" w14:textId="77777777" w:rsidR="008C20EB" w:rsidRDefault="008D25BE">
            <w:pPr>
              <w:pStyle w:val="TableParagraph"/>
              <w:numPr>
                <w:ilvl w:val="0"/>
                <w:numId w:val="20"/>
              </w:numPr>
              <w:ind w:right="61"/>
              <w:jc w:val="both"/>
              <w:rPr>
                <w:sz w:val="20"/>
                <w:szCs w:val="20"/>
              </w:rPr>
            </w:pPr>
            <w:r>
              <w:rPr>
                <w:sz w:val="20"/>
                <w:szCs w:val="20"/>
              </w:rPr>
              <w:t xml:space="preserve">Se sustituye el segundo párrafo de la descripción de la cuenta 4305 “Provisiones para </w:t>
            </w:r>
            <w:r>
              <w:rPr>
                <w:sz w:val="20"/>
                <w:szCs w:val="20"/>
              </w:rPr>
              <w:br/>
              <w:t>contingencias y otras”.</w:t>
            </w:r>
          </w:p>
          <w:p w14:paraId="40FE157B" w14:textId="77777777" w:rsidR="008C20EB" w:rsidRDefault="008D25BE">
            <w:pPr>
              <w:pStyle w:val="TableParagraph"/>
              <w:numPr>
                <w:ilvl w:val="0"/>
                <w:numId w:val="20"/>
              </w:numPr>
              <w:ind w:right="61"/>
              <w:jc w:val="both"/>
              <w:rPr>
                <w:sz w:val="20"/>
                <w:szCs w:val="20"/>
              </w:rPr>
            </w:pPr>
            <w:r>
              <w:rPr>
                <w:sz w:val="20"/>
                <w:szCs w:val="20"/>
              </w:rPr>
              <w:t>Se sustituye la dinámica aplicable acreedora a las cuentas 2701 y 2702.</w:t>
            </w:r>
          </w:p>
          <w:p w14:paraId="40FE157C" w14:textId="77777777" w:rsidR="008C20EB" w:rsidRDefault="008D25BE">
            <w:pPr>
              <w:pStyle w:val="TableParagraph"/>
              <w:numPr>
                <w:ilvl w:val="0"/>
                <w:numId w:val="20"/>
              </w:numPr>
              <w:ind w:right="61"/>
              <w:jc w:val="both"/>
              <w:rPr>
                <w:sz w:val="20"/>
                <w:szCs w:val="20"/>
              </w:rPr>
            </w:pPr>
            <w:r>
              <w:rPr>
                <w:sz w:val="20"/>
                <w:szCs w:val="20"/>
              </w:rPr>
              <w:t xml:space="preserve">Se sustituye la denominación de la subcuenta 4305.04 “Provisiones para litigios y demandas” por “Provisiones por controversias”. </w:t>
            </w:r>
          </w:p>
          <w:p w14:paraId="40FE157D" w14:textId="77777777" w:rsidR="008C20EB" w:rsidRDefault="008D25BE">
            <w:pPr>
              <w:pStyle w:val="TableParagraph"/>
              <w:numPr>
                <w:ilvl w:val="0"/>
                <w:numId w:val="20"/>
              </w:numPr>
              <w:ind w:right="61"/>
              <w:jc w:val="both"/>
              <w:rPr>
                <w:sz w:val="20"/>
                <w:szCs w:val="20"/>
              </w:rPr>
            </w:pPr>
            <w:r>
              <w:rPr>
                <w:sz w:val="20"/>
                <w:szCs w:val="20"/>
              </w:rPr>
              <w:t>Se incorpora una descripción a la subcuenta 4305.04 denominada “Provisiones por controversias”.</w:t>
            </w:r>
          </w:p>
          <w:p w14:paraId="40FE157E" w14:textId="77777777" w:rsidR="008C20EB" w:rsidRDefault="008D25BE">
            <w:pPr>
              <w:pStyle w:val="TableParagraph"/>
              <w:numPr>
                <w:ilvl w:val="0"/>
                <w:numId w:val="20"/>
              </w:numPr>
              <w:ind w:right="61"/>
              <w:jc w:val="both"/>
              <w:rPr>
                <w:sz w:val="20"/>
                <w:szCs w:val="20"/>
              </w:rPr>
            </w:pPr>
            <w:r>
              <w:rPr>
                <w:sz w:val="20"/>
                <w:szCs w:val="20"/>
              </w:rPr>
              <w:t>Se sustituye la dinámica aplicable deudora a las cuentas 4301, 4302, 4303, 4304 y 4305.</w:t>
            </w:r>
          </w:p>
        </w:tc>
      </w:tr>
      <w:tr w:rsidR="008C20EB" w14:paraId="40FE1587" w14:textId="77777777">
        <w:trPr>
          <w:trHeight w:val="253"/>
        </w:trPr>
        <w:tc>
          <w:tcPr>
            <w:tcW w:w="1574" w:type="dxa"/>
          </w:tcPr>
          <w:p w14:paraId="40FE1580" w14:textId="77777777" w:rsidR="008C20EB" w:rsidRDefault="008D25BE">
            <w:pPr>
              <w:pStyle w:val="TableParagraph"/>
              <w:ind w:right="42"/>
              <w:jc w:val="both"/>
              <w:rPr>
                <w:b/>
                <w:sz w:val="20"/>
                <w:szCs w:val="20"/>
              </w:rPr>
            </w:pPr>
            <w:r>
              <w:rPr>
                <w:b/>
                <w:sz w:val="20"/>
                <w:szCs w:val="20"/>
              </w:rPr>
              <w:lastRenderedPageBreak/>
              <w:t>Resolución</w:t>
            </w:r>
          </w:p>
          <w:p w14:paraId="40FE1581" w14:textId="77777777" w:rsidR="008C20EB" w:rsidRDefault="008D25BE">
            <w:pPr>
              <w:pStyle w:val="TableParagraph"/>
              <w:ind w:right="42"/>
              <w:jc w:val="both"/>
              <w:rPr>
                <w:b/>
                <w:sz w:val="20"/>
                <w:szCs w:val="20"/>
              </w:rPr>
            </w:pPr>
            <w:r>
              <w:rPr>
                <w:b/>
                <w:sz w:val="20"/>
                <w:szCs w:val="20"/>
              </w:rPr>
              <w:t>SBS 2400-2021</w:t>
            </w:r>
          </w:p>
        </w:tc>
        <w:tc>
          <w:tcPr>
            <w:tcW w:w="1560" w:type="dxa"/>
          </w:tcPr>
          <w:p w14:paraId="40FE1582" w14:textId="77777777" w:rsidR="008C20EB" w:rsidRDefault="008D25BE">
            <w:pPr>
              <w:pStyle w:val="TableParagraph"/>
              <w:spacing w:line="234" w:lineRule="exact"/>
              <w:jc w:val="both"/>
              <w:rPr>
                <w:b/>
                <w:sz w:val="20"/>
                <w:szCs w:val="20"/>
              </w:rPr>
            </w:pPr>
            <w:r>
              <w:rPr>
                <w:b/>
                <w:sz w:val="20"/>
                <w:szCs w:val="20"/>
              </w:rPr>
              <w:t>Pr.    17.08.2021    /</w:t>
            </w:r>
          </w:p>
          <w:p w14:paraId="40FE1583" w14:textId="77777777" w:rsidR="008C20EB" w:rsidRDefault="008D25BE">
            <w:pPr>
              <w:pStyle w:val="TableParagraph"/>
              <w:spacing w:line="234" w:lineRule="exact"/>
              <w:jc w:val="both"/>
              <w:rPr>
                <w:b/>
                <w:sz w:val="20"/>
                <w:szCs w:val="20"/>
              </w:rPr>
            </w:pPr>
            <w:r>
              <w:rPr>
                <w:b/>
                <w:sz w:val="20"/>
                <w:szCs w:val="20"/>
              </w:rPr>
              <w:t>Pub. 18.08.2021</w:t>
            </w:r>
          </w:p>
        </w:tc>
        <w:tc>
          <w:tcPr>
            <w:tcW w:w="3935" w:type="dxa"/>
          </w:tcPr>
          <w:p w14:paraId="40FE1584" w14:textId="77777777" w:rsidR="008C20EB" w:rsidRDefault="008D25BE">
            <w:pPr>
              <w:pStyle w:val="TableParagraph"/>
              <w:ind w:left="67" w:right="61"/>
              <w:jc w:val="both"/>
              <w:rPr>
                <w:rFonts w:cs="Arial"/>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son vigentes a partir de la</w:t>
            </w:r>
            <w:r>
              <w:rPr>
                <w:sz w:val="20"/>
                <w:szCs w:val="20"/>
              </w:rPr>
              <w:t xml:space="preserve"> información correspondiente al 01 de enero del 2022.</w:t>
            </w:r>
          </w:p>
        </w:tc>
        <w:tc>
          <w:tcPr>
            <w:tcW w:w="8162" w:type="dxa"/>
          </w:tcPr>
          <w:p w14:paraId="40FE1585" w14:textId="77777777" w:rsidR="008C20EB" w:rsidRDefault="008D25BE">
            <w:pPr>
              <w:pStyle w:val="TableParagraph"/>
              <w:spacing w:after="240"/>
              <w:ind w:left="67" w:right="61"/>
              <w:jc w:val="both"/>
              <w:rPr>
                <w:rFonts w:cs="Arial"/>
                <w:sz w:val="20"/>
                <w:szCs w:val="20"/>
              </w:rPr>
            </w:pPr>
            <w:r>
              <w:rPr>
                <w:rFonts w:cs="Arial"/>
                <w:sz w:val="20"/>
                <w:szCs w:val="20"/>
              </w:rPr>
              <w:t xml:space="preserve">En el </w:t>
            </w:r>
            <w:r>
              <w:rPr>
                <w:color w:val="000000"/>
                <w:sz w:val="20"/>
                <w:szCs w:val="20"/>
                <w:lang w:val="es-PE"/>
              </w:rPr>
              <w:t>Capítulo</w:t>
            </w:r>
            <w:r>
              <w:rPr>
                <w:rFonts w:cs="Arial"/>
                <w:sz w:val="20"/>
                <w:szCs w:val="20"/>
              </w:rPr>
              <w:t xml:space="preserve"> V:</w:t>
            </w:r>
          </w:p>
          <w:p w14:paraId="40FE1586" w14:textId="77777777" w:rsidR="008C20EB" w:rsidRDefault="008D25BE">
            <w:pPr>
              <w:pStyle w:val="TableParagraph"/>
              <w:numPr>
                <w:ilvl w:val="0"/>
                <w:numId w:val="20"/>
              </w:numPr>
              <w:ind w:right="61"/>
              <w:jc w:val="both"/>
              <w:rPr>
                <w:rFonts w:cs="Arial"/>
                <w:sz w:val="20"/>
                <w:szCs w:val="20"/>
              </w:rPr>
            </w:pPr>
            <w:r>
              <w:rPr>
                <w:rFonts w:cs="Arial"/>
                <w:sz w:val="20"/>
                <w:szCs w:val="20"/>
              </w:rPr>
              <w:t xml:space="preserve">Se eliminan las dos últimas filas denominadas </w:t>
            </w:r>
            <w:r>
              <w:rPr>
                <w:i/>
                <w:iCs/>
                <w:sz w:val="20"/>
                <w:szCs w:val="20"/>
              </w:rPr>
              <w:t>“Certificados de Depósitos Negociables” y “Valores en Circulación”</w:t>
            </w:r>
            <w:r>
              <w:rPr>
                <w:sz w:val="20"/>
                <w:szCs w:val="20"/>
              </w:rPr>
              <w:t xml:space="preserve"> del rubro CLIENTES CON INFORMACIÓN TIPO 1 de la Sección B “Monto Sujeto a Cobertura” del Anexo N° 17-A “Control de Imposiciones Cubiertas por el Fondo de Seguro de Depósitos”.</w:t>
            </w:r>
          </w:p>
        </w:tc>
      </w:tr>
      <w:tr w:rsidR="008C20EB" w14:paraId="40FE158F" w14:textId="77777777">
        <w:trPr>
          <w:trHeight w:val="253"/>
        </w:trPr>
        <w:tc>
          <w:tcPr>
            <w:tcW w:w="1574" w:type="dxa"/>
          </w:tcPr>
          <w:p w14:paraId="40FE1588" w14:textId="77777777" w:rsidR="008C20EB" w:rsidRDefault="008D25BE">
            <w:pPr>
              <w:pStyle w:val="TableParagraph"/>
              <w:ind w:right="42"/>
              <w:jc w:val="both"/>
              <w:rPr>
                <w:b/>
                <w:sz w:val="20"/>
                <w:szCs w:val="20"/>
              </w:rPr>
            </w:pPr>
            <w:r>
              <w:rPr>
                <w:b/>
                <w:sz w:val="20"/>
                <w:szCs w:val="20"/>
              </w:rPr>
              <w:t>Resolución</w:t>
            </w:r>
          </w:p>
          <w:p w14:paraId="40FE1589" w14:textId="77777777" w:rsidR="008C20EB" w:rsidRDefault="008D25BE">
            <w:pPr>
              <w:pStyle w:val="TableParagraph"/>
              <w:spacing w:line="234" w:lineRule="exact"/>
              <w:jc w:val="both"/>
              <w:rPr>
                <w:b/>
                <w:sz w:val="20"/>
                <w:szCs w:val="20"/>
              </w:rPr>
            </w:pPr>
            <w:r>
              <w:rPr>
                <w:b/>
                <w:sz w:val="20"/>
                <w:szCs w:val="20"/>
              </w:rPr>
              <w:t xml:space="preserve">SBS 2371-2021 </w:t>
            </w:r>
          </w:p>
        </w:tc>
        <w:tc>
          <w:tcPr>
            <w:tcW w:w="1560" w:type="dxa"/>
          </w:tcPr>
          <w:p w14:paraId="40FE158A" w14:textId="77777777" w:rsidR="008C20EB" w:rsidRDefault="008D25BE">
            <w:pPr>
              <w:pStyle w:val="TableParagraph"/>
              <w:spacing w:line="234" w:lineRule="exact"/>
              <w:jc w:val="both"/>
              <w:rPr>
                <w:b/>
                <w:sz w:val="20"/>
                <w:szCs w:val="20"/>
              </w:rPr>
            </w:pPr>
            <w:r>
              <w:rPr>
                <w:b/>
                <w:sz w:val="20"/>
                <w:szCs w:val="20"/>
              </w:rPr>
              <w:t>Pr.    13.08.2021    /</w:t>
            </w:r>
          </w:p>
          <w:p w14:paraId="40FE158B" w14:textId="77777777" w:rsidR="008C20EB" w:rsidRDefault="008D25BE">
            <w:pPr>
              <w:pStyle w:val="TableParagraph"/>
              <w:spacing w:line="234" w:lineRule="exact"/>
              <w:jc w:val="both"/>
              <w:rPr>
                <w:b/>
                <w:sz w:val="20"/>
                <w:szCs w:val="20"/>
              </w:rPr>
            </w:pPr>
            <w:r>
              <w:rPr>
                <w:b/>
                <w:sz w:val="20"/>
                <w:szCs w:val="20"/>
              </w:rPr>
              <w:t>Pub. 16.08.2021</w:t>
            </w:r>
          </w:p>
        </w:tc>
        <w:tc>
          <w:tcPr>
            <w:tcW w:w="3935" w:type="dxa"/>
          </w:tcPr>
          <w:p w14:paraId="40FE158C" w14:textId="77777777" w:rsidR="008C20EB" w:rsidRDefault="008D25BE">
            <w:pPr>
              <w:pStyle w:val="TableParagraph"/>
              <w:ind w:left="67" w:right="61"/>
              <w:jc w:val="both"/>
              <w:rPr>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son vigentes a partir de la</w:t>
            </w:r>
            <w:r>
              <w:rPr>
                <w:sz w:val="20"/>
                <w:szCs w:val="20"/>
              </w:rPr>
              <w:t xml:space="preserve"> información correspondiente al mes de agosto 2021.</w:t>
            </w:r>
          </w:p>
        </w:tc>
        <w:tc>
          <w:tcPr>
            <w:tcW w:w="8162" w:type="dxa"/>
          </w:tcPr>
          <w:p w14:paraId="40FE158D" w14:textId="77777777" w:rsidR="008C20EB" w:rsidRDefault="008D25BE">
            <w:pPr>
              <w:pStyle w:val="TableParagraph"/>
              <w:spacing w:after="240"/>
              <w:ind w:right="61"/>
              <w:jc w:val="both"/>
              <w:rPr>
                <w:color w:val="000000"/>
                <w:sz w:val="20"/>
                <w:szCs w:val="20"/>
                <w:lang w:val="es-PE"/>
              </w:rPr>
            </w:pPr>
            <w:r>
              <w:rPr>
                <w:rFonts w:cs="Arial"/>
                <w:sz w:val="20"/>
                <w:szCs w:val="20"/>
              </w:rPr>
              <w:t xml:space="preserve">  En el </w:t>
            </w:r>
            <w:r>
              <w:rPr>
                <w:color w:val="000000"/>
                <w:sz w:val="20"/>
                <w:szCs w:val="20"/>
                <w:lang w:val="es-PE"/>
              </w:rPr>
              <w:t>Capítulo</w:t>
            </w:r>
            <w:r>
              <w:rPr>
                <w:rFonts w:cs="Arial"/>
                <w:sz w:val="20"/>
                <w:szCs w:val="20"/>
              </w:rPr>
              <w:t xml:space="preserve"> V: </w:t>
            </w:r>
          </w:p>
          <w:p w14:paraId="40FE158E" w14:textId="77777777" w:rsidR="008C20EB" w:rsidRDefault="008D25BE">
            <w:pPr>
              <w:pStyle w:val="TableParagraph"/>
              <w:numPr>
                <w:ilvl w:val="0"/>
                <w:numId w:val="20"/>
              </w:numPr>
              <w:ind w:right="61"/>
              <w:jc w:val="both"/>
              <w:rPr>
                <w:b/>
                <w:sz w:val="20"/>
                <w:szCs w:val="20"/>
              </w:rPr>
            </w:pPr>
            <w:r>
              <w:rPr>
                <w:color w:val="000000"/>
                <w:sz w:val="20"/>
                <w:szCs w:val="20"/>
                <w:lang w:val="es-PE"/>
              </w:rPr>
              <w:t xml:space="preserve">Se incorpora el Reporte N° 36 denominado “Detalle por Operación de la </w:t>
            </w:r>
            <w:r>
              <w:rPr>
                <w:snapToGrid w:val="0"/>
                <w:sz w:val="20"/>
                <w:szCs w:val="20"/>
              </w:rPr>
              <w:t>Cartera</w:t>
            </w:r>
            <w:r>
              <w:rPr>
                <w:color w:val="000000"/>
                <w:sz w:val="20"/>
                <w:szCs w:val="20"/>
                <w:lang w:val="es-PE"/>
              </w:rPr>
              <w:t xml:space="preserve"> de Créditos”</w:t>
            </w:r>
            <w:r>
              <w:rPr>
                <w:sz w:val="20"/>
                <w:szCs w:val="20"/>
              </w:rPr>
              <w:t xml:space="preserve"> </w:t>
            </w:r>
          </w:p>
        </w:tc>
      </w:tr>
      <w:tr w:rsidR="008C20EB" w14:paraId="40FE15A5" w14:textId="77777777">
        <w:trPr>
          <w:trHeight w:val="253"/>
        </w:trPr>
        <w:tc>
          <w:tcPr>
            <w:tcW w:w="1574" w:type="dxa"/>
          </w:tcPr>
          <w:p w14:paraId="40FE1590" w14:textId="77777777" w:rsidR="008C20EB" w:rsidRDefault="008D25BE">
            <w:pPr>
              <w:pStyle w:val="TableParagraph"/>
              <w:ind w:right="42"/>
              <w:jc w:val="both"/>
              <w:rPr>
                <w:b/>
                <w:sz w:val="20"/>
                <w:szCs w:val="20"/>
              </w:rPr>
            </w:pPr>
            <w:r>
              <w:rPr>
                <w:b/>
                <w:sz w:val="20"/>
                <w:szCs w:val="20"/>
              </w:rPr>
              <w:t>Resolución</w:t>
            </w:r>
          </w:p>
          <w:p w14:paraId="40FE1591" w14:textId="77777777" w:rsidR="008C20EB" w:rsidRDefault="008D25BE">
            <w:pPr>
              <w:pStyle w:val="TableParagraph"/>
              <w:spacing w:line="234" w:lineRule="exact"/>
              <w:jc w:val="both"/>
              <w:rPr>
                <w:b/>
                <w:sz w:val="20"/>
                <w:szCs w:val="20"/>
              </w:rPr>
            </w:pPr>
            <w:r>
              <w:rPr>
                <w:b/>
                <w:sz w:val="20"/>
                <w:szCs w:val="20"/>
              </w:rPr>
              <w:t xml:space="preserve">SBS 2345-2021 </w:t>
            </w:r>
          </w:p>
        </w:tc>
        <w:tc>
          <w:tcPr>
            <w:tcW w:w="1560" w:type="dxa"/>
          </w:tcPr>
          <w:p w14:paraId="40FE1592" w14:textId="77777777" w:rsidR="008C20EB" w:rsidRDefault="008D25BE">
            <w:pPr>
              <w:pStyle w:val="TableParagraph"/>
              <w:spacing w:line="234" w:lineRule="exact"/>
              <w:jc w:val="both"/>
              <w:rPr>
                <w:b/>
                <w:sz w:val="20"/>
                <w:szCs w:val="20"/>
              </w:rPr>
            </w:pPr>
            <w:r>
              <w:rPr>
                <w:b/>
                <w:sz w:val="20"/>
                <w:szCs w:val="20"/>
              </w:rPr>
              <w:t>Pr.    11.08.2021    /</w:t>
            </w:r>
          </w:p>
          <w:p w14:paraId="40FE1593" w14:textId="77777777" w:rsidR="008C20EB" w:rsidRDefault="008D25BE">
            <w:pPr>
              <w:pStyle w:val="TableParagraph"/>
              <w:spacing w:line="234" w:lineRule="exact"/>
              <w:jc w:val="both"/>
              <w:rPr>
                <w:b/>
                <w:sz w:val="20"/>
                <w:szCs w:val="20"/>
              </w:rPr>
            </w:pPr>
            <w:r>
              <w:rPr>
                <w:b/>
                <w:sz w:val="20"/>
                <w:szCs w:val="20"/>
              </w:rPr>
              <w:t>Pub. 12.08.2021</w:t>
            </w:r>
          </w:p>
        </w:tc>
        <w:tc>
          <w:tcPr>
            <w:tcW w:w="3935" w:type="dxa"/>
          </w:tcPr>
          <w:p w14:paraId="40FE1594" w14:textId="77777777" w:rsidR="008C20EB" w:rsidRDefault="008D25BE">
            <w:pPr>
              <w:pStyle w:val="TableParagraph"/>
              <w:ind w:left="67" w:right="61"/>
              <w:jc w:val="both"/>
              <w:rPr>
                <w:b/>
                <w:sz w:val="20"/>
                <w:szCs w:val="20"/>
              </w:rPr>
            </w:pPr>
            <w:r>
              <w:rPr>
                <w:sz w:val="20"/>
                <w:szCs w:val="20"/>
              </w:rPr>
              <w:t>Se realizan modificaciones a los</w:t>
            </w:r>
            <w:r>
              <w:rPr>
                <w:rFonts w:cs="Arial"/>
                <w:sz w:val="20"/>
                <w:szCs w:val="20"/>
              </w:rPr>
              <w:t xml:space="preserve"> Capítulos II “</w:t>
            </w:r>
            <w:r>
              <w:rPr>
                <w:rStyle w:val="jerftexto1"/>
                <w:sz w:val="20"/>
                <w:szCs w:val="20"/>
              </w:rPr>
              <w:t>Estados Financieros e Información Complementaria “,</w:t>
            </w:r>
            <w:r>
              <w:rPr>
                <w:rFonts w:cs="Arial"/>
                <w:sz w:val="20"/>
                <w:szCs w:val="20"/>
              </w:rPr>
              <w:t xml:space="preserve"> III “Catálogo de Cuentas”, IV “Descripción y Dinámica de Cuentas” y V “Información Complementaria” del Manual de Contabilidad para las Empresas del Sistema Financiero. Dichas modificaciones son vigentes a partir de la</w:t>
            </w:r>
            <w:r>
              <w:rPr>
                <w:sz w:val="20"/>
                <w:szCs w:val="20"/>
              </w:rPr>
              <w:t xml:space="preserve"> información correspondiente al mes de agosto 2021.</w:t>
            </w:r>
          </w:p>
        </w:tc>
        <w:tc>
          <w:tcPr>
            <w:tcW w:w="8162" w:type="dxa"/>
          </w:tcPr>
          <w:p w14:paraId="40FE1595" w14:textId="77777777" w:rsidR="008C20EB" w:rsidRDefault="008D25BE">
            <w:pPr>
              <w:pStyle w:val="TableParagraph"/>
              <w:spacing w:after="240"/>
              <w:ind w:right="61"/>
              <w:jc w:val="both"/>
              <w:rPr>
                <w:color w:val="000000"/>
                <w:sz w:val="20"/>
                <w:szCs w:val="20"/>
                <w:lang w:val="es-PE"/>
              </w:rPr>
            </w:pPr>
            <w:r>
              <w:rPr>
                <w:color w:val="000000"/>
                <w:sz w:val="20"/>
                <w:szCs w:val="20"/>
                <w:lang w:val="es-PE"/>
              </w:rPr>
              <w:t xml:space="preserve">  En el Capítulo II:</w:t>
            </w:r>
          </w:p>
          <w:p w14:paraId="40FE1596" w14:textId="77777777" w:rsidR="008C20EB" w:rsidRDefault="008D25BE">
            <w:pPr>
              <w:pStyle w:val="TableParagraph"/>
              <w:numPr>
                <w:ilvl w:val="0"/>
                <w:numId w:val="32"/>
              </w:numPr>
              <w:ind w:right="61"/>
              <w:jc w:val="both"/>
              <w:rPr>
                <w:color w:val="000000"/>
                <w:sz w:val="20"/>
                <w:szCs w:val="20"/>
                <w:lang w:val="es-PE"/>
              </w:rPr>
            </w:pPr>
            <w:r>
              <w:rPr>
                <w:color w:val="000000"/>
                <w:sz w:val="20"/>
                <w:szCs w:val="20"/>
                <w:lang w:val="es-PE"/>
              </w:rPr>
              <w:t>Se realizan cambios en las</w:t>
            </w:r>
            <w:r>
              <w:rPr>
                <w:sz w:val="20"/>
                <w:szCs w:val="20"/>
              </w:rPr>
              <w:t xml:space="preserve"> Normas de Agrupación del Estado de Situación Financiera - Forma A</w:t>
            </w:r>
          </w:p>
          <w:p w14:paraId="40FE1597" w14:textId="77777777" w:rsidR="008C20EB" w:rsidRDefault="008D25BE">
            <w:pPr>
              <w:pStyle w:val="TableParagraph"/>
              <w:numPr>
                <w:ilvl w:val="0"/>
                <w:numId w:val="32"/>
              </w:numPr>
              <w:spacing w:after="240" w:line="240" w:lineRule="atLeast"/>
              <w:ind w:left="714" w:right="62" w:hanging="357"/>
              <w:jc w:val="both"/>
              <w:rPr>
                <w:color w:val="000000"/>
                <w:sz w:val="20"/>
                <w:szCs w:val="20"/>
                <w:lang w:val="es-PE"/>
              </w:rPr>
            </w:pPr>
            <w:r>
              <w:rPr>
                <w:color w:val="000000"/>
                <w:sz w:val="20"/>
                <w:szCs w:val="20"/>
                <w:lang w:val="es-PE"/>
              </w:rPr>
              <w:t>Se realizan cambios en las</w:t>
            </w:r>
            <w:r>
              <w:rPr>
                <w:sz w:val="20"/>
                <w:szCs w:val="20"/>
              </w:rPr>
              <w:t xml:space="preserve"> Normas de Agrupación del Estado de Situación Financiera - Forma B-1</w:t>
            </w:r>
          </w:p>
          <w:p w14:paraId="40FE1598" w14:textId="77777777" w:rsidR="008C20EB" w:rsidRDefault="008D25BE">
            <w:pPr>
              <w:pStyle w:val="TableParagraph"/>
              <w:spacing w:after="240"/>
              <w:ind w:right="61"/>
              <w:jc w:val="both"/>
              <w:rPr>
                <w:color w:val="000000"/>
                <w:sz w:val="20"/>
                <w:szCs w:val="20"/>
                <w:lang w:val="es-PE"/>
              </w:rPr>
            </w:pPr>
            <w:r>
              <w:rPr>
                <w:color w:val="000000"/>
                <w:sz w:val="20"/>
                <w:szCs w:val="20"/>
                <w:lang w:val="es-PE"/>
              </w:rPr>
              <w:t xml:space="preserve">  En los Capítulo III y IV :</w:t>
            </w:r>
          </w:p>
          <w:p w14:paraId="40FE1599"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 xml:space="preserve">Se modifica el primer párrafo de la descripción del rubro 26 “Adeudos y </w:t>
            </w:r>
            <w:r>
              <w:rPr>
                <w:snapToGrid w:val="0"/>
                <w:sz w:val="20"/>
                <w:szCs w:val="20"/>
              </w:rPr>
              <w:br/>
              <w:t>obligaciones financieras a largo plazo”.</w:t>
            </w:r>
          </w:p>
          <w:p w14:paraId="40FE159A"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modifica la descripción de la cuenta 2608 “Gastos por pagar de adeudos y obligaciones financieras a largo plazo”.</w:t>
            </w:r>
          </w:p>
          <w:p w14:paraId="40FE159B"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subcuenta 2608.08 “Gastos por pagar de acciones preferentes – DU N° 037-2021”.</w:t>
            </w:r>
          </w:p>
          <w:p w14:paraId="40FE159C"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subcuenta 2802.05 “Bonos subordinados – DU N° 037- 2021”.</w:t>
            </w:r>
          </w:p>
          <w:p w14:paraId="40FE159D"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subcuenta 2808.02 “Gastos por pagar por bonos subordinados”.</w:t>
            </w:r>
          </w:p>
          <w:p w14:paraId="40FE159E"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sustituye la descripción de la cuenta 2808 “Gastos por pagar por valores, títulos y obligaciones en circulación”.</w:t>
            </w:r>
          </w:p>
          <w:p w14:paraId="40FE159F"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subcuenta 3101.05 “Acciones Preferentes – DU N° 037-2021”.</w:t>
            </w:r>
          </w:p>
          <w:p w14:paraId="40FE15A0" w14:textId="77777777" w:rsidR="008C20EB" w:rsidRDefault="008D25BE">
            <w:pPr>
              <w:pStyle w:val="TableParagraph"/>
              <w:numPr>
                <w:ilvl w:val="0"/>
                <w:numId w:val="20"/>
              </w:numPr>
              <w:spacing w:after="100" w:afterAutospacing="1"/>
              <w:ind w:left="794" w:right="62" w:hanging="357"/>
              <w:jc w:val="both"/>
              <w:rPr>
                <w:sz w:val="20"/>
                <w:szCs w:val="20"/>
              </w:rPr>
            </w:pPr>
            <w:r>
              <w:rPr>
                <w:snapToGrid w:val="0"/>
                <w:sz w:val="20"/>
                <w:szCs w:val="20"/>
              </w:rPr>
              <w:t>Se incorpora la subcuenta 4104.08 “Retribución por acciones preferentes – DU N° 037-2021”.</w:t>
            </w:r>
          </w:p>
          <w:p w14:paraId="40FE15A1" w14:textId="77777777" w:rsidR="008C20EB" w:rsidRDefault="008D25BE">
            <w:pPr>
              <w:pStyle w:val="TableParagraph"/>
              <w:numPr>
                <w:ilvl w:val="0"/>
                <w:numId w:val="20"/>
              </w:numPr>
              <w:spacing w:after="100" w:afterAutospacing="1"/>
              <w:ind w:left="794" w:right="62" w:hanging="357"/>
              <w:jc w:val="both"/>
              <w:rPr>
                <w:snapToGrid w:val="0"/>
                <w:sz w:val="20"/>
                <w:szCs w:val="20"/>
              </w:rPr>
            </w:pPr>
            <w:r>
              <w:rPr>
                <w:snapToGrid w:val="0"/>
                <w:sz w:val="20"/>
                <w:szCs w:val="20"/>
              </w:rPr>
              <w:t>Se incorpora la cuenta analítica 4106.02.05 “Intereses por bonos subordinados – DU N° 037-2021”.</w:t>
            </w:r>
          </w:p>
          <w:p w14:paraId="40FE15A2" w14:textId="77777777" w:rsidR="008C20EB" w:rsidRDefault="008D25BE">
            <w:pPr>
              <w:pStyle w:val="TableParagraph"/>
              <w:spacing w:after="240"/>
              <w:ind w:right="61"/>
              <w:jc w:val="both"/>
              <w:rPr>
                <w:color w:val="000000"/>
                <w:sz w:val="20"/>
                <w:szCs w:val="20"/>
                <w:lang w:val="es-PE"/>
              </w:rPr>
            </w:pPr>
            <w:r>
              <w:rPr>
                <w:color w:val="000000"/>
                <w:sz w:val="20"/>
                <w:szCs w:val="20"/>
                <w:lang w:val="es-PE"/>
              </w:rPr>
              <w:t xml:space="preserve">  Adicionalmente, se realizan las siguientes modificaciones e</w:t>
            </w:r>
            <w:r>
              <w:rPr>
                <w:rFonts w:cs="Arial"/>
                <w:sz w:val="20"/>
                <w:szCs w:val="20"/>
              </w:rPr>
              <w:t xml:space="preserve">n el Capítulo V: </w:t>
            </w:r>
          </w:p>
          <w:p w14:paraId="40FE15A3" w14:textId="77777777" w:rsidR="008C20EB" w:rsidRDefault="008D25BE">
            <w:pPr>
              <w:pStyle w:val="TableParagraph"/>
              <w:numPr>
                <w:ilvl w:val="0"/>
                <w:numId w:val="20"/>
              </w:numPr>
              <w:ind w:right="61"/>
              <w:jc w:val="both"/>
              <w:rPr>
                <w:color w:val="000000"/>
                <w:sz w:val="20"/>
                <w:szCs w:val="20"/>
                <w:lang w:val="es-PE"/>
              </w:rPr>
            </w:pPr>
            <w:r>
              <w:rPr>
                <w:snapToGrid w:val="0"/>
                <w:sz w:val="20"/>
                <w:szCs w:val="20"/>
              </w:rPr>
              <w:lastRenderedPageBreak/>
              <w:t>Se modifica el Reporte N° 3 “Patrimonio Efectivo".</w:t>
            </w:r>
            <w:r>
              <w:rPr>
                <w:sz w:val="20"/>
                <w:szCs w:val="20"/>
              </w:rPr>
              <w:t xml:space="preserve"> </w:t>
            </w:r>
          </w:p>
          <w:p w14:paraId="40FE15A4" w14:textId="77777777" w:rsidR="008C20EB" w:rsidRDefault="008C20EB">
            <w:pPr>
              <w:pStyle w:val="TableParagraph"/>
              <w:ind w:left="435" w:right="61"/>
              <w:jc w:val="both"/>
              <w:rPr>
                <w:color w:val="000000"/>
                <w:sz w:val="20"/>
                <w:szCs w:val="20"/>
                <w:lang w:val="es-PE"/>
              </w:rPr>
            </w:pPr>
          </w:p>
        </w:tc>
      </w:tr>
      <w:tr w:rsidR="008C20EB" w14:paraId="40FE15B9" w14:textId="77777777">
        <w:trPr>
          <w:trHeight w:val="253"/>
        </w:trPr>
        <w:tc>
          <w:tcPr>
            <w:tcW w:w="1574" w:type="dxa"/>
          </w:tcPr>
          <w:p w14:paraId="40FE15A6" w14:textId="77777777" w:rsidR="008C20EB" w:rsidRDefault="008D25BE">
            <w:pPr>
              <w:pStyle w:val="TableParagraph"/>
              <w:ind w:left="71" w:right="42"/>
              <w:jc w:val="both"/>
              <w:rPr>
                <w:b/>
                <w:sz w:val="20"/>
                <w:szCs w:val="20"/>
              </w:rPr>
            </w:pPr>
            <w:r>
              <w:rPr>
                <w:b/>
                <w:sz w:val="20"/>
                <w:szCs w:val="20"/>
              </w:rPr>
              <w:lastRenderedPageBreak/>
              <w:t>Resolución</w:t>
            </w:r>
          </w:p>
          <w:p w14:paraId="40FE15A7" w14:textId="77777777" w:rsidR="008C20EB" w:rsidRDefault="008D25BE">
            <w:pPr>
              <w:pStyle w:val="TableParagraph"/>
              <w:ind w:left="71" w:right="42"/>
              <w:jc w:val="both"/>
              <w:rPr>
                <w:b/>
                <w:sz w:val="20"/>
                <w:szCs w:val="20"/>
              </w:rPr>
            </w:pPr>
            <w:r>
              <w:rPr>
                <w:b/>
                <w:sz w:val="20"/>
                <w:szCs w:val="20"/>
              </w:rPr>
              <w:t xml:space="preserve">SBS 1933-2021 </w:t>
            </w:r>
          </w:p>
        </w:tc>
        <w:tc>
          <w:tcPr>
            <w:tcW w:w="1560" w:type="dxa"/>
          </w:tcPr>
          <w:p w14:paraId="40FE15A8" w14:textId="77777777" w:rsidR="008C20EB" w:rsidRDefault="008D25BE">
            <w:pPr>
              <w:pStyle w:val="TableParagraph"/>
              <w:spacing w:line="234" w:lineRule="exact"/>
              <w:jc w:val="both"/>
              <w:rPr>
                <w:b/>
                <w:sz w:val="20"/>
                <w:szCs w:val="20"/>
              </w:rPr>
            </w:pPr>
            <w:r>
              <w:rPr>
                <w:b/>
                <w:sz w:val="20"/>
                <w:szCs w:val="20"/>
              </w:rPr>
              <w:t>Pr.    01.07.2021    /</w:t>
            </w:r>
          </w:p>
          <w:p w14:paraId="40FE15A9" w14:textId="77777777" w:rsidR="008C20EB" w:rsidRDefault="008D25BE">
            <w:pPr>
              <w:pStyle w:val="TableParagraph"/>
              <w:spacing w:line="234" w:lineRule="exact"/>
              <w:jc w:val="both"/>
              <w:rPr>
                <w:b/>
                <w:sz w:val="20"/>
                <w:szCs w:val="20"/>
              </w:rPr>
            </w:pPr>
            <w:r>
              <w:rPr>
                <w:b/>
                <w:sz w:val="20"/>
                <w:szCs w:val="20"/>
              </w:rPr>
              <w:t>Pub. 02.07.2021</w:t>
            </w:r>
          </w:p>
        </w:tc>
        <w:tc>
          <w:tcPr>
            <w:tcW w:w="3935" w:type="dxa"/>
          </w:tcPr>
          <w:p w14:paraId="40FE15AA" w14:textId="77777777" w:rsidR="008C20EB" w:rsidRDefault="008D25BE">
            <w:pPr>
              <w:pStyle w:val="TableParagraph"/>
              <w:ind w:left="67" w:right="61"/>
              <w:jc w:val="both"/>
              <w:rPr>
                <w:b/>
                <w:sz w:val="20"/>
                <w:szCs w:val="20"/>
              </w:rPr>
            </w:pPr>
            <w:r>
              <w:rPr>
                <w:sz w:val="20"/>
                <w:szCs w:val="20"/>
              </w:rPr>
              <w:t>Se realizan modificaciones a los</w:t>
            </w:r>
            <w:r>
              <w:rPr>
                <w:rFonts w:cs="Arial"/>
                <w:sz w:val="20"/>
                <w:szCs w:val="20"/>
              </w:rPr>
              <w:t xml:space="preserve"> Capítulos III “Catálogo de Cuentas”, IV “Descripción y Dinámica de Cuentas” y V “Información Complementaria” del Manual de Contabilidad para las Empresas del Sistema Financiero. Dichas modificaciones son vigentes a partir de la</w:t>
            </w:r>
            <w:r>
              <w:rPr>
                <w:sz w:val="20"/>
                <w:szCs w:val="20"/>
              </w:rPr>
              <w:t xml:space="preserve"> información correspondiente al mes de junio 2021.</w:t>
            </w:r>
          </w:p>
        </w:tc>
        <w:tc>
          <w:tcPr>
            <w:tcW w:w="8162" w:type="dxa"/>
          </w:tcPr>
          <w:p w14:paraId="40FE15AB"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En los Capítulo III y IV se incorporan:</w:t>
            </w:r>
          </w:p>
          <w:p w14:paraId="40FE15A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w:t>
            </w:r>
            <w:r>
              <w:rPr>
                <w:sz w:val="20"/>
                <w:szCs w:val="20"/>
              </w:rPr>
              <w:t xml:space="preserve">incorporan </w:t>
            </w:r>
            <w:r>
              <w:rPr>
                <w:rFonts w:cs="Arial"/>
                <w:snapToGrid w:val="0"/>
                <w:sz w:val="20"/>
                <w:szCs w:val="20"/>
              </w:rPr>
              <w:t xml:space="preserve">las subcuentas 8109.47 “Créditos Reprogramados FAE-MYPE 1 - </w:t>
            </w:r>
            <w:r>
              <w:rPr>
                <w:rFonts w:cs="Arial"/>
                <w:snapToGrid w:val="0"/>
                <w:sz w:val="20"/>
                <w:szCs w:val="20"/>
                <w:lang w:val="pt-BR"/>
              </w:rPr>
              <w:t>DU N° 029-2021</w:t>
            </w:r>
            <w:r>
              <w:rPr>
                <w:rFonts w:cs="Arial"/>
                <w:snapToGrid w:val="0"/>
                <w:sz w:val="20"/>
                <w:szCs w:val="20"/>
              </w:rPr>
              <w:t xml:space="preserve">” y 8109.48 “Créditos Reprogramados FAE-MYPE 2 - </w:t>
            </w:r>
            <w:r>
              <w:rPr>
                <w:rFonts w:cs="Arial"/>
                <w:snapToGrid w:val="0"/>
                <w:sz w:val="20"/>
                <w:szCs w:val="20"/>
                <w:lang w:val="pt-BR"/>
              </w:rPr>
              <w:t>DU N° 029-2021</w:t>
            </w:r>
            <w:r>
              <w:rPr>
                <w:rFonts w:cs="Arial"/>
                <w:snapToGrid w:val="0"/>
                <w:sz w:val="20"/>
                <w:szCs w:val="20"/>
              </w:rPr>
              <w:t>”, junto con sus respectivas descripciones, cuentas analíticas y subcuentas analíticas.</w:t>
            </w:r>
          </w:p>
          <w:p w14:paraId="40FE15AD"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incorpora </w:t>
            </w:r>
            <w:r>
              <w:rPr>
                <w:snapToGrid w:val="0"/>
                <w:sz w:val="20"/>
                <w:szCs w:val="20"/>
              </w:rPr>
              <w:t>la cuenta analítica 8404.05.19 “Garantía otorgada para créditos reprogramados FAE-MYPE”, junto con su descripción</w:t>
            </w:r>
            <w:r>
              <w:rPr>
                <w:rFonts w:cs="Arial"/>
                <w:snapToGrid w:val="0"/>
                <w:sz w:val="20"/>
                <w:szCs w:val="20"/>
              </w:rPr>
              <w:t>.</w:t>
            </w:r>
          </w:p>
          <w:p w14:paraId="40FE15AE" w14:textId="77777777" w:rsidR="008C20EB" w:rsidRDefault="008D25BE">
            <w:pPr>
              <w:pStyle w:val="TableParagraph"/>
              <w:numPr>
                <w:ilvl w:val="0"/>
                <w:numId w:val="20"/>
              </w:numPr>
              <w:ind w:right="61"/>
              <w:jc w:val="both"/>
              <w:rPr>
                <w:sz w:val="20"/>
                <w:szCs w:val="20"/>
              </w:rPr>
            </w:pPr>
            <w:r>
              <w:rPr>
                <w:sz w:val="20"/>
                <w:szCs w:val="20"/>
              </w:rPr>
              <w:t xml:space="preserve">Se incorpora un último párrafo </w:t>
            </w:r>
            <w:r>
              <w:rPr>
                <w:rFonts w:cs="Arial"/>
                <w:snapToGrid w:val="0"/>
                <w:sz w:val="20"/>
                <w:szCs w:val="20"/>
              </w:rPr>
              <w:t>en la descripción de la cuenta 8108 “</w:t>
            </w:r>
            <w:r>
              <w:rPr>
                <w:sz w:val="20"/>
                <w:szCs w:val="20"/>
              </w:rPr>
              <w:t>Créditos que participan en el Programa REACTIVA PERÚ”</w:t>
            </w:r>
            <w:r>
              <w:rPr>
                <w:rFonts w:cs="Arial"/>
                <w:snapToGrid w:val="0"/>
                <w:sz w:val="20"/>
                <w:szCs w:val="20"/>
              </w:rPr>
              <w:t>.</w:t>
            </w:r>
          </w:p>
          <w:p w14:paraId="40FE15AF" w14:textId="77777777" w:rsidR="008C20EB" w:rsidRDefault="008D25BE">
            <w:pPr>
              <w:pStyle w:val="TableParagraph"/>
              <w:numPr>
                <w:ilvl w:val="0"/>
                <w:numId w:val="20"/>
              </w:numPr>
              <w:spacing w:after="240"/>
              <w:ind w:right="61"/>
              <w:jc w:val="both"/>
              <w:rPr>
                <w:sz w:val="20"/>
                <w:szCs w:val="20"/>
              </w:rPr>
            </w:pPr>
            <w:r>
              <w:rPr>
                <w:sz w:val="20"/>
                <w:szCs w:val="20"/>
              </w:rPr>
              <w:t xml:space="preserve">Se incorpora un último párrafo </w:t>
            </w:r>
            <w:r>
              <w:rPr>
                <w:rFonts w:cs="Arial"/>
                <w:snapToGrid w:val="0"/>
                <w:sz w:val="20"/>
                <w:szCs w:val="20"/>
              </w:rPr>
              <w:t>en la descripción de la cuenta 8404.05.18 “</w:t>
            </w:r>
            <w:r>
              <w:rPr>
                <w:rFonts w:cs="Arial"/>
                <w:sz w:val="20"/>
                <w:szCs w:val="20"/>
              </w:rPr>
              <w:t>Garantía otorgada por el Gobierno Nacional – Créditos Reprogramados Programa Reactiva Perú</w:t>
            </w:r>
            <w:r>
              <w:rPr>
                <w:rFonts w:cs="Arial"/>
                <w:snapToGrid w:val="0"/>
                <w:sz w:val="20"/>
                <w:szCs w:val="20"/>
              </w:rPr>
              <w:t xml:space="preserve"> “.</w:t>
            </w:r>
          </w:p>
          <w:p w14:paraId="40FE15B0" w14:textId="77777777" w:rsidR="008C20EB" w:rsidRDefault="008D25BE">
            <w:pPr>
              <w:pStyle w:val="TableParagraph"/>
              <w:spacing w:after="240"/>
              <w:ind w:left="67" w:right="61"/>
              <w:jc w:val="both"/>
              <w:rPr>
                <w:color w:val="000000"/>
                <w:sz w:val="20"/>
                <w:szCs w:val="20"/>
                <w:lang w:val="es-PE"/>
              </w:rPr>
            </w:pPr>
            <w:r>
              <w:rPr>
                <w:color w:val="000000"/>
                <w:sz w:val="20"/>
                <w:szCs w:val="20"/>
                <w:lang w:val="es-PE"/>
              </w:rPr>
              <w:t>Adicionalmente, se realizan las siguientes modificaciones e</w:t>
            </w:r>
            <w:r>
              <w:rPr>
                <w:rFonts w:cs="Arial"/>
                <w:sz w:val="20"/>
                <w:szCs w:val="20"/>
              </w:rPr>
              <w:t xml:space="preserve">n el Capítulo V: </w:t>
            </w:r>
          </w:p>
          <w:p w14:paraId="40FE15B1" w14:textId="77777777" w:rsidR="008C20EB" w:rsidRDefault="008D25BE">
            <w:pPr>
              <w:pStyle w:val="TableParagraph"/>
              <w:numPr>
                <w:ilvl w:val="0"/>
                <w:numId w:val="20"/>
              </w:numPr>
              <w:ind w:right="61"/>
              <w:jc w:val="both"/>
              <w:rPr>
                <w:sz w:val="20"/>
                <w:szCs w:val="20"/>
              </w:rPr>
            </w:pPr>
            <w:r>
              <w:rPr>
                <w:sz w:val="20"/>
                <w:szCs w:val="20"/>
              </w:rPr>
              <w:t xml:space="preserve">Se modifican la nota metodológica 5b del Anexo N° 5 “Informe de Clasificación de Deudores y Provisiones” </w:t>
            </w:r>
          </w:p>
          <w:p w14:paraId="40FE15B2" w14:textId="77777777" w:rsidR="008C20EB" w:rsidRDefault="008D25BE">
            <w:pPr>
              <w:pStyle w:val="TableParagraph"/>
              <w:numPr>
                <w:ilvl w:val="0"/>
                <w:numId w:val="20"/>
              </w:numPr>
              <w:ind w:right="61"/>
              <w:jc w:val="both"/>
              <w:rPr>
                <w:sz w:val="20"/>
                <w:szCs w:val="20"/>
              </w:rPr>
            </w:pPr>
            <w:r>
              <w:rPr>
                <w:sz w:val="20"/>
                <w:szCs w:val="20"/>
              </w:rPr>
              <w:t>Se modifica el Anexo N° 6 “Reporte Crediticio de Deudores - RCD”, incorporándose lo siguiente:</w:t>
            </w:r>
          </w:p>
          <w:p w14:paraId="40FE15B3" w14:textId="77777777" w:rsidR="008C20EB" w:rsidRDefault="008D25BE">
            <w:pPr>
              <w:pStyle w:val="TableParagraph"/>
              <w:numPr>
                <w:ilvl w:val="0"/>
                <w:numId w:val="33"/>
              </w:numPr>
              <w:ind w:right="61"/>
              <w:jc w:val="both"/>
              <w:rPr>
                <w:sz w:val="20"/>
                <w:szCs w:val="20"/>
              </w:rPr>
            </w:pPr>
            <w:r>
              <w:rPr>
                <w:rFonts w:cs="Arial"/>
                <w:snapToGrid w:val="0"/>
                <w:sz w:val="20"/>
                <w:szCs w:val="20"/>
              </w:rPr>
              <w:t>Las subcuentas analíticas de la subcuenta 8109.47 “Créditos Reprogramados FAE-MYPE 1- DU N° 029-2021”.</w:t>
            </w:r>
          </w:p>
          <w:p w14:paraId="40FE15B4" w14:textId="77777777" w:rsidR="008C20EB" w:rsidRDefault="008D25BE">
            <w:pPr>
              <w:pStyle w:val="TableParagraph"/>
              <w:numPr>
                <w:ilvl w:val="0"/>
                <w:numId w:val="33"/>
              </w:numPr>
              <w:ind w:right="61"/>
              <w:jc w:val="both"/>
              <w:rPr>
                <w:sz w:val="20"/>
                <w:szCs w:val="20"/>
              </w:rPr>
            </w:pPr>
            <w:r>
              <w:rPr>
                <w:rFonts w:cs="Arial"/>
                <w:snapToGrid w:val="0"/>
                <w:sz w:val="20"/>
                <w:szCs w:val="20"/>
              </w:rPr>
              <w:t>Las subcuentas analíticas de la subcuenta 8109.48 “Créditos Reprogramados FAE-MYPE 2- DU N° 029-2021”.</w:t>
            </w:r>
          </w:p>
          <w:p w14:paraId="40FE15B5" w14:textId="77777777" w:rsidR="008C20EB" w:rsidRDefault="008D25BE">
            <w:pPr>
              <w:pStyle w:val="TableParagraph"/>
              <w:numPr>
                <w:ilvl w:val="0"/>
                <w:numId w:val="33"/>
              </w:numPr>
              <w:ind w:right="61"/>
              <w:jc w:val="both"/>
              <w:rPr>
                <w:sz w:val="20"/>
                <w:szCs w:val="20"/>
              </w:rPr>
            </w:pPr>
            <w:r>
              <w:rPr>
                <w:rFonts w:cs="Arial"/>
                <w:snapToGrid w:val="0"/>
                <w:sz w:val="20"/>
                <w:szCs w:val="20"/>
              </w:rPr>
              <w:t>La cuenta analítica 8404.05.19 “Garantía otorgada para créditos reprogramados FAE-MYPE”.</w:t>
            </w:r>
          </w:p>
          <w:p w14:paraId="40FE15B6" w14:textId="77777777" w:rsidR="008C20EB" w:rsidRDefault="008C20EB">
            <w:pPr>
              <w:pStyle w:val="TableParagraph"/>
              <w:ind w:right="61"/>
              <w:jc w:val="both"/>
              <w:rPr>
                <w:sz w:val="20"/>
                <w:szCs w:val="20"/>
              </w:rPr>
            </w:pPr>
          </w:p>
          <w:p w14:paraId="40FE15B7" w14:textId="77777777" w:rsidR="008C20EB" w:rsidRDefault="008D25BE">
            <w:pPr>
              <w:pStyle w:val="TableParagraph"/>
              <w:numPr>
                <w:ilvl w:val="0"/>
                <w:numId w:val="20"/>
              </w:numPr>
              <w:ind w:right="61"/>
              <w:jc w:val="both"/>
              <w:rPr>
                <w:sz w:val="20"/>
                <w:szCs w:val="20"/>
              </w:rPr>
            </w:pPr>
            <w:r>
              <w:rPr>
                <w:sz w:val="20"/>
                <w:szCs w:val="20"/>
              </w:rPr>
              <w:t>Se modifica la nota metodológica I.9 del Reporte N° 2-A1 “Activos y Contingentes Ponderados por Riesgo de Crédito - Método Estándar".</w:t>
            </w:r>
          </w:p>
          <w:p w14:paraId="40FE15B8" w14:textId="77777777" w:rsidR="008C20EB" w:rsidRDefault="008C20EB">
            <w:pPr>
              <w:pStyle w:val="TableParagraph"/>
              <w:spacing w:line="234" w:lineRule="exact"/>
              <w:ind w:left="3271" w:right="3265"/>
              <w:jc w:val="both"/>
              <w:rPr>
                <w:b/>
                <w:sz w:val="20"/>
                <w:szCs w:val="20"/>
              </w:rPr>
            </w:pPr>
          </w:p>
        </w:tc>
      </w:tr>
      <w:tr w:rsidR="008C20EB" w14:paraId="40FE15C7" w14:textId="77777777">
        <w:trPr>
          <w:trHeight w:val="253"/>
        </w:trPr>
        <w:tc>
          <w:tcPr>
            <w:tcW w:w="1574" w:type="dxa"/>
          </w:tcPr>
          <w:p w14:paraId="40FE15BA" w14:textId="77777777" w:rsidR="008C20EB" w:rsidRDefault="008D25BE">
            <w:pPr>
              <w:pStyle w:val="TableParagraph"/>
              <w:ind w:left="71" w:right="42"/>
              <w:jc w:val="both"/>
              <w:rPr>
                <w:b/>
                <w:sz w:val="20"/>
                <w:szCs w:val="20"/>
              </w:rPr>
            </w:pPr>
            <w:r>
              <w:rPr>
                <w:b/>
                <w:sz w:val="20"/>
                <w:szCs w:val="20"/>
              </w:rPr>
              <w:t>Resolución</w:t>
            </w:r>
          </w:p>
          <w:p w14:paraId="40FE15BB" w14:textId="77777777" w:rsidR="008C20EB" w:rsidRDefault="008D25BE">
            <w:pPr>
              <w:pStyle w:val="TableParagraph"/>
              <w:ind w:left="71" w:right="42"/>
              <w:jc w:val="both"/>
              <w:rPr>
                <w:b/>
                <w:sz w:val="20"/>
                <w:szCs w:val="20"/>
              </w:rPr>
            </w:pPr>
            <w:r>
              <w:rPr>
                <w:b/>
                <w:sz w:val="20"/>
                <w:szCs w:val="20"/>
              </w:rPr>
              <w:t>SBS 1760-2021</w:t>
            </w:r>
          </w:p>
          <w:p w14:paraId="40FE15BC" w14:textId="77777777" w:rsidR="008C20EB" w:rsidRDefault="008C20EB">
            <w:pPr>
              <w:pStyle w:val="TableParagraph"/>
              <w:ind w:left="71" w:right="42"/>
              <w:jc w:val="both"/>
              <w:rPr>
                <w:b/>
                <w:sz w:val="20"/>
                <w:szCs w:val="20"/>
              </w:rPr>
            </w:pPr>
          </w:p>
          <w:p w14:paraId="40FE15BD" w14:textId="77777777" w:rsidR="008C20EB" w:rsidRDefault="008C20EB">
            <w:pPr>
              <w:pStyle w:val="TableParagraph"/>
              <w:ind w:left="71" w:right="42"/>
              <w:jc w:val="both"/>
              <w:rPr>
                <w:b/>
                <w:sz w:val="20"/>
                <w:szCs w:val="20"/>
              </w:rPr>
            </w:pPr>
          </w:p>
          <w:p w14:paraId="40FE15BE" w14:textId="77777777" w:rsidR="008C20EB" w:rsidRDefault="008C20EB">
            <w:pPr>
              <w:pStyle w:val="TableParagraph"/>
              <w:ind w:left="71" w:right="42"/>
              <w:jc w:val="both"/>
              <w:rPr>
                <w:b/>
                <w:sz w:val="20"/>
                <w:szCs w:val="20"/>
              </w:rPr>
            </w:pPr>
          </w:p>
          <w:p w14:paraId="40FE15BF" w14:textId="77777777" w:rsidR="008C20EB" w:rsidRDefault="008C20EB">
            <w:pPr>
              <w:pStyle w:val="TableParagraph"/>
              <w:ind w:left="71" w:right="42"/>
              <w:jc w:val="both"/>
              <w:rPr>
                <w:b/>
                <w:sz w:val="20"/>
                <w:szCs w:val="20"/>
              </w:rPr>
            </w:pPr>
          </w:p>
          <w:p w14:paraId="40FE15C0" w14:textId="77777777" w:rsidR="008C20EB" w:rsidRDefault="008D25BE">
            <w:pPr>
              <w:pStyle w:val="TableParagraph"/>
              <w:ind w:left="71" w:right="42"/>
              <w:jc w:val="both"/>
              <w:rPr>
                <w:b/>
                <w:sz w:val="20"/>
                <w:szCs w:val="20"/>
              </w:rPr>
            </w:pPr>
            <w:r>
              <w:rPr>
                <w:b/>
                <w:sz w:val="20"/>
                <w:szCs w:val="20"/>
              </w:rPr>
              <w:t xml:space="preserve"> </w:t>
            </w:r>
          </w:p>
        </w:tc>
        <w:tc>
          <w:tcPr>
            <w:tcW w:w="1560" w:type="dxa"/>
          </w:tcPr>
          <w:p w14:paraId="40FE15C1" w14:textId="77777777" w:rsidR="008C20EB" w:rsidRDefault="008D25BE">
            <w:pPr>
              <w:pStyle w:val="TableParagraph"/>
              <w:spacing w:line="234" w:lineRule="exact"/>
              <w:jc w:val="both"/>
              <w:rPr>
                <w:b/>
                <w:sz w:val="20"/>
                <w:szCs w:val="20"/>
              </w:rPr>
            </w:pPr>
            <w:r>
              <w:rPr>
                <w:b/>
                <w:sz w:val="20"/>
                <w:szCs w:val="20"/>
              </w:rPr>
              <w:t>Pr.    16.06.2021    /</w:t>
            </w:r>
          </w:p>
          <w:p w14:paraId="40FE15C2" w14:textId="77777777" w:rsidR="008C20EB" w:rsidRDefault="008D25BE">
            <w:pPr>
              <w:pStyle w:val="TableParagraph"/>
              <w:spacing w:line="234" w:lineRule="exact"/>
              <w:jc w:val="both"/>
              <w:rPr>
                <w:b/>
                <w:sz w:val="20"/>
                <w:szCs w:val="20"/>
              </w:rPr>
            </w:pPr>
            <w:r>
              <w:rPr>
                <w:b/>
                <w:sz w:val="20"/>
                <w:szCs w:val="20"/>
              </w:rPr>
              <w:t>Pub. 17.06.2021</w:t>
            </w:r>
          </w:p>
        </w:tc>
        <w:tc>
          <w:tcPr>
            <w:tcW w:w="3935" w:type="dxa"/>
          </w:tcPr>
          <w:p w14:paraId="40FE15C3" w14:textId="77777777" w:rsidR="008C20EB" w:rsidRDefault="008D25BE">
            <w:pPr>
              <w:pStyle w:val="TableParagraph"/>
              <w:ind w:left="67" w:right="61"/>
              <w:jc w:val="both"/>
              <w:rPr>
                <w:b/>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son vigentes a partir de la</w:t>
            </w:r>
            <w:r>
              <w:rPr>
                <w:sz w:val="20"/>
                <w:szCs w:val="20"/>
              </w:rPr>
              <w:t xml:space="preserve"> información correspondiente   al mes de julio 2021.</w:t>
            </w:r>
          </w:p>
        </w:tc>
        <w:tc>
          <w:tcPr>
            <w:tcW w:w="8162" w:type="dxa"/>
          </w:tcPr>
          <w:p w14:paraId="40FE15C4" w14:textId="77777777" w:rsidR="008C20EB" w:rsidRDefault="008D25BE">
            <w:pPr>
              <w:pStyle w:val="TableParagraph"/>
              <w:spacing w:after="240"/>
              <w:ind w:left="67" w:right="61"/>
              <w:jc w:val="both"/>
              <w:rPr>
                <w:color w:val="000000"/>
                <w:sz w:val="20"/>
                <w:szCs w:val="20"/>
                <w:lang w:val="es-PE"/>
              </w:rPr>
            </w:pPr>
            <w:r>
              <w:rPr>
                <w:rFonts w:cs="Arial"/>
                <w:sz w:val="20"/>
                <w:szCs w:val="20"/>
              </w:rPr>
              <w:t xml:space="preserve">En el </w:t>
            </w:r>
            <w:r>
              <w:rPr>
                <w:color w:val="000000"/>
                <w:sz w:val="20"/>
                <w:szCs w:val="20"/>
                <w:lang w:val="es-PE"/>
              </w:rPr>
              <w:t>Capítulo</w:t>
            </w:r>
            <w:r>
              <w:rPr>
                <w:rFonts w:cs="Arial"/>
                <w:sz w:val="20"/>
                <w:szCs w:val="20"/>
              </w:rPr>
              <w:t xml:space="preserve"> V: </w:t>
            </w:r>
          </w:p>
          <w:p w14:paraId="40FE15C5" w14:textId="77777777" w:rsidR="008C20EB" w:rsidRDefault="008D25BE">
            <w:pPr>
              <w:pStyle w:val="TableParagraph"/>
              <w:numPr>
                <w:ilvl w:val="0"/>
                <w:numId w:val="20"/>
              </w:numPr>
              <w:ind w:right="61"/>
              <w:jc w:val="both"/>
              <w:rPr>
                <w:sz w:val="20"/>
                <w:szCs w:val="20"/>
              </w:rPr>
            </w:pPr>
            <w:r>
              <w:rPr>
                <w:sz w:val="20"/>
                <w:szCs w:val="20"/>
              </w:rPr>
              <w:t>Se modifica el Reporte N° 2-A1 “Activos y Contingentes Ponderados por Riesgo de Crédito – Método Estándar”.</w:t>
            </w:r>
          </w:p>
          <w:p w14:paraId="40FE15C6" w14:textId="77777777" w:rsidR="008C20EB" w:rsidRDefault="008D25BE">
            <w:pPr>
              <w:pStyle w:val="TableParagraph"/>
              <w:numPr>
                <w:ilvl w:val="0"/>
                <w:numId w:val="20"/>
              </w:numPr>
              <w:ind w:right="61"/>
              <w:jc w:val="both"/>
              <w:rPr>
                <w:sz w:val="20"/>
                <w:szCs w:val="20"/>
              </w:rPr>
            </w:pPr>
            <w:r>
              <w:rPr>
                <w:sz w:val="20"/>
                <w:szCs w:val="20"/>
              </w:rPr>
              <w:t xml:space="preserve">Se sustituye el segundo párrafo de la nota I.14. de las notas metodológicas del “Reporte N° 2-A1”. </w:t>
            </w:r>
          </w:p>
        </w:tc>
      </w:tr>
      <w:tr w:rsidR="008C20EB" w14:paraId="40FE15D2" w14:textId="77777777">
        <w:trPr>
          <w:trHeight w:val="253"/>
        </w:trPr>
        <w:tc>
          <w:tcPr>
            <w:tcW w:w="1574" w:type="dxa"/>
          </w:tcPr>
          <w:p w14:paraId="40FE15C8" w14:textId="77777777" w:rsidR="008C20EB" w:rsidRDefault="008D25BE">
            <w:pPr>
              <w:pStyle w:val="TableParagraph"/>
              <w:ind w:left="71" w:right="42"/>
              <w:jc w:val="both"/>
              <w:rPr>
                <w:b/>
                <w:sz w:val="20"/>
                <w:szCs w:val="20"/>
              </w:rPr>
            </w:pPr>
            <w:r>
              <w:rPr>
                <w:b/>
                <w:sz w:val="20"/>
                <w:szCs w:val="20"/>
              </w:rPr>
              <w:t>Oficio Múltiple N° 27300-2021</w:t>
            </w:r>
          </w:p>
        </w:tc>
        <w:tc>
          <w:tcPr>
            <w:tcW w:w="1560" w:type="dxa"/>
          </w:tcPr>
          <w:p w14:paraId="40FE15C9" w14:textId="77777777" w:rsidR="008C20EB" w:rsidRDefault="008D25BE">
            <w:pPr>
              <w:pStyle w:val="TableParagraph"/>
              <w:spacing w:line="234" w:lineRule="exact"/>
              <w:jc w:val="both"/>
              <w:rPr>
                <w:b/>
                <w:sz w:val="20"/>
                <w:szCs w:val="20"/>
              </w:rPr>
            </w:pPr>
            <w:r>
              <w:rPr>
                <w:b/>
                <w:sz w:val="20"/>
                <w:szCs w:val="20"/>
              </w:rPr>
              <w:t>Pr. 01.06.2021</w:t>
            </w:r>
          </w:p>
        </w:tc>
        <w:tc>
          <w:tcPr>
            <w:tcW w:w="3935" w:type="dxa"/>
          </w:tcPr>
          <w:p w14:paraId="40FE15CA"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sustituyen y habilitan códigos en a la Tabla de empresas, señalada en el acápite J del Capítulo I “Disposiciones Generales” del Manual de Contabilidad para las Empresas del Sistema Financiero, correspondientes a la la conversión de la Empresa de Arrendamiento Financiero Leasing Total S.A. a una Entidad de Desarrollo de la Pequeña y </w:t>
            </w:r>
            <w:r>
              <w:rPr>
                <w:color w:val="000000"/>
                <w:sz w:val="20"/>
                <w:szCs w:val="20"/>
                <w:lang w:val="es-PE"/>
              </w:rPr>
              <w:lastRenderedPageBreak/>
              <w:t>Micro Empresas bajo la denominación de Servicios Financieros TOTAL EDPYME y/o la denominación abreviada “TOTAL, Servicios Financieros”. Dicha disposición es vigente a partir de la     información     correspondiente   de junio 2021, en la nueva versión del software “Submódulo de Captura y Validación Externa” (SUCAVE).</w:t>
            </w:r>
          </w:p>
          <w:p w14:paraId="40FE15CB" w14:textId="77777777" w:rsidR="008C20EB" w:rsidRDefault="008D25BE">
            <w:pPr>
              <w:pStyle w:val="TableParagraph"/>
              <w:ind w:left="67" w:right="61"/>
              <w:jc w:val="both"/>
              <w:rPr>
                <w:sz w:val="20"/>
                <w:szCs w:val="20"/>
              </w:rPr>
            </w:pPr>
            <w:r>
              <w:rPr>
                <w:sz w:val="20"/>
                <w:szCs w:val="20"/>
              </w:rPr>
              <w:t xml:space="preserve"> </w:t>
            </w:r>
          </w:p>
        </w:tc>
        <w:tc>
          <w:tcPr>
            <w:tcW w:w="8162" w:type="dxa"/>
          </w:tcPr>
          <w:p w14:paraId="40FE15CC"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lastRenderedPageBreak/>
              <w:t xml:space="preserve">Se elimina el código y denominación de la Tabla de empresas, señalada en el acápite J del Capítulo I “Disposiciones Generales” del Manual de Contabilidad para las Empresas del Sistema Financiero: </w:t>
            </w:r>
          </w:p>
          <w:p w14:paraId="40FE15CD"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10</w:t>
            </w:r>
          </w:p>
          <w:p w14:paraId="40FE15CE" w14:textId="77777777" w:rsidR="008C20EB" w:rsidRDefault="008D25BE">
            <w:pPr>
              <w:pStyle w:val="TableParagraph"/>
              <w:spacing w:after="240"/>
              <w:ind w:left="68" w:right="62"/>
              <w:jc w:val="both"/>
              <w:rPr>
                <w:b/>
                <w:bCs/>
                <w:sz w:val="20"/>
                <w:szCs w:val="20"/>
              </w:rPr>
            </w:pPr>
            <w:r>
              <w:rPr>
                <w:b/>
                <w:bCs/>
                <w:sz w:val="20"/>
                <w:szCs w:val="20"/>
              </w:rPr>
              <w:t xml:space="preserve">Empresas de Arrendamiento Financiero 07: </w:t>
            </w:r>
            <w:r>
              <w:rPr>
                <w:color w:val="000000"/>
                <w:sz w:val="20"/>
                <w:szCs w:val="20"/>
                <w:lang w:val="es-PE"/>
              </w:rPr>
              <w:t>Leasing Total</w:t>
            </w:r>
          </w:p>
          <w:p w14:paraId="40FE15CF"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 xml:space="preserve">Se incorpora el nuevo código y denominación en la Tabla de empresas, señalada en el acápite J del Capítulo I </w:t>
            </w:r>
            <w:r>
              <w:rPr>
                <w:color w:val="000000"/>
                <w:sz w:val="20"/>
                <w:szCs w:val="20"/>
                <w:lang w:val="es-PE"/>
              </w:rPr>
              <w:lastRenderedPageBreak/>
              <w:t xml:space="preserve">“Disposiciones Generales” del Manual de Contabilidad para las Empresas del Sistema Financiero: </w:t>
            </w:r>
          </w:p>
          <w:p w14:paraId="40FE15D0"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22</w:t>
            </w:r>
          </w:p>
          <w:p w14:paraId="40FE15D1" w14:textId="77777777" w:rsidR="008C20EB" w:rsidRDefault="008D25BE">
            <w:pPr>
              <w:pStyle w:val="TableParagraph"/>
              <w:ind w:left="68" w:right="62"/>
              <w:jc w:val="both"/>
              <w:rPr>
                <w:b/>
                <w:bCs/>
                <w:sz w:val="20"/>
                <w:szCs w:val="20"/>
              </w:rPr>
            </w:pPr>
            <w:r>
              <w:rPr>
                <w:b/>
                <w:bCs/>
                <w:sz w:val="20"/>
                <w:szCs w:val="20"/>
              </w:rPr>
              <w:t xml:space="preserve">EDPYMES 05: </w:t>
            </w:r>
            <w:r>
              <w:rPr>
                <w:color w:val="000000"/>
                <w:sz w:val="20"/>
                <w:szCs w:val="20"/>
                <w:lang w:val="es-PE"/>
              </w:rPr>
              <w:t>Servicios Financieros TOTAL EDPYME</w:t>
            </w:r>
          </w:p>
        </w:tc>
      </w:tr>
      <w:tr w:rsidR="008C20EB" w14:paraId="40FE15DB" w14:textId="77777777">
        <w:trPr>
          <w:trHeight w:val="253"/>
        </w:trPr>
        <w:tc>
          <w:tcPr>
            <w:tcW w:w="1574" w:type="dxa"/>
          </w:tcPr>
          <w:p w14:paraId="40FE15D3" w14:textId="77777777" w:rsidR="008C20EB" w:rsidRDefault="008D25BE">
            <w:pPr>
              <w:pStyle w:val="TableParagraph"/>
              <w:ind w:left="71" w:right="42"/>
              <w:jc w:val="both"/>
              <w:rPr>
                <w:b/>
                <w:sz w:val="20"/>
                <w:szCs w:val="20"/>
              </w:rPr>
            </w:pPr>
            <w:r>
              <w:rPr>
                <w:b/>
                <w:sz w:val="20"/>
                <w:szCs w:val="20"/>
              </w:rPr>
              <w:lastRenderedPageBreak/>
              <w:t>Resolución</w:t>
            </w:r>
          </w:p>
          <w:p w14:paraId="40FE15D4" w14:textId="77777777" w:rsidR="008C20EB" w:rsidRDefault="008D25BE">
            <w:pPr>
              <w:pStyle w:val="TableParagraph"/>
              <w:ind w:left="71" w:right="42"/>
              <w:jc w:val="both"/>
              <w:rPr>
                <w:b/>
                <w:sz w:val="20"/>
                <w:szCs w:val="20"/>
              </w:rPr>
            </w:pPr>
            <w:r>
              <w:rPr>
                <w:b/>
                <w:sz w:val="20"/>
                <w:szCs w:val="20"/>
              </w:rPr>
              <w:t xml:space="preserve">SBS 1379-2021 </w:t>
            </w:r>
          </w:p>
        </w:tc>
        <w:tc>
          <w:tcPr>
            <w:tcW w:w="1560" w:type="dxa"/>
          </w:tcPr>
          <w:p w14:paraId="40FE15D5" w14:textId="77777777" w:rsidR="008C20EB" w:rsidRDefault="008D25BE">
            <w:pPr>
              <w:pStyle w:val="TableParagraph"/>
              <w:spacing w:line="234" w:lineRule="exact"/>
              <w:jc w:val="both"/>
              <w:rPr>
                <w:b/>
                <w:sz w:val="20"/>
                <w:szCs w:val="20"/>
              </w:rPr>
            </w:pPr>
            <w:r>
              <w:rPr>
                <w:b/>
                <w:sz w:val="20"/>
                <w:szCs w:val="20"/>
              </w:rPr>
              <w:t>Pr.    05.05.2021    /</w:t>
            </w:r>
          </w:p>
          <w:p w14:paraId="40FE15D6" w14:textId="77777777" w:rsidR="008C20EB" w:rsidRDefault="008D25BE">
            <w:pPr>
              <w:pStyle w:val="TableParagraph"/>
              <w:spacing w:line="234" w:lineRule="exact"/>
              <w:jc w:val="both"/>
              <w:rPr>
                <w:b/>
                <w:sz w:val="20"/>
                <w:szCs w:val="20"/>
              </w:rPr>
            </w:pPr>
            <w:r>
              <w:rPr>
                <w:b/>
                <w:sz w:val="20"/>
                <w:szCs w:val="20"/>
              </w:rPr>
              <w:t>Pub. 07.05.2021</w:t>
            </w:r>
          </w:p>
        </w:tc>
        <w:tc>
          <w:tcPr>
            <w:tcW w:w="3935" w:type="dxa"/>
          </w:tcPr>
          <w:p w14:paraId="40FE15D7" w14:textId="77777777" w:rsidR="008C20EB" w:rsidRDefault="008D25BE">
            <w:pPr>
              <w:pStyle w:val="TableParagraph"/>
              <w:ind w:left="67" w:right="61"/>
              <w:jc w:val="both"/>
              <w:rPr>
                <w:sz w:val="20"/>
                <w:szCs w:val="20"/>
              </w:rPr>
            </w:pPr>
            <w:r>
              <w:rPr>
                <w:sz w:val="20"/>
                <w:szCs w:val="20"/>
              </w:rPr>
              <w:t xml:space="preserve">Se realizan modificaciones al capítulo </w:t>
            </w:r>
            <w:r>
              <w:rPr>
                <w:rFonts w:cs="Arial"/>
                <w:sz w:val="20"/>
                <w:szCs w:val="20"/>
              </w:rPr>
              <w:t>V “Información Complementaria” del Manual de Contabilidad para las Empresas del Sistema Financiero. Dichas modificaciones son vigentes a partir de la</w:t>
            </w:r>
            <w:r>
              <w:rPr>
                <w:sz w:val="20"/>
                <w:szCs w:val="20"/>
              </w:rPr>
              <w:t xml:space="preserve"> información correspondiente   al mes de julio 2021.</w:t>
            </w:r>
          </w:p>
        </w:tc>
        <w:tc>
          <w:tcPr>
            <w:tcW w:w="8162" w:type="dxa"/>
          </w:tcPr>
          <w:p w14:paraId="40FE15D8" w14:textId="77777777" w:rsidR="008C20EB" w:rsidRDefault="008D25BE">
            <w:pPr>
              <w:pStyle w:val="TableParagraph"/>
              <w:spacing w:after="240"/>
              <w:ind w:left="67" w:right="61"/>
              <w:jc w:val="both"/>
              <w:rPr>
                <w:rFonts w:cs="Arial"/>
                <w:sz w:val="20"/>
                <w:szCs w:val="20"/>
              </w:rPr>
            </w:pPr>
            <w:r>
              <w:rPr>
                <w:rFonts w:cs="Arial"/>
                <w:sz w:val="20"/>
                <w:szCs w:val="20"/>
              </w:rPr>
              <w:t xml:space="preserve">En el Capítulo V: </w:t>
            </w:r>
          </w:p>
          <w:p w14:paraId="40FE15D9" w14:textId="77777777" w:rsidR="008C20EB" w:rsidRDefault="008D25BE">
            <w:pPr>
              <w:pStyle w:val="TableParagraph"/>
              <w:numPr>
                <w:ilvl w:val="0"/>
                <w:numId w:val="20"/>
              </w:numPr>
              <w:ind w:right="61"/>
              <w:jc w:val="both"/>
              <w:rPr>
                <w:sz w:val="20"/>
                <w:szCs w:val="20"/>
              </w:rPr>
            </w:pPr>
            <w:r>
              <w:rPr>
                <w:sz w:val="20"/>
                <w:szCs w:val="20"/>
              </w:rPr>
              <w:t>Se sustituye el Anexo N° 15-B “Ratio de Cobertura de Liquidez”.</w:t>
            </w:r>
          </w:p>
          <w:p w14:paraId="40FE15DA" w14:textId="77777777" w:rsidR="008C20EB" w:rsidRDefault="008D25BE">
            <w:pPr>
              <w:pStyle w:val="TableParagraph"/>
              <w:numPr>
                <w:ilvl w:val="0"/>
                <w:numId w:val="20"/>
              </w:numPr>
              <w:ind w:right="61"/>
              <w:jc w:val="both"/>
              <w:rPr>
                <w:rFonts w:cs="Arial"/>
                <w:sz w:val="20"/>
                <w:szCs w:val="20"/>
              </w:rPr>
            </w:pPr>
            <w:r>
              <w:rPr>
                <w:sz w:val="20"/>
                <w:szCs w:val="20"/>
              </w:rPr>
              <w:t>Se modifican las notas metodológicas 2, 6, 22 y 26 del Anexo N° 15 - B “Ratio de Cobertura de Liquidez”.</w:t>
            </w:r>
          </w:p>
        </w:tc>
      </w:tr>
      <w:tr w:rsidR="008C20EB" w14:paraId="40FE15EC" w14:textId="77777777">
        <w:trPr>
          <w:trHeight w:val="253"/>
        </w:trPr>
        <w:tc>
          <w:tcPr>
            <w:tcW w:w="1574" w:type="dxa"/>
          </w:tcPr>
          <w:p w14:paraId="40FE15DC" w14:textId="77777777" w:rsidR="008C20EB" w:rsidRDefault="008D25BE">
            <w:pPr>
              <w:pStyle w:val="TableParagraph"/>
              <w:ind w:left="71" w:right="42"/>
              <w:jc w:val="both"/>
              <w:rPr>
                <w:b/>
                <w:sz w:val="20"/>
                <w:szCs w:val="20"/>
              </w:rPr>
            </w:pPr>
            <w:r>
              <w:rPr>
                <w:b/>
                <w:sz w:val="20"/>
                <w:szCs w:val="20"/>
              </w:rPr>
              <w:t>Resolución</w:t>
            </w:r>
          </w:p>
          <w:p w14:paraId="40FE15DD" w14:textId="77777777" w:rsidR="008C20EB" w:rsidRDefault="008D25BE">
            <w:pPr>
              <w:pStyle w:val="TableParagraph"/>
              <w:ind w:left="71" w:right="42"/>
              <w:jc w:val="both"/>
              <w:rPr>
                <w:b/>
                <w:sz w:val="20"/>
                <w:szCs w:val="20"/>
              </w:rPr>
            </w:pPr>
            <w:r>
              <w:rPr>
                <w:b/>
                <w:sz w:val="20"/>
                <w:szCs w:val="20"/>
              </w:rPr>
              <w:t xml:space="preserve">SBS 1333-2021 </w:t>
            </w:r>
          </w:p>
        </w:tc>
        <w:tc>
          <w:tcPr>
            <w:tcW w:w="1560" w:type="dxa"/>
          </w:tcPr>
          <w:p w14:paraId="40FE15DE" w14:textId="77777777" w:rsidR="008C20EB" w:rsidRDefault="008D25BE">
            <w:pPr>
              <w:pStyle w:val="TableParagraph"/>
              <w:spacing w:line="234" w:lineRule="exact"/>
              <w:jc w:val="both"/>
              <w:rPr>
                <w:b/>
                <w:sz w:val="20"/>
                <w:szCs w:val="20"/>
              </w:rPr>
            </w:pPr>
            <w:r>
              <w:rPr>
                <w:b/>
                <w:sz w:val="20"/>
                <w:szCs w:val="20"/>
              </w:rPr>
              <w:t>Pr.    30.04.2021    /</w:t>
            </w:r>
          </w:p>
          <w:p w14:paraId="40FE15DF" w14:textId="77777777" w:rsidR="008C20EB" w:rsidRDefault="008D25BE">
            <w:pPr>
              <w:pStyle w:val="TableParagraph"/>
              <w:spacing w:line="234" w:lineRule="exact"/>
              <w:jc w:val="both"/>
              <w:rPr>
                <w:b/>
                <w:sz w:val="20"/>
                <w:szCs w:val="20"/>
              </w:rPr>
            </w:pPr>
            <w:r>
              <w:rPr>
                <w:b/>
                <w:sz w:val="20"/>
                <w:szCs w:val="20"/>
              </w:rPr>
              <w:t>Pub. 03.05.2021</w:t>
            </w:r>
          </w:p>
        </w:tc>
        <w:tc>
          <w:tcPr>
            <w:tcW w:w="3935" w:type="dxa"/>
          </w:tcPr>
          <w:p w14:paraId="40FE15E0" w14:textId="77777777" w:rsidR="008C20EB" w:rsidRDefault="008D25BE">
            <w:pPr>
              <w:pStyle w:val="TableParagraph"/>
              <w:ind w:left="67" w:right="61"/>
              <w:jc w:val="both"/>
              <w:rPr>
                <w:b/>
                <w:sz w:val="20"/>
                <w:szCs w:val="20"/>
              </w:rPr>
            </w:pPr>
            <w:r>
              <w:rPr>
                <w:sz w:val="20"/>
                <w:szCs w:val="20"/>
              </w:rPr>
              <w:t>Se realizan modificaciones a los</w:t>
            </w:r>
            <w:r>
              <w:rPr>
                <w:rFonts w:cs="Arial"/>
                <w:sz w:val="20"/>
                <w:szCs w:val="20"/>
              </w:rPr>
              <w:t xml:space="preserve"> Capítulos III “Catálogo de Cuentas”, IV “Descripción y Dinámica de Cuentas” y V “Información Complementaria” del Manual de Contabilidad para las Empresas del Sistema Financiero. Dichas modificaciones son vigentes a partir de la</w:t>
            </w:r>
            <w:r>
              <w:rPr>
                <w:sz w:val="20"/>
                <w:szCs w:val="20"/>
              </w:rPr>
              <w:t xml:space="preserve"> información correspondiente   al mes de mayo 2021.</w:t>
            </w:r>
          </w:p>
        </w:tc>
        <w:tc>
          <w:tcPr>
            <w:tcW w:w="8162" w:type="dxa"/>
          </w:tcPr>
          <w:p w14:paraId="40FE15E1" w14:textId="77777777" w:rsidR="008C20EB" w:rsidRDefault="008D25BE">
            <w:pPr>
              <w:pStyle w:val="TableParagraph"/>
              <w:spacing w:after="240"/>
              <w:ind w:left="67" w:right="61"/>
              <w:jc w:val="both"/>
              <w:rPr>
                <w:rFonts w:cs="Arial"/>
                <w:sz w:val="20"/>
                <w:szCs w:val="20"/>
              </w:rPr>
            </w:pPr>
            <w:r>
              <w:rPr>
                <w:rFonts w:cs="Arial"/>
                <w:sz w:val="20"/>
                <w:szCs w:val="20"/>
              </w:rPr>
              <w:t>En los Capítulo III y IV se incorporan:</w:t>
            </w:r>
          </w:p>
          <w:p w14:paraId="40FE15E2" w14:textId="77777777" w:rsidR="008C20EB" w:rsidRDefault="008D25BE">
            <w:pPr>
              <w:pStyle w:val="TableParagraph"/>
              <w:numPr>
                <w:ilvl w:val="0"/>
                <w:numId w:val="20"/>
              </w:numPr>
              <w:ind w:right="61"/>
              <w:jc w:val="both"/>
              <w:rPr>
                <w:rFonts w:cs="Arial"/>
                <w:sz w:val="20"/>
                <w:szCs w:val="20"/>
              </w:rPr>
            </w:pPr>
            <w:r>
              <w:rPr>
                <w:rFonts w:cs="Arial"/>
                <w:sz w:val="20"/>
                <w:szCs w:val="20"/>
              </w:rPr>
              <w:t xml:space="preserve">Se sustituye la descripción de la cuenta 8108 “Créditos que participan en el programa Reactiva Perú” </w:t>
            </w:r>
          </w:p>
          <w:p w14:paraId="40FE15E3" w14:textId="77777777" w:rsidR="008C20EB" w:rsidRDefault="008D25BE">
            <w:pPr>
              <w:pStyle w:val="TableParagraph"/>
              <w:numPr>
                <w:ilvl w:val="0"/>
                <w:numId w:val="20"/>
              </w:numPr>
              <w:ind w:right="61"/>
              <w:jc w:val="both"/>
              <w:rPr>
                <w:rFonts w:cs="Arial"/>
                <w:sz w:val="20"/>
                <w:szCs w:val="20"/>
              </w:rPr>
            </w:pPr>
            <w:r>
              <w:rPr>
                <w:rFonts w:cs="Arial"/>
                <w:sz w:val="20"/>
                <w:szCs w:val="20"/>
              </w:rPr>
              <w:t>En la cuenta 8108 “Créditos que participan en el programa Reactiva Perú”, se incorporan nuevas cuentas y subcuentas analíticas.</w:t>
            </w:r>
          </w:p>
          <w:p w14:paraId="40FE15E4" w14:textId="77777777" w:rsidR="008C20EB" w:rsidRDefault="008D25BE">
            <w:pPr>
              <w:pStyle w:val="TableParagraph"/>
              <w:numPr>
                <w:ilvl w:val="0"/>
                <w:numId w:val="20"/>
              </w:numPr>
              <w:ind w:right="61"/>
              <w:jc w:val="both"/>
              <w:rPr>
                <w:rFonts w:cs="Arial"/>
                <w:sz w:val="20"/>
                <w:szCs w:val="20"/>
              </w:rPr>
            </w:pPr>
            <w:r>
              <w:rPr>
                <w:rFonts w:cs="Arial"/>
                <w:sz w:val="20"/>
                <w:szCs w:val="20"/>
              </w:rPr>
              <w:t xml:space="preserve">Se incorpora la cuenta analítica 8404.05.18 “Garantía otorgada por el Gobierno Nacional –Créditos Reprogramados Programa Reactiva Perú”, junto con su descripción. </w:t>
            </w:r>
          </w:p>
          <w:p w14:paraId="40FE15E5" w14:textId="77777777" w:rsidR="008C20EB" w:rsidRDefault="008C20EB">
            <w:pPr>
              <w:pStyle w:val="TableParagraph"/>
              <w:ind w:right="61"/>
              <w:jc w:val="both"/>
              <w:rPr>
                <w:rFonts w:cs="Arial"/>
                <w:sz w:val="20"/>
                <w:szCs w:val="20"/>
              </w:rPr>
            </w:pPr>
          </w:p>
          <w:p w14:paraId="40FE15E6" w14:textId="77777777" w:rsidR="008C20EB" w:rsidRDefault="008D25BE">
            <w:pPr>
              <w:pStyle w:val="TableParagraph"/>
              <w:spacing w:after="240"/>
              <w:ind w:right="61"/>
              <w:jc w:val="both"/>
              <w:rPr>
                <w:rFonts w:cs="Arial"/>
                <w:sz w:val="20"/>
                <w:szCs w:val="20"/>
              </w:rPr>
            </w:pPr>
            <w:r>
              <w:rPr>
                <w:rFonts w:cs="Arial"/>
                <w:sz w:val="20"/>
                <w:szCs w:val="20"/>
              </w:rPr>
              <w:t xml:space="preserve">  Adicionalmente, se realizan las siguientes modificaciones en el Capítulo V: </w:t>
            </w:r>
          </w:p>
          <w:p w14:paraId="40FE15E7" w14:textId="77777777" w:rsidR="008C20EB" w:rsidRDefault="008D25BE">
            <w:pPr>
              <w:pStyle w:val="TableParagraph"/>
              <w:numPr>
                <w:ilvl w:val="0"/>
                <w:numId w:val="20"/>
              </w:numPr>
              <w:ind w:right="61"/>
              <w:jc w:val="both"/>
              <w:rPr>
                <w:rFonts w:cs="Arial"/>
                <w:sz w:val="20"/>
                <w:szCs w:val="20"/>
              </w:rPr>
            </w:pPr>
            <w:r>
              <w:rPr>
                <w:rFonts w:cs="Arial"/>
                <w:sz w:val="20"/>
                <w:szCs w:val="20"/>
              </w:rPr>
              <w:t xml:space="preserve">Se modifican la nota metodológica 5b del Anexo N° 5 “Informe de Clasificación de Deudores y Provisiones” </w:t>
            </w:r>
          </w:p>
          <w:p w14:paraId="40FE15E8" w14:textId="77777777" w:rsidR="008C20EB" w:rsidRDefault="008D25BE">
            <w:pPr>
              <w:pStyle w:val="TableParagraph"/>
              <w:numPr>
                <w:ilvl w:val="0"/>
                <w:numId w:val="20"/>
              </w:numPr>
              <w:ind w:right="61"/>
              <w:jc w:val="both"/>
              <w:rPr>
                <w:rFonts w:cs="Arial"/>
                <w:sz w:val="20"/>
                <w:szCs w:val="20"/>
              </w:rPr>
            </w:pPr>
            <w:r>
              <w:rPr>
                <w:rFonts w:cs="Arial"/>
                <w:sz w:val="20"/>
                <w:szCs w:val="20"/>
              </w:rPr>
              <w:t>Se modifica el Anexo N° 6 “Reporte Crediticio de Deudores - RCD”, incorporándose lo siguiente:</w:t>
            </w:r>
          </w:p>
          <w:p w14:paraId="40FE15E9" w14:textId="77777777" w:rsidR="008C20EB" w:rsidRDefault="008D25BE">
            <w:pPr>
              <w:pStyle w:val="TableParagraph"/>
              <w:numPr>
                <w:ilvl w:val="0"/>
                <w:numId w:val="34"/>
              </w:numPr>
              <w:ind w:right="61"/>
              <w:jc w:val="both"/>
              <w:rPr>
                <w:rFonts w:cs="Arial"/>
                <w:sz w:val="20"/>
                <w:szCs w:val="20"/>
              </w:rPr>
            </w:pPr>
            <w:r>
              <w:rPr>
                <w:rFonts w:cs="Arial"/>
                <w:sz w:val="20"/>
                <w:szCs w:val="20"/>
              </w:rPr>
              <w:t>Las cuentas analíticas de la subcuenta 8108.11“Créditos Reprogramados – DU N° 026-2021”.</w:t>
            </w:r>
          </w:p>
          <w:p w14:paraId="40FE15EA" w14:textId="77777777" w:rsidR="008C20EB" w:rsidRDefault="008D25BE">
            <w:pPr>
              <w:pStyle w:val="TableParagraph"/>
              <w:numPr>
                <w:ilvl w:val="0"/>
                <w:numId w:val="34"/>
              </w:numPr>
              <w:ind w:right="61"/>
              <w:jc w:val="both"/>
              <w:rPr>
                <w:rFonts w:cs="Arial"/>
                <w:sz w:val="20"/>
                <w:szCs w:val="20"/>
              </w:rPr>
            </w:pPr>
            <w:r>
              <w:rPr>
                <w:rFonts w:cs="Arial"/>
                <w:sz w:val="20"/>
                <w:szCs w:val="20"/>
              </w:rPr>
              <w:t xml:space="preserve">La cuenta analítica 8404.05.18 “Garantía otorgada por el Gobierno Nacional –Créditos Reprogramados Programa Reactiva Perú”. </w:t>
            </w:r>
          </w:p>
          <w:p w14:paraId="40FE15EB" w14:textId="77777777" w:rsidR="008C20EB" w:rsidRDefault="008C20EB">
            <w:pPr>
              <w:pStyle w:val="TableParagraph"/>
              <w:ind w:right="61"/>
              <w:jc w:val="both"/>
              <w:rPr>
                <w:rFonts w:cs="Arial"/>
                <w:sz w:val="20"/>
                <w:szCs w:val="20"/>
              </w:rPr>
            </w:pPr>
          </w:p>
        </w:tc>
      </w:tr>
      <w:tr w:rsidR="008C20EB" w14:paraId="40FE1600" w14:textId="77777777">
        <w:trPr>
          <w:trHeight w:val="253"/>
        </w:trPr>
        <w:tc>
          <w:tcPr>
            <w:tcW w:w="1574" w:type="dxa"/>
          </w:tcPr>
          <w:p w14:paraId="40FE15ED" w14:textId="77777777" w:rsidR="008C20EB" w:rsidRDefault="008D25BE">
            <w:pPr>
              <w:pStyle w:val="TableParagraph"/>
              <w:ind w:left="71" w:right="42"/>
              <w:jc w:val="both"/>
              <w:rPr>
                <w:b/>
                <w:sz w:val="20"/>
                <w:szCs w:val="20"/>
              </w:rPr>
            </w:pPr>
            <w:r>
              <w:rPr>
                <w:b/>
                <w:sz w:val="20"/>
                <w:szCs w:val="20"/>
              </w:rPr>
              <w:t>Resolución</w:t>
            </w:r>
          </w:p>
          <w:p w14:paraId="40FE15EE" w14:textId="77777777" w:rsidR="008C20EB" w:rsidRDefault="008D25BE">
            <w:pPr>
              <w:pStyle w:val="TableParagraph"/>
              <w:ind w:left="71" w:right="42"/>
              <w:jc w:val="both"/>
              <w:rPr>
                <w:b/>
                <w:sz w:val="20"/>
                <w:szCs w:val="20"/>
              </w:rPr>
            </w:pPr>
            <w:r>
              <w:rPr>
                <w:b/>
                <w:sz w:val="20"/>
                <w:szCs w:val="20"/>
              </w:rPr>
              <w:t xml:space="preserve">SBS 0928-2021 </w:t>
            </w:r>
          </w:p>
        </w:tc>
        <w:tc>
          <w:tcPr>
            <w:tcW w:w="1560" w:type="dxa"/>
          </w:tcPr>
          <w:p w14:paraId="40FE15EF" w14:textId="77777777" w:rsidR="008C20EB" w:rsidRDefault="008D25BE">
            <w:pPr>
              <w:pStyle w:val="TableParagraph"/>
              <w:spacing w:line="234" w:lineRule="exact"/>
              <w:jc w:val="both"/>
              <w:rPr>
                <w:b/>
                <w:sz w:val="20"/>
                <w:szCs w:val="20"/>
              </w:rPr>
            </w:pPr>
            <w:r>
              <w:rPr>
                <w:b/>
                <w:sz w:val="20"/>
                <w:szCs w:val="20"/>
              </w:rPr>
              <w:t>Pr.    29.03.2021    /</w:t>
            </w:r>
          </w:p>
          <w:p w14:paraId="40FE15F0" w14:textId="77777777" w:rsidR="008C20EB" w:rsidRDefault="008D25BE">
            <w:pPr>
              <w:pStyle w:val="TableParagraph"/>
              <w:spacing w:line="234" w:lineRule="exact"/>
              <w:jc w:val="both"/>
              <w:rPr>
                <w:b/>
                <w:sz w:val="20"/>
                <w:szCs w:val="20"/>
              </w:rPr>
            </w:pPr>
            <w:r>
              <w:rPr>
                <w:b/>
                <w:sz w:val="20"/>
                <w:szCs w:val="20"/>
              </w:rPr>
              <w:t>Pub. 30.03.2021</w:t>
            </w:r>
          </w:p>
        </w:tc>
        <w:tc>
          <w:tcPr>
            <w:tcW w:w="3935" w:type="dxa"/>
          </w:tcPr>
          <w:p w14:paraId="40FE15F1" w14:textId="77777777" w:rsidR="008C20EB" w:rsidRDefault="008D25BE">
            <w:pPr>
              <w:pStyle w:val="TableParagraph"/>
              <w:ind w:left="67" w:right="61"/>
              <w:jc w:val="both"/>
              <w:rPr>
                <w:b/>
                <w:sz w:val="20"/>
                <w:szCs w:val="20"/>
              </w:rPr>
            </w:pPr>
            <w:r>
              <w:rPr>
                <w:sz w:val="20"/>
                <w:szCs w:val="20"/>
              </w:rPr>
              <w:t>Se realizan modificaciones a los</w:t>
            </w:r>
            <w:r>
              <w:rPr>
                <w:rFonts w:cs="Arial"/>
                <w:sz w:val="20"/>
                <w:szCs w:val="20"/>
              </w:rPr>
              <w:t xml:space="preserve"> Capítulos II</w:t>
            </w:r>
            <w:r>
              <w:rPr>
                <w:sz w:val="20"/>
                <w:szCs w:val="20"/>
              </w:rPr>
              <w:t xml:space="preserve"> </w:t>
            </w:r>
            <w:r>
              <w:rPr>
                <w:rFonts w:cs="Arial"/>
                <w:sz w:val="20"/>
                <w:szCs w:val="20"/>
              </w:rPr>
              <w:t>“Estados Financieros e Información Complementaria”, III “Catálogo de Cuentas”, IV “Descripción y Dinámica de Cuentas” y V “Información Complementaria” del Manual de Contabilidad para las Empresas del Sistema Financiero. Dichas modificaciones son vigentes a partir de la</w:t>
            </w:r>
            <w:r>
              <w:rPr>
                <w:sz w:val="20"/>
                <w:szCs w:val="20"/>
              </w:rPr>
              <w:t xml:space="preserve"> información correspondiente   al mes de abril 2021.</w:t>
            </w:r>
          </w:p>
        </w:tc>
        <w:tc>
          <w:tcPr>
            <w:tcW w:w="8162" w:type="dxa"/>
          </w:tcPr>
          <w:p w14:paraId="40FE15F2" w14:textId="77777777" w:rsidR="008C20EB" w:rsidRDefault="008D25BE">
            <w:pPr>
              <w:pStyle w:val="TableParagraph"/>
              <w:ind w:left="68"/>
              <w:jc w:val="both"/>
              <w:rPr>
                <w:color w:val="000000"/>
                <w:sz w:val="20"/>
                <w:szCs w:val="20"/>
                <w:lang w:val="es-PE"/>
              </w:rPr>
            </w:pPr>
            <w:r>
              <w:rPr>
                <w:sz w:val="20"/>
                <w:szCs w:val="20"/>
              </w:rPr>
              <w:t>Se</w:t>
            </w:r>
            <w:r>
              <w:rPr>
                <w:color w:val="000000"/>
                <w:sz w:val="20"/>
                <w:szCs w:val="20"/>
                <w:lang w:val="es-PE"/>
              </w:rPr>
              <w:t xml:space="preserve"> modifica el </w:t>
            </w:r>
            <w:r>
              <w:rPr>
                <w:sz w:val="20"/>
                <w:szCs w:val="20"/>
              </w:rPr>
              <w:t>Capítulo II “Estados Financieros e Información Complementaria”, la sección “Cartera de Créditos” de la Forma “A” Estado de Situación Financiera.</w:t>
            </w:r>
          </w:p>
          <w:p w14:paraId="40FE15F3" w14:textId="77777777" w:rsidR="008C20EB" w:rsidRDefault="008C20EB">
            <w:pPr>
              <w:pStyle w:val="TableParagraph"/>
              <w:ind w:right="61"/>
              <w:jc w:val="both"/>
              <w:rPr>
                <w:color w:val="000000"/>
                <w:sz w:val="20"/>
                <w:szCs w:val="20"/>
                <w:lang w:val="es-PE"/>
              </w:rPr>
            </w:pPr>
          </w:p>
          <w:p w14:paraId="40FE15F4"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 xml:space="preserve">En los </w:t>
            </w:r>
            <w:r>
              <w:rPr>
                <w:rFonts w:cs="Arial"/>
                <w:sz w:val="20"/>
                <w:szCs w:val="20"/>
              </w:rPr>
              <w:t>Capítulo</w:t>
            </w:r>
            <w:r>
              <w:rPr>
                <w:color w:val="000000"/>
                <w:sz w:val="20"/>
                <w:szCs w:val="20"/>
                <w:lang w:val="es-PE"/>
              </w:rPr>
              <w:t xml:space="preserve"> III y IV se incorporan:</w:t>
            </w:r>
          </w:p>
          <w:p w14:paraId="40FE15F5"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En la </w:t>
            </w:r>
            <w:r>
              <w:rPr>
                <w:sz w:val="20"/>
                <w:szCs w:val="20"/>
              </w:rPr>
              <w:t>cuenta analítica 2901.01.08 “Créditos reprogramados – Emergencia Sanitaria”, se incorporan nuevas subcuentas analíticas.</w:t>
            </w:r>
          </w:p>
          <w:p w14:paraId="40FE15F6"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L</w:t>
            </w:r>
            <w:r>
              <w:rPr>
                <w:sz w:val="20"/>
                <w:szCs w:val="20"/>
              </w:rPr>
              <w:t>a subcuenta 8109.46 “Créditos bajo esquema de financiamiento del PAE – MYPE”, su descripción, así como las cuentas analíticas y subcuentas analíticas.</w:t>
            </w:r>
          </w:p>
          <w:p w14:paraId="40FE15F7"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L</w:t>
            </w:r>
            <w:r>
              <w:rPr>
                <w:sz w:val="20"/>
                <w:szCs w:val="20"/>
              </w:rPr>
              <w:t>a cuenta analítica 8404.05.17 “Garantía otorgada por el Gobierno Nacional PAE – MYPE”</w:t>
            </w:r>
            <w:r>
              <w:rPr>
                <w:color w:val="000000"/>
                <w:sz w:val="20"/>
                <w:szCs w:val="20"/>
                <w:lang w:val="es-PE"/>
              </w:rPr>
              <w:t>.</w:t>
            </w:r>
          </w:p>
          <w:p w14:paraId="40FE15F8"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lastRenderedPageBreak/>
              <w:t>Adicionalmente, se realizan las siguientes modificaciones</w:t>
            </w:r>
            <w:r>
              <w:rPr>
                <w:rFonts w:cs="Arial"/>
                <w:sz w:val="20"/>
                <w:szCs w:val="20"/>
              </w:rPr>
              <w:t xml:space="preserve"> en el Capítulo V: </w:t>
            </w:r>
          </w:p>
          <w:p w14:paraId="40FE15F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modifican las notas metodológicas 5b y 14 del Anexo N° 5 “Informe de Clasificación de Deudores y Provisiones” </w:t>
            </w:r>
          </w:p>
          <w:p w14:paraId="40FE15F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el Anexo N° 6 “Reporte Crediticio de Deudores - RCD”, incorporándose lo siguiente:</w:t>
            </w:r>
          </w:p>
          <w:p w14:paraId="40FE15FB" w14:textId="77777777" w:rsidR="008C20EB" w:rsidRDefault="008D25BE">
            <w:pPr>
              <w:pStyle w:val="TableParagraph"/>
              <w:numPr>
                <w:ilvl w:val="0"/>
                <w:numId w:val="35"/>
              </w:numPr>
              <w:ind w:right="61"/>
              <w:jc w:val="both"/>
              <w:rPr>
                <w:color w:val="000000"/>
                <w:sz w:val="20"/>
                <w:szCs w:val="20"/>
                <w:lang w:val="es-PE"/>
              </w:rPr>
            </w:pPr>
            <w:r>
              <w:rPr>
                <w:sz w:val="20"/>
                <w:szCs w:val="20"/>
              </w:rPr>
              <w:t>Las subcuentas analíticas de las subcuentas 8109.46 “Créditos bajo esquema de financiamiento del PAE - MYPE”.</w:t>
            </w:r>
          </w:p>
          <w:p w14:paraId="40FE15FC" w14:textId="77777777" w:rsidR="008C20EB" w:rsidRDefault="008D25BE">
            <w:pPr>
              <w:pStyle w:val="TableParagraph"/>
              <w:numPr>
                <w:ilvl w:val="0"/>
                <w:numId w:val="35"/>
              </w:numPr>
              <w:ind w:right="61"/>
              <w:jc w:val="both"/>
              <w:rPr>
                <w:color w:val="000000"/>
                <w:sz w:val="20"/>
                <w:szCs w:val="20"/>
                <w:lang w:val="es-PE"/>
              </w:rPr>
            </w:pPr>
            <w:r>
              <w:rPr>
                <w:sz w:val="20"/>
                <w:szCs w:val="20"/>
              </w:rPr>
              <w:t>La cuenta analítica 8404.05.17 “Garantía otorgada por el Gobierno Nacional PAE - MYPE”.</w:t>
            </w:r>
          </w:p>
          <w:p w14:paraId="40FE15FD" w14:textId="77777777" w:rsidR="008C20EB" w:rsidRDefault="008D25BE">
            <w:pPr>
              <w:pStyle w:val="TableParagraph"/>
              <w:numPr>
                <w:ilvl w:val="0"/>
                <w:numId w:val="35"/>
              </w:numPr>
              <w:ind w:right="61"/>
              <w:jc w:val="both"/>
              <w:rPr>
                <w:color w:val="000000"/>
                <w:sz w:val="20"/>
                <w:szCs w:val="20"/>
                <w:lang w:val="es-PE"/>
              </w:rPr>
            </w:pPr>
            <w:r>
              <w:rPr>
                <w:sz w:val="20"/>
                <w:szCs w:val="20"/>
              </w:rPr>
              <w:t xml:space="preserve">Las subcuentas analíticas de la cuenta analítica 2901.01.08 “Créditos reprogramados – Emergencia Sanitaria” </w:t>
            </w:r>
          </w:p>
          <w:p w14:paraId="40FE15FE" w14:textId="77777777" w:rsidR="008C20EB" w:rsidRDefault="008C20EB">
            <w:pPr>
              <w:pStyle w:val="TableParagraph"/>
              <w:ind w:left="1875" w:right="61"/>
              <w:jc w:val="both"/>
              <w:rPr>
                <w:color w:val="000000"/>
                <w:sz w:val="20"/>
                <w:szCs w:val="20"/>
                <w:lang w:val="es-PE"/>
              </w:rPr>
            </w:pPr>
          </w:p>
          <w:p w14:paraId="40FE15FF" w14:textId="77777777" w:rsidR="008C20EB" w:rsidRDefault="008C20EB">
            <w:pPr>
              <w:pStyle w:val="TableParagraph"/>
              <w:spacing w:line="234" w:lineRule="exact"/>
              <w:ind w:left="3271" w:right="3265"/>
              <w:jc w:val="both"/>
              <w:rPr>
                <w:b/>
                <w:sz w:val="20"/>
                <w:szCs w:val="20"/>
              </w:rPr>
            </w:pPr>
          </w:p>
        </w:tc>
      </w:tr>
      <w:tr w:rsidR="008C20EB" w14:paraId="40FE1614" w14:textId="77777777">
        <w:trPr>
          <w:trHeight w:val="253"/>
        </w:trPr>
        <w:tc>
          <w:tcPr>
            <w:tcW w:w="1574" w:type="dxa"/>
          </w:tcPr>
          <w:p w14:paraId="40FE1601" w14:textId="77777777" w:rsidR="008C20EB" w:rsidRDefault="008D25BE">
            <w:pPr>
              <w:pStyle w:val="TableParagraph"/>
              <w:ind w:left="71" w:right="42"/>
              <w:jc w:val="both"/>
              <w:rPr>
                <w:b/>
                <w:sz w:val="20"/>
                <w:szCs w:val="20"/>
              </w:rPr>
            </w:pPr>
            <w:r>
              <w:rPr>
                <w:b/>
                <w:sz w:val="20"/>
                <w:szCs w:val="20"/>
              </w:rPr>
              <w:lastRenderedPageBreak/>
              <w:t>Resolución</w:t>
            </w:r>
          </w:p>
          <w:p w14:paraId="40FE1602" w14:textId="77777777" w:rsidR="008C20EB" w:rsidRDefault="008D25BE">
            <w:pPr>
              <w:pStyle w:val="TableParagraph"/>
              <w:ind w:left="71" w:right="42"/>
              <w:jc w:val="both"/>
              <w:rPr>
                <w:b/>
                <w:sz w:val="20"/>
                <w:szCs w:val="20"/>
              </w:rPr>
            </w:pPr>
            <w:r>
              <w:rPr>
                <w:b/>
                <w:sz w:val="20"/>
                <w:szCs w:val="20"/>
              </w:rPr>
              <w:t>SBS 0779-2021</w:t>
            </w:r>
          </w:p>
          <w:p w14:paraId="40FE1603" w14:textId="77777777" w:rsidR="008C20EB" w:rsidRDefault="008C20EB">
            <w:pPr>
              <w:pStyle w:val="TableParagraph"/>
              <w:ind w:left="71" w:right="42"/>
              <w:jc w:val="both"/>
              <w:rPr>
                <w:b/>
                <w:sz w:val="20"/>
                <w:szCs w:val="20"/>
              </w:rPr>
            </w:pPr>
          </w:p>
          <w:p w14:paraId="40FE1604" w14:textId="77777777" w:rsidR="008C20EB" w:rsidRDefault="008C20EB">
            <w:pPr>
              <w:pStyle w:val="TableParagraph"/>
              <w:ind w:left="71" w:right="42"/>
              <w:jc w:val="both"/>
              <w:rPr>
                <w:b/>
                <w:sz w:val="20"/>
                <w:szCs w:val="20"/>
              </w:rPr>
            </w:pPr>
          </w:p>
          <w:p w14:paraId="40FE1605" w14:textId="77777777" w:rsidR="008C20EB" w:rsidRDefault="008C20EB">
            <w:pPr>
              <w:pStyle w:val="TableParagraph"/>
              <w:ind w:left="71" w:right="42"/>
              <w:jc w:val="both"/>
              <w:rPr>
                <w:b/>
                <w:sz w:val="20"/>
                <w:szCs w:val="20"/>
              </w:rPr>
            </w:pPr>
          </w:p>
          <w:p w14:paraId="40FE1606" w14:textId="77777777" w:rsidR="008C20EB" w:rsidRDefault="008C20EB">
            <w:pPr>
              <w:pStyle w:val="TableParagraph"/>
              <w:ind w:left="71" w:right="42"/>
              <w:jc w:val="both"/>
              <w:rPr>
                <w:b/>
                <w:sz w:val="20"/>
                <w:szCs w:val="20"/>
              </w:rPr>
            </w:pPr>
          </w:p>
          <w:p w14:paraId="40FE1607" w14:textId="77777777" w:rsidR="008C20EB" w:rsidRDefault="008C20EB">
            <w:pPr>
              <w:pStyle w:val="TableParagraph"/>
              <w:ind w:left="71" w:right="42"/>
              <w:jc w:val="both"/>
              <w:rPr>
                <w:b/>
                <w:sz w:val="20"/>
                <w:szCs w:val="20"/>
              </w:rPr>
            </w:pPr>
          </w:p>
          <w:p w14:paraId="40FE1608" w14:textId="77777777" w:rsidR="008C20EB" w:rsidRDefault="008C20EB">
            <w:pPr>
              <w:pStyle w:val="TableParagraph"/>
              <w:ind w:left="71" w:right="42"/>
              <w:jc w:val="both"/>
              <w:rPr>
                <w:b/>
                <w:sz w:val="20"/>
                <w:szCs w:val="20"/>
              </w:rPr>
            </w:pPr>
          </w:p>
          <w:p w14:paraId="40FE1609" w14:textId="77777777" w:rsidR="008C20EB" w:rsidRDefault="008C20EB">
            <w:pPr>
              <w:pStyle w:val="TableParagraph"/>
              <w:ind w:left="71" w:right="42"/>
              <w:jc w:val="both"/>
              <w:rPr>
                <w:b/>
                <w:sz w:val="20"/>
                <w:szCs w:val="20"/>
              </w:rPr>
            </w:pPr>
          </w:p>
          <w:p w14:paraId="40FE160A" w14:textId="77777777" w:rsidR="008C20EB" w:rsidRDefault="008C20EB">
            <w:pPr>
              <w:pStyle w:val="TableParagraph"/>
              <w:ind w:left="71" w:right="42"/>
              <w:jc w:val="both"/>
              <w:rPr>
                <w:b/>
                <w:sz w:val="20"/>
                <w:szCs w:val="20"/>
              </w:rPr>
            </w:pPr>
          </w:p>
          <w:p w14:paraId="40FE160B" w14:textId="77777777" w:rsidR="008C20EB" w:rsidRDefault="008D25BE">
            <w:pPr>
              <w:pStyle w:val="TableParagraph"/>
              <w:ind w:left="71" w:right="42"/>
              <w:jc w:val="both"/>
              <w:rPr>
                <w:b/>
                <w:sz w:val="20"/>
                <w:szCs w:val="20"/>
              </w:rPr>
            </w:pPr>
            <w:r>
              <w:rPr>
                <w:b/>
                <w:sz w:val="20"/>
                <w:szCs w:val="20"/>
              </w:rPr>
              <w:t xml:space="preserve"> </w:t>
            </w:r>
          </w:p>
        </w:tc>
        <w:tc>
          <w:tcPr>
            <w:tcW w:w="1560" w:type="dxa"/>
          </w:tcPr>
          <w:p w14:paraId="40FE160C" w14:textId="77777777" w:rsidR="008C20EB" w:rsidRDefault="008D25BE">
            <w:pPr>
              <w:pStyle w:val="TableParagraph"/>
              <w:spacing w:line="234" w:lineRule="exact"/>
              <w:jc w:val="both"/>
              <w:rPr>
                <w:b/>
                <w:sz w:val="20"/>
                <w:szCs w:val="20"/>
              </w:rPr>
            </w:pPr>
            <w:r>
              <w:rPr>
                <w:b/>
                <w:sz w:val="20"/>
                <w:szCs w:val="20"/>
              </w:rPr>
              <w:t>Pr.    16.03.2021    /</w:t>
            </w:r>
          </w:p>
          <w:p w14:paraId="40FE160D" w14:textId="77777777" w:rsidR="008C20EB" w:rsidRDefault="008D25BE">
            <w:pPr>
              <w:pStyle w:val="TableParagraph"/>
              <w:spacing w:line="234" w:lineRule="exact"/>
              <w:jc w:val="both"/>
              <w:rPr>
                <w:b/>
                <w:sz w:val="20"/>
                <w:szCs w:val="20"/>
              </w:rPr>
            </w:pPr>
            <w:r>
              <w:rPr>
                <w:b/>
                <w:sz w:val="20"/>
                <w:szCs w:val="20"/>
              </w:rPr>
              <w:t>Pub. 19.03.2021</w:t>
            </w:r>
          </w:p>
        </w:tc>
        <w:tc>
          <w:tcPr>
            <w:tcW w:w="3935" w:type="dxa"/>
          </w:tcPr>
          <w:p w14:paraId="40FE160E" w14:textId="77777777" w:rsidR="008C20EB" w:rsidRDefault="008D25BE">
            <w:pPr>
              <w:pStyle w:val="TableParagraph"/>
              <w:ind w:left="67" w:right="61"/>
              <w:jc w:val="both"/>
              <w:rPr>
                <w:b/>
                <w:sz w:val="20"/>
                <w:szCs w:val="20"/>
              </w:rPr>
            </w:pPr>
            <w:r>
              <w:rPr>
                <w:sz w:val="20"/>
                <w:szCs w:val="20"/>
              </w:rPr>
              <w:t>Se realizan modificaciones los</w:t>
            </w:r>
            <w:r>
              <w:rPr>
                <w:rFonts w:cs="Arial"/>
                <w:sz w:val="20"/>
                <w:szCs w:val="20"/>
              </w:rPr>
              <w:t xml:space="preserve"> Capítulos I</w:t>
            </w:r>
            <w:r>
              <w:rPr>
                <w:sz w:val="20"/>
                <w:szCs w:val="20"/>
              </w:rPr>
              <w:t xml:space="preserve"> </w:t>
            </w:r>
            <w:r>
              <w:rPr>
                <w:rFonts w:cs="Arial"/>
                <w:sz w:val="20"/>
                <w:szCs w:val="20"/>
              </w:rPr>
              <w:t>“Disposiciones Generales” y II “Estados Financieros e Información Complementaria”, del Manual de Contabilidad para las Empresas del Sistema Financiero. Dichas modificaciones son vigentes a partir de la</w:t>
            </w:r>
            <w:r>
              <w:rPr>
                <w:sz w:val="20"/>
                <w:szCs w:val="20"/>
              </w:rPr>
              <w:t xml:space="preserve"> información     correspondiente   de abril 2021.</w:t>
            </w:r>
          </w:p>
        </w:tc>
        <w:tc>
          <w:tcPr>
            <w:tcW w:w="8162" w:type="dxa"/>
          </w:tcPr>
          <w:p w14:paraId="40FE160F" w14:textId="77777777" w:rsidR="008C20EB" w:rsidRDefault="008D25BE">
            <w:pPr>
              <w:pStyle w:val="TableParagraph"/>
              <w:ind w:left="68" w:right="62"/>
              <w:jc w:val="both"/>
              <w:rPr>
                <w:rFonts w:cs="Arial"/>
                <w:sz w:val="20"/>
                <w:szCs w:val="20"/>
                <w:lang w:val="es-PE"/>
              </w:rPr>
            </w:pPr>
            <w:r>
              <w:rPr>
                <w:color w:val="000000"/>
                <w:sz w:val="20"/>
                <w:szCs w:val="20"/>
                <w:lang w:val="es-PE"/>
              </w:rPr>
              <w:t xml:space="preserve">Se modifica el </w:t>
            </w:r>
            <w:r>
              <w:rPr>
                <w:sz w:val="20"/>
                <w:szCs w:val="20"/>
              </w:rPr>
              <w:t xml:space="preserve">Capítulo I </w:t>
            </w:r>
            <w:r>
              <w:rPr>
                <w:rFonts w:cs="Arial"/>
                <w:sz w:val="20"/>
                <w:szCs w:val="20"/>
              </w:rPr>
              <w:t>“Disposiciones Generales”</w:t>
            </w:r>
            <w:r>
              <w:rPr>
                <w:sz w:val="20"/>
                <w:szCs w:val="20"/>
              </w:rPr>
              <w:t xml:space="preserve">, </w:t>
            </w:r>
            <w:r>
              <w:rPr>
                <w:rFonts w:cs="Arial"/>
                <w:sz w:val="20"/>
                <w:szCs w:val="20"/>
                <w:lang w:val="es-PE"/>
              </w:rPr>
              <w:t>en el numeral 2 “Memoria Anual” del literal H “Aprobación de los Estados Financieros y la Memoria por la Junta General de Accionistas u órgano equivalente”, los literales c) y d) del segundo párrafo.</w:t>
            </w:r>
          </w:p>
          <w:p w14:paraId="40FE1610" w14:textId="77777777" w:rsidR="008C20EB" w:rsidRDefault="008C20EB">
            <w:pPr>
              <w:pStyle w:val="TableParagraph"/>
              <w:ind w:left="68" w:right="62"/>
              <w:jc w:val="both"/>
              <w:rPr>
                <w:rFonts w:cs="Arial"/>
                <w:sz w:val="20"/>
                <w:szCs w:val="20"/>
                <w:lang w:val="es-PE"/>
              </w:rPr>
            </w:pPr>
          </w:p>
          <w:p w14:paraId="40FE1611" w14:textId="77777777" w:rsidR="008C20EB" w:rsidRDefault="008D25BE">
            <w:pPr>
              <w:pStyle w:val="TableParagraph"/>
              <w:ind w:left="68" w:right="62"/>
              <w:jc w:val="both"/>
              <w:rPr>
                <w:rFonts w:eastAsia="Times New Roman" w:cs="Arial"/>
                <w:i/>
                <w:sz w:val="20"/>
                <w:szCs w:val="20"/>
                <w:lang w:val="es-PE" w:bidi="ar-SA"/>
              </w:rPr>
            </w:pPr>
            <w:r>
              <w:rPr>
                <w:color w:val="000000"/>
                <w:sz w:val="20"/>
                <w:szCs w:val="20"/>
                <w:lang w:val="es-PE"/>
              </w:rPr>
              <w:t xml:space="preserve">Se elimina en el </w:t>
            </w:r>
            <w:r>
              <w:rPr>
                <w:sz w:val="20"/>
                <w:szCs w:val="20"/>
              </w:rPr>
              <w:t xml:space="preserve">Capítulo II </w:t>
            </w:r>
            <w:r>
              <w:rPr>
                <w:rFonts w:cs="Arial"/>
                <w:sz w:val="20"/>
                <w:szCs w:val="20"/>
              </w:rPr>
              <w:t>“</w:t>
            </w:r>
            <w:r>
              <w:rPr>
                <w:sz w:val="20"/>
                <w:szCs w:val="20"/>
              </w:rPr>
              <w:t>Estados</w:t>
            </w:r>
            <w:r>
              <w:rPr>
                <w:rFonts w:cs="Arial"/>
                <w:sz w:val="20"/>
                <w:szCs w:val="20"/>
              </w:rPr>
              <w:t xml:space="preserve"> Financieros e Información Complementaria</w:t>
            </w:r>
            <w:r>
              <w:rPr>
                <w:rFonts w:cs="Arial"/>
                <w:sz w:val="20"/>
                <w:szCs w:val="20"/>
                <w:lang w:val="es-PE"/>
              </w:rPr>
              <w:t xml:space="preserve">”, el numeral III “Estados </w:t>
            </w:r>
            <w:r>
              <w:rPr>
                <w:color w:val="000000"/>
                <w:sz w:val="20"/>
                <w:szCs w:val="20"/>
                <w:lang w:val="es-PE"/>
              </w:rPr>
              <w:t>Financieros</w:t>
            </w:r>
            <w:r>
              <w:rPr>
                <w:rFonts w:cs="Arial"/>
                <w:sz w:val="20"/>
                <w:szCs w:val="20"/>
                <w:lang w:val="es-PE"/>
              </w:rPr>
              <w:t xml:space="preserve"> Consolidados”.</w:t>
            </w:r>
          </w:p>
          <w:p w14:paraId="40FE1612" w14:textId="77777777" w:rsidR="008C20EB" w:rsidRDefault="008C20EB">
            <w:pPr>
              <w:pStyle w:val="TableParagraph"/>
              <w:ind w:left="435" w:right="61"/>
              <w:jc w:val="both"/>
              <w:rPr>
                <w:rFonts w:cs="Arial"/>
                <w:sz w:val="20"/>
                <w:szCs w:val="20"/>
                <w:lang w:val="es-PE"/>
              </w:rPr>
            </w:pPr>
          </w:p>
          <w:p w14:paraId="40FE1613" w14:textId="77777777" w:rsidR="008C20EB" w:rsidRDefault="008C20EB">
            <w:pPr>
              <w:pStyle w:val="TableParagraph"/>
              <w:ind w:left="435" w:right="61"/>
              <w:jc w:val="both"/>
              <w:rPr>
                <w:color w:val="000000"/>
                <w:sz w:val="20"/>
                <w:szCs w:val="20"/>
                <w:lang w:val="es-PE"/>
              </w:rPr>
            </w:pPr>
          </w:p>
        </w:tc>
      </w:tr>
      <w:tr w:rsidR="008C20EB" w14:paraId="40FE1620" w14:textId="77777777">
        <w:trPr>
          <w:trHeight w:val="253"/>
        </w:trPr>
        <w:tc>
          <w:tcPr>
            <w:tcW w:w="1574" w:type="dxa"/>
          </w:tcPr>
          <w:p w14:paraId="40FE1615" w14:textId="77777777" w:rsidR="008C20EB" w:rsidRDefault="008D25BE">
            <w:pPr>
              <w:pStyle w:val="TableParagraph"/>
              <w:ind w:left="71" w:right="42"/>
              <w:jc w:val="both"/>
              <w:rPr>
                <w:b/>
                <w:sz w:val="20"/>
                <w:szCs w:val="20"/>
              </w:rPr>
            </w:pPr>
            <w:r>
              <w:rPr>
                <w:b/>
                <w:sz w:val="20"/>
                <w:szCs w:val="20"/>
              </w:rPr>
              <w:t>Resolución</w:t>
            </w:r>
          </w:p>
          <w:p w14:paraId="40FE1616" w14:textId="77777777" w:rsidR="008C20EB" w:rsidRDefault="008D25BE">
            <w:pPr>
              <w:pStyle w:val="TableParagraph"/>
              <w:ind w:left="71" w:right="42"/>
              <w:jc w:val="both"/>
              <w:rPr>
                <w:b/>
                <w:sz w:val="20"/>
                <w:szCs w:val="20"/>
              </w:rPr>
            </w:pPr>
            <w:r>
              <w:rPr>
                <w:b/>
                <w:sz w:val="20"/>
                <w:szCs w:val="20"/>
              </w:rPr>
              <w:t>SB 0349-2021</w:t>
            </w:r>
          </w:p>
        </w:tc>
        <w:tc>
          <w:tcPr>
            <w:tcW w:w="1560" w:type="dxa"/>
          </w:tcPr>
          <w:p w14:paraId="40FE1617" w14:textId="77777777" w:rsidR="008C20EB" w:rsidRDefault="008D25BE">
            <w:pPr>
              <w:pStyle w:val="TableParagraph"/>
              <w:spacing w:line="234" w:lineRule="exact"/>
              <w:jc w:val="both"/>
              <w:rPr>
                <w:b/>
                <w:sz w:val="20"/>
                <w:szCs w:val="20"/>
              </w:rPr>
            </w:pPr>
            <w:r>
              <w:rPr>
                <w:b/>
                <w:sz w:val="20"/>
                <w:szCs w:val="20"/>
              </w:rPr>
              <w:t>Pr.    03.02.2021    /</w:t>
            </w:r>
          </w:p>
          <w:p w14:paraId="40FE1618" w14:textId="77777777" w:rsidR="008C20EB" w:rsidRDefault="008D25BE">
            <w:pPr>
              <w:pStyle w:val="TableParagraph"/>
              <w:spacing w:line="234" w:lineRule="exact"/>
              <w:jc w:val="both"/>
              <w:rPr>
                <w:b/>
                <w:sz w:val="20"/>
                <w:szCs w:val="20"/>
              </w:rPr>
            </w:pPr>
            <w:r>
              <w:rPr>
                <w:b/>
                <w:sz w:val="20"/>
                <w:szCs w:val="20"/>
              </w:rPr>
              <w:t>Pub. 04.02.2021</w:t>
            </w:r>
          </w:p>
        </w:tc>
        <w:tc>
          <w:tcPr>
            <w:tcW w:w="3935" w:type="dxa"/>
          </w:tcPr>
          <w:p w14:paraId="40FE1619"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 Se realizan modificaciones el capítulo V “Información Complementaria” del Manual de Contabilidad para las Empresas del Sistema Financiero. Dichas modificaciones son vigentes a partir de la información     correspondiente   de febrero 2021.</w:t>
            </w:r>
          </w:p>
        </w:tc>
        <w:tc>
          <w:tcPr>
            <w:tcW w:w="8162" w:type="dxa"/>
          </w:tcPr>
          <w:p w14:paraId="40FE161A"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Se modifica el Capítulo V “Información Complementaria” del Manual de Contabilidad para las empresas del sistema financiero, la Forma E “Información Adelantada del Balance”:</w:t>
            </w:r>
          </w:p>
          <w:p w14:paraId="40FE161B" w14:textId="77777777" w:rsidR="008C20EB" w:rsidRDefault="008D25BE">
            <w:pPr>
              <w:pStyle w:val="TableParagraph"/>
              <w:numPr>
                <w:ilvl w:val="0"/>
                <w:numId w:val="36"/>
              </w:numPr>
              <w:ind w:right="61"/>
              <w:jc w:val="both"/>
              <w:rPr>
                <w:color w:val="000000"/>
                <w:sz w:val="20"/>
                <w:szCs w:val="20"/>
                <w:lang w:val="es-PE"/>
              </w:rPr>
            </w:pPr>
            <w:r>
              <w:rPr>
                <w:color w:val="000000"/>
                <w:sz w:val="20"/>
                <w:szCs w:val="20"/>
                <w:lang w:val="es-PE"/>
              </w:rPr>
              <w:t>Se sustituye la denominación del rubro “Provisiones para inversiones” por “Provisiones para Inversiones Negociables y a Vencimiento”.</w:t>
            </w:r>
          </w:p>
          <w:p w14:paraId="40FE161C" w14:textId="77777777" w:rsidR="008C20EB" w:rsidRDefault="008D25BE">
            <w:pPr>
              <w:pStyle w:val="TableParagraph"/>
              <w:numPr>
                <w:ilvl w:val="0"/>
                <w:numId w:val="36"/>
              </w:numPr>
              <w:ind w:right="61"/>
              <w:jc w:val="both"/>
              <w:rPr>
                <w:color w:val="000000"/>
                <w:sz w:val="20"/>
                <w:szCs w:val="20"/>
                <w:lang w:val="es-PE"/>
              </w:rPr>
            </w:pPr>
            <w:r>
              <w:rPr>
                <w:color w:val="000000"/>
                <w:sz w:val="20"/>
                <w:szCs w:val="20"/>
                <w:lang w:val="es-PE"/>
              </w:rPr>
              <w:t>Se incorporan nuevas cuentas analíticas en los siguientes rubros de Créditos: “Sobregiros en Cuenta Corriente, Avances y Tarjetas de Crédito”, “Préstamos” y “Otros créditos”.</w:t>
            </w:r>
          </w:p>
          <w:p w14:paraId="40FE161D" w14:textId="77777777" w:rsidR="008C20EB" w:rsidRDefault="008D25BE">
            <w:pPr>
              <w:pStyle w:val="TableParagraph"/>
              <w:numPr>
                <w:ilvl w:val="0"/>
                <w:numId w:val="36"/>
              </w:numPr>
              <w:ind w:right="61"/>
              <w:jc w:val="both"/>
              <w:rPr>
                <w:color w:val="000000"/>
                <w:sz w:val="20"/>
                <w:szCs w:val="20"/>
                <w:lang w:val="es-PE"/>
              </w:rPr>
            </w:pPr>
            <w:r>
              <w:rPr>
                <w:sz w:val="20"/>
                <w:szCs w:val="20"/>
              </w:rPr>
              <w:t xml:space="preserve">Se sustituye </w:t>
            </w:r>
            <w:r>
              <w:rPr>
                <w:color w:val="000000"/>
                <w:sz w:val="20"/>
                <w:szCs w:val="20"/>
                <w:lang w:val="es-PE"/>
              </w:rPr>
              <w:t>una denominación en el rubro “Bienes Realizables, Recibidos en Pago, Adjudicados y Activos No Corrientes Mantenidos para la Venta”.</w:t>
            </w:r>
          </w:p>
          <w:p w14:paraId="40FE161E" w14:textId="77777777" w:rsidR="008C20EB" w:rsidRDefault="008D25BE">
            <w:pPr>
              <w:pStyle w:val="TableParagraph"/>
              <w:numPr>
                <w:ilvl w:val="0"/>
                <w:numId w:val="36"/>
              </w:numPr>
              <w:ind w:right="61"/>
              <w:jc w:val="both"/>
              <w:rPr>
                <w:color w:val="000000"/>
                <w:sz w:val="20"/>
                <w:szCs w:val="20"/>
                <w:lang w:val="es-PE"/>
              </w:rPr>
            </w:pPr>
            <w:r>
              <w:rPr>
                <w:color w:val="000000"/>
                <w:sz w:val="20"/>
                <w:szCs w:val="20"/>
                <w:lang w:val="es-PE"/>
              </w:rPr>
              <w:t>Se incorpora una nueva subcuenta en el rubro “Obligaciones con el Público”.</w:t>
            </w:r>
          </w:p>
          <w:p w14:paraId="40FE161F" w14:textId="77777777" w:rsidR="008C20EB" w:rsidRDefault="008D25BE">
            <w:pPr>
              <w:pStyle w:val="TableParagraph"/>
              <w:numPr>
                <w:ilvl w:val="0"/>
                <w:numId w:val="36"/>
              </w:numPr>
              <w:ind w:right="61"/>
              <w:jc w:val="both"/>
              <w:rPr>
                <w:color w:val="000000"/>
                <w:sz w:val="20"/>
                <w:szCs w:val="20"/>
                <w:lang w:val="es-PE"/>
              </w:rPr>
            </w:pPr>
            <w:r>
              <w:rPr>
                <w:color w:val="000000"/>
                <w:sz w:val="20"/>
                <w:szCs w:val="20"/>
                <w:lang w:val="es-PE"/>
              </w:rPr>
              <w:t>Se elimina el rubro “Obligaciones Relacionadas con Inversiones Negociables y a Vencimiento”.</w:t>
            </w:r>
          </w:p>
        </w:tc>
      </w:tr>
      <w:tr w:rsidR="008C20EB" w14:paraId="40FE1633" w14:textId="77777777">
        <w:trPr>
          <w:trHeight w:val="253"/>
        </w:trPr>
        <w:tc>
          <w:tcPr>
            <w:tcW w:w="1574" w:type="dxa"/>
          </w:tcPr>
          <w:p w14:paraId="40FE1621" w14:textId="77777777" w:rsidR="008C20EB" w:rsidRDefault="008D25BE">
            <w:pPr>
              <w:pStyle w:val="TableParagraph"/>
              <w:ind w:left="71" w:right="42"/>
              <w:jc w:val="both"/>
              <w:rPr>
                <w:b/>
                <w:sz w:val="20"/>
                <w:szCs w:val="20"/>
              </w:rPr>
            </w:pPr>
            <w:r>
              <w:rPr>
                <w:b/>
                <w:sz w:val="20"/>
                <w:szCs w:val="20"/>
              </w:rPr>
              <w:t>Resolución</w:t>
            </w:r>
          </w:p>
          <w:p w14:paraId="40FE1622" w14:textId="77777777" w:rsidR="008C20EB" w:rsidRDefault="008D25BE">
            <w:pPr>
              <w:pStyle w:val="TableParagraph"/>
              <w:ind w:left="71" w:right="42"/>
              <w:jc w:val="both"/>
              <w:rPr>
                <w:b/>
                <w:sz w:val="20"/>
                <w:szCs w:val="20"/>
              </w:rPr>
            </w:pPr>
            <w:r>
              <w:rPr>
                <w:b/>
                <w:sz w:val="20"/>
                <w:szCs w:val="20"/>
              </w:rPr>
              <w:t xml:space="preserve">SBS 3155-2020 </w:t>
            </w:r>
          </w:p>
        </w:tc>
        <w:tc>
          <w:tcPr>
            <w:tcW w:w="1560" w:type="dxa"/>
          </w:tcPr>
          <w:p w14:paraId="40FE1623" w14:textId="77777777" w:rsidR="008C20EB" w:rsidRDefault="008D25BE">
            <w:pPr>
              <w:pStyle w:val="TableParagraph"/>
              <w:spacing w:line="234" w:lineRule="exact"/>
              <w:jc w:val="both"/>
              <w:rPr>
                <w:b/>
                <w:sz w:val="20"/>
                <w:szCs w:val="20"/>
              </w:rPr>
            </w:pPr>
            <w:r>
              <w:rPr>
                <w:b/>
                <w:sz w:val="20"/>
                <w:szCs w:val="20"/>
              </w:rPr>
              <w:t>Pr.    17.12.2020    /</w:t>
            </w:r>
          </w:p>
          <w:p w14:paraId="40FE1624" w14:textId="77777777" w:rsidR="008C20EB" w:rsidRDefault="008D25BE">
            <w:pPr>
              <w:pStyle w:val="TableParagraph"/>
              <w:spacing w:line="234" w:lineRule="exact"/>
              <w:jc w:val="both"/>
              <w:rPr>
                <w:b/>
                <w:sz w:val="20"/>
                <w:szCs w:val="20"/>
              </w:rPr>
            </w:pPr>
            <w:r>
              <w:rPr>
                <w:b/>
                <w:sz w:val="20"/>
                <w:szCs w:val="20"/>
              </w:rPr>
              <w:t>Pub. 18.12.2020</w:t>
            </w:r>
          </w:p>
        </w:tc>
        <w:tc>
          <w:tcPr>
            <w:tcW w:w="3935" w:type="dxa"/>
          </w:tcPr>
          <w:p w14:paraId="40FE1625" w14:textId="77777777" w:rsidR="008C20EB" w:rsidRDefault="008D25BE">
            <w:pPr>
              <w:pStyle w:val="TableParagraph"/>
              <w:ind w:left="67" w:right="61"/>
              <w:jc w:val="both"/>
              <w:rPr>
                <w:sz w:val="20"/>
                <w:szCs w:val="20"/>
              </w:rPr>
            </w:pPr>
            <w:r>
              <w:rPr>
                <w:sz w:val="20"/>
                <w:szCs w:val="20"/>
              </w:rPr>
              <w:t>Se realizan modificaciones a los</w:t>
            </w:r>
            <w:r>
              <w:rPr>
                <w:rFonts w:cs="Arial"/>
                <w:sz w:val="20"/>
                <w:szCs w:val="20"/>
              </w:rPr>
              <w:t xml:space="preserve"> Capítulos II</w:t>
            </w:r>
            <w:r>
              <w:rPr>
                <w:sz w:val="20"/>
                <w:szCs w:val="20"/>
              </w:rPr>
              <w:t xml:space="preserve"> </w:t>
            </w:r>
            <w:r>
              <w:rPr>
                <w:rFonts w:cs="Arial"/>
                <w:sz w:val="20"/>
                <w:szCs w:val="20"/>
              </w:rPr>
              <w:t xml:space="preserve">“Estados Financieros e Información Complementaria”, III “Catálogo de Cuentas”, IV “Descripción y Dinámica de Cuentas” y V “Información Complementaria” del Manual de Contabilidad para las Empresas del Sistema Financiero. Dichas modificaciones son vigentes a </w:t>
            </w:r>
            <w:r>
              <w:rPr>
                <w:rFonts w:cs="Arial"/>
                <w:sz w:val="20"/>
                <w:szCs w:val="20"/>
              </w:rPr>
              <w:lastRenderedPageBreak/>
              <w:t>partir de la</w:t>
            </w:r>
            <w:r>
              <w:rPr>
                <w:sz w:val="20"/>
                <w:szCs w:val="20"/>
              </w:rPr>
              <w:t xml:space="preserve"> información correspondiente   al mes de diciembre 2020.</w:t>
            </w:r>
          </w:p>
        </w:tc>
        <w:tc>
          <w:tcPr>
            <w:tcW w:w="8162" w:type="dxa"/>
          </w:tcPr>
          <w:p w14:paraId="40FE1626" w14:textId="77777777" w:rsidR="008C20EB" w:rsidRDefault="008D25BE">
            <w:pPr>
              <w:pStyle w:val="TableParagraph"/>
              <w:ind w:left="68" w:right="62"/>
              <w:jc w:val="both"/>
              <w:rPr>
                <w:color w:val="000000"/>
                <w:sz w:val="20"/>
                <w:szCs w:val="20"/>
                <w:lang w:val="es-PE"/>
              </w:rPr>
            </w:pPr>
            <w:r>
              <w:rPr>
                <w:color w:val="000000"/>
                <w:sz w:val="20"/>
                <w:szCs w:val="20"/>
                <w:lang w:val="es-PE"/>
              </w:rPr>
              <w:lastRenderedPageBreak/>
              <w:t xml:space="preserve">Se modifica el </w:t>
            </w:r>
            <w:r>
              <w:rPr>
                <w:sz w:val="20"/>
                <w:szCs w:val="20"/>
              </w:rPr>
              <w:t>Capítulo II “Estados Financieros e Información Complementaria”, la sección “Normas de Agrupación” de la Forma “A” Estado de Situación Financiera (Anexo).</w:t>
            </w:r>
          </w:p>
          <w:p w14:paraId="40FE1627" w14:textId="77777777" w:rsidR="008C20EB" w:rsidRDefault="008C20EB">
            <w:pPr>
              <w:pStyle w:val="TableParagraph"/>
              <w:ind w:left="68" w:right="62"/>
              <w:jc w:val="both"/>
              <w:rPr>
                <w:color w:val="000000"/>
                <w:sz w:val="20"/>
                <w:szCs w:val="20"/>
                <w:lang w:val="es-PE"/>
              </w:rPr>
            </w:pPr>
          </w:p>
          <w:p w14:paraId="40FE1628"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En los Capítulo III y IV se incorporan:</w:t>
            </w:r>
          </w:p>
          <w:p w14:paraId="40FE1629"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incorporan nuevas cuentas analíticas en la cuenta 1409 “(Provisiones para créditos)”, relacionadas a provisiones específicas de carteras reprogramadas por COVID – 19.</w:t>
            </w:r>
          </w:p>
          <w:p w14:paraId="40FE162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lastRenderedPageBreak/>
              <w:t xml:space="preserve">Se incorporan nuevas cuentas analíticas en la cuenta 4302 “(Provisiones para incobrabilidad de créditos)”, relacionadas a provisiones específicas de carteras reprogramadas por COVID – 19. </w:t>
            </w:r>
          </w:p>
          <w:p w14:paraId="40FE162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un último párrafo en la descripción de la cuenta 1409 “(Provisiones para créditos)”.</w:t>
            </w:r>
          </w:p>
          <w:p w14:paraId="40FE162C"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incorpora la cuenta analítica 2901.01.08 “(Créditos reprogramados- Emergencia Sanitaria)” en la subcuenta 2901.01 “(Ingresos por intereses y comisiones)”.</w:t>
            </w:r>
          </w:p>
          <w:p w14:paraId="40FE162D" w14:textId="77777777" w:rsidR="008C20EB" w:rsidRDefault="008C20EB">
            <w:pPr>
              <w:pStyle w:val="TableParagraph"/>
              <w:ind w:right="61"/>
              <w:jc w:val="both"/>
              <w:rPr>
                <w:color w:val="000000"/>
                <w:sz w:val="20"/>
                <w:szCs w:val="20"/>
                <w:lang w:val="es-PE"/>
              </w:rPr>
            </w:pPr>
          </w:p>
          <w:p w14:paraId="40FE162E"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Adicionalmente, se realizan las siguientes modificaciones</w:t>
            </w:r>
            <w:r>
              <w:rPr>
                <w:rFonts w:cs="Arial"/>
                <w:sz w:val="20"/>
                <w:szCs w:val="20"/>
              </w:rPr>
              <w:t xml:space="preserve"> en el Capítulo V: </w:t>
            </w:r>
          </w:p>
          <w:p w14:paraId="40FE162F"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Se modifica el Anexo N° 5 “Informe de Clasificación de Deudores y Provisiones”, según lo siguiente:</w:t>
            </w:r>
          </w:p>
          <w:p w14:paraId="40FE1630" w14:textId="77777777" w:rsidR="008C20EB" w:rsidRDefault="008D25BE">
            <w:pPr>
              <w:pStyle w:val="TableParagraph"/>
              <w:numPr>
                <w:ilvl w:val="0"/>
                <w:numId w:val="37"/>
              </w:numPr>
              <w:ind w:right="61"/>
              <w:jc w:val="both"/>
              <w:rPr>
                <w:color w:val="000000"/>
                <w:sz w:val="20"/>
                <w:szCs w:val="20"/>
                <w:lang w:val="es-PE"/>
              </w:rPr>
            </w:pPr>
            <w:r>
              <w:rPr>
                <w:sz w:val="20"/>
                <w:szCs w:val="20"/>
              </w:rPr>
              <w:t>Se sustituyen las casillas de “Créditos Directos” y “Provisiones Específicas para créditos directos” del acápite V “Cifras de Balance”.</w:t>
            </w:r>
          </w:p>
          <w:p w14:paraId="40FE1631" w14:textId="77777777" w:rsidR="008C20EB" w:rsidRDefault="008D25BE">
            <w:pPr>
              <w:pStyle w:val="TableParagraph"/>
              <w:numPr>
                <w:ilvl w:val="0"/>
                <w:numId w:val="37"/>
              </w:numPr>
              <w:ind w:right="61"/>
              <w:jc w:val="both"/>
              <w:rPr>
                <w:color w:val="000000"/>
                <w:sz w:val="20"/>
                <w:szCs w:val="20"/>
                <w:lang w:val="es-PE"/>
              </w:rPr>
            </w:pPr>
            <w:r>
              <w:rPr>
                <w:sz w:val="20"/>
                <w:szCs w:val="20"/>
              </w:rPr>
              <w:t xml:space="preserve">Se sustituye el primer párrafo y se incorpora un cuarto párrafo en la descripción general de las “Notas Metodológicas del Anexo N° 5 y sus anexos complementarios”. </w:t>
            </w:r>
          </w:p>
          <w:p w14:paraId="40FE1632" w14:textId="77777777" w:rsidR="008C20EB" w:rsidRDefault="008C20EB">
            <w:pPr>
              <w:pStyle w:val="TableParagraph"/>
              <w:ind w:left="1875" w:right="61"/>
              <w:jc w:val="both"/>
              <w:rPr>
                <w:color w:val="000000"/>
                <w:sz w:val="20"/>
                <w:szCs w:val="20"/>
                <w:lang w:val="es-PE"/>
              </w:rPr>
            </w:pPr>
          </w:p>
        </w:tc>
      </w:tr>
      <w:tr w:rsidR="008C20EB" w14:paraId="40FE1645" w14:textId="77777777">
        <w:trPr>
          <w:trHeight w:val="253"/>
        </w:trPr>
        <w:tc>
          <w:tcPr>
            <w:tcW w:w="1574" w:type="dxa"/>
          </w:tcPr>
          <w:p w14:paraId="40FE1634" w14:textId="77777777" w:rsidR="008C20EB" w:rsidRDefault="008D25BE">
            <w:pPr>
              <w:pStyle w:val="TableParagraph"/>
              <w:ind w:left="71" w:right="42"/>
              <w:jc w:val="both"/>
              <w:rPr>
                <w:b/>
                <w:sz w:val="20"/>
                <w:szCs w:val="20"/>
              </w:rPr>
            </w:pPr>
            <w:r>
              <w:rPr>
                <w:b/>
                <w:sz w:val="20"/>
                <w:szCs w:val="20"/>
              </w:rPr>
              <w:lastRenderedPageBreak/>
              <w:t>Resolución</w:t>
            </w:r>
          </w:p>
          <w:p w14:paraId="40FE1635" w14:textId="77777777" w:rsidR="008C20EB" w:rsidRDefault="008D25BE">
            <w:pPr>
              <w:pStyle w:val="TableParagraph"/>
              <w:ind w:left="71" w:right="42"/>
              <w:jc w:val="both"/>
              <w:rPr>
                <w:b/>
                <w:sz w:val="20"/>
                <w:szCs w:val="20"/>
              </w:rPr>
            </w:pPr>
            <w:r>
              <w:rPr>
                <w:b/>
                <w:sz w:val="20"/>
                <w:szCs w:val="20"/>
              </w:rPr>
              <w:t xml:space="preserve">SBS 2793-2020 </w:t>
            </w:r>
          </w:p>
        </w:tc>
        <w:tc>
          <w:tcPr>
            <w:tcW w:w="1560" w:type="dxa"/>
          </w:tcPr>
          <w:p w14:paraId="40FE1636" w14:textId="77777777" w:rsidR="008C20EB" w:rsidRDefault="008D25BE">
            <w:pPr>
              <w:pStyle w:val="TableParagraph"/>
              <w:spacing w:line="234" w:lineRule="exact"/>
              <w:jc w:val="both"/>
              <w:rPr>
                <w:b/>
                <w:sz w:val="20"/>
                <w:szCs w:val="20"/>
              </w:rPr>
            </w:pPr>
            <w:r>
              <w:rPr>
                <w:b/>
                <w:sz w:val="20"/>
                <w:szCs w:val="20"/>
              </w:rPr>
              <w:t>Pr.    10.11.2020    /</w:t>
            </w:r>
          </w:p>
          <w:p w14:paraId="40FE1637" w14:textId="77777777" w:rsidR="008C20EB" w:rsidRDefault="008D25BE">
            <w:pPr>
              <w:pStyle w:val="TableParagraph"/>
              <w:spacing w:line="234" w:lineRule="exact"/>
              <w:jc w:val="both"/>
              <w:rPr>
                <w:b/>
                <w:sz w:val="20"/>
                <w:szCs w:val="20"/>
              </w:rPr>
            </w:pPr>
            <w:r>
              <w:rPr>
                <w:b/>
                <w:sz w:val="20"/>
                <w:szCs w:val="20"/>
              </w:rPr>
              <w:t>Pub. 12.11.2020</w:t>
            </w:r>
          </w:p>
        </w:tc>
        <w:tc>
          <w:tcPr>
            <w:tcW w:w="3935" w:type="dxa"/>
          </w:tcPr>
          <w:p w14:paraId="40FE1638" w14:textId="77777777" w:rsidR="008C20EB" w:rsidRDefault="008D25BE">
            <w:pPr>
              <w:pStyle w:val="TableParagraph"/>
              <w:ind w:left="67" w:right="61"/>
              <w:jc w:val="both"/>
              <w:rPr>
                <w:sz w:val="20"/>
                <w:szCs w:val="20"/>
              </w:rPr>
            </w:pPr>
            <w:r>
              <w:rPr>
                <w:sz w:val="20"/>
                <w:szCs w:val="20"/>
              </w:rPr>
              <w:t>Se realizan modificaciones a los</w:t>
            </w:r>
            <w:r>
              <w:rPr>
                <w:rFonts w:cs="Arial"/>
                <w:sz w:val="20"/>
                <w:szCs w:val="20"/>
              </w:rPr>
              <w:t xml:space="preserve"> Capítulos III “Catálogo de Cuentas”, IV “Descripción y Dinámica de Cuentas” y V “</w:t>
            </w:r>
            <w:r>
              <w:rPr>
                <w:sz w:val="20"/>
                <w:szCs w:val="20"/>
              </w:rPr>
              <w:t xml:space="preserve">Información Complementaria” </w:t>
            </w:r>
            <w:r>
              <w:rPr>
                <w:rFonts w:cs="Arial"/>
                <w:sz w:val="20"/>
                <w:szCs w:val="20"/>
              </w:rPr>
              <w:t>del Manual de Contabilidad para las Empresas del Sistema Financiero</w:t>
            </w:r>
            <w:r>
              <w:rPr>
                <w:sz w:val="20"/>
                <w:szCs w:val="20"/>
              </w:rPr>
              <w:t>. Dichas modificaciones son vigentes a partir de la     información correspondiente de noviembre 2020.</w:t>
            </w:r>
          </w:p>
        </w:tc>
        <w:tc>
          <w:tcPr>
            <w:tcW w:w="8162" w:type="dxa"/>
          </w:tcPr>
          <w:p w14:paraId="40FE1639"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En los Capítulo III y IV se incorporan:</w:t>
            </w:r>
          </w:p>
          <w:p w14:paraId="40FE163A"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La subcuenta de orden 8109.44 “Créditos reprogramados - Programa de Garantías COVID - 19”.</w:t>
            </w:r>
          </w:p>
          <w:p w14:paraId="40FE163B"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La subcuenta de orden 8109.45 “Créditos reprogramados:   Créditos congelados COVID - 19 - Ley N° 31050”.</w:t>
            </w:r>
          </w:p>
          <w:p w14:paraId="40FE163C" w14:textId="77777777" w:rsidR="008C20EB" w:rsidRDefault="008D25BE">
            <w:pPr>
              <w:pStyle w:val="TableParagraph"/>
              <w:numPr>
                <w:ilvl w:val="0"/>
                <w:numId w:val="20"/>
              </w:numPr>
              <w:spacing w:after="240"/>
              <w:ind w:right="61"/>
              <w:jc w:val="both"/>
              <w:rPr>
                <w:color w:val="000000"/>
                <w:sz w:val="20"/>
                <w:szCs w:val="20"/>
                <w:lang w:val="es-PE"/>
              </w:rPr>
            </w:pPr>
            <w:r>
              <w:rPr>
                <w:color w:val="000000"/>
                <w:sz w:val="20"/>
                <w:szCs w:val="20"/>
                <w:lang w:val="es-PE"/>
              </w:rPr>
              <w:t>La cuenta analítica 8404.05.16 “Garantía otorgada por el Gobierno Nacional – COVID - 19", para el registro de las garantías de los programas del gobierno.</w:t>
            </w:r>
          </w:p>
          <w:p w14:paraId="40FE163D" w14:textId="77777777" w:rsidR="008C20EB" w:rsidRDefault="008D25BE">
            <w:pPr>
              <w:pStyle w:val="TableParagraph"/>
              <w:spacing w:before="240" w:after="240"/>
              <w:ind w:left="68" w:right="62"/>
              <w:jc w:val="both"/>
              <w:rPr>
                <w:color w:val="000000"/>
                <w:sz w:val="20"/>
                <w:szCs w:val="20"/>
                <w:lang w:val="es-PE"/>
              </w:rPr>
            </w:pPr>
            <w:r>
              <w:rPr>
                <w:color w:val="000000"/>
                <w:sz w:val="20"/>
                <w:szCs w:val="20"/>
                <w:lang w:val="es-PE"/>
              </w:rPr>
              <w:t>En el Capítulo IV:</w:t>
            </w:r>
          </w:p>
          <w:p w14:paraId="40FE163E" w14:textId="77777777" w:rsidR="008C20EB" w:rsidRDefault="008D25BE">
            <w:pPr>
              <w:pStyle w:val="TableParagraph"/>
              <w:numPr>
                <w:ilvl w:val="0"/>
                <w:numId w:val="20"/>
              </w:numPr>
              <w:ind w:right="61"/>
              <w:jc w:val="both"/>
              <w:rPr>
                <w:color w:val="000000"/>
                <w:sz w:val="20"/>
                <w:szCs w:val="20"/>
                <w:lang w:val="es-PE"/>
              </w:rPr>
            </w:pPr>
            <w:r>
              <w:rPr>
                <w:rFonts w:cs="Arial"/>
                <w:sz w:val="20"/>
                <w:szCs w:val="20"/>
              </w:rPr>
              <w:t>Se modifica la descripción de la subcuenta 8109.41 “</w:t>
            </w:r>
            <w:r>
              <w:rPr>
                <w:sz w:val="20"/>
                <w:szCs w:val="20"/>
              </w:rPr>
              <w:t>Créditos Circular 0021 – 2020 -BCRP”.</w:t>
            </w:r>
          </w:p>
          <w:p w14:paraId="40FE163F" w14:textId="77777777" w:rsidR="008C20EB" w:rsidRDefault="008C20EB">
            <w:pPr>
              <w:pStyle w:val="TableParagraph"/>
              <w:ind w:left="1155" w:right="61"/>
              <w:jc w:val="both"/>
              <w:rPr>
                <w:color w:val="000000"/>
                <w:sz w:val="20"/>
                <w:szCs w:val="20"/>
                <w:lang w:val="es-PE"/>
              </w:rPr>
            </w:pPr>
          </w:p>
          <w:p w14:paraId="40FE1640" w14:textId="77777777" w:rsidR="008C20EB" w:rsidRDefault="008C20EB">
            <w:pPr>
              <w:pStyle w:val="TableParagraph"/>
              <w:ind w:left="1155" w:right="61"/>
              <w:jc w:val="both"/>
              <w:rPr>
                <w:color w:val="000000"/>
                <w:sz w:val="20"/>
                <w:szCs w:val="20"/>
                <w:lang w:val="es-PE"/>
              </w:rPr>
            </w:pPr>
          </w:p>
          <w:p w14:paraId="40FE1641" w14:textId="77777777" w:rsidR="008C20EB" w:rsidRDefault="008D25BE">
            <w:pPr>
              <w:pStyle w:val="TableParagraph"/>
              <w:spacing w:after="240"/>
              <w:ind w:left="68" w:right="62"/>
              <w:jc w:val="both"/>
              <w:rPr>
                <w:color w:val="000000"/>
                <w:sz w:val="20"/>
                <w:szCs w:val="20"/>
                <w:lang w:val="es-PE"/>
              </w:rPr>
            </w:pPr>
            <w:r>
              <w:rPr>
                <w:rFonts w:cs="Arial"/>
                <w:sz w:val="20"/>
                <w:szCs w:val="20"/>
              </w:rPr>
              <w:t xml:space="preserve">En el Capítulo V: </w:t>
            </w:r>
          </w:p>
          <w:p w14:paraId="40FE1642"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el </w:t>
            </w:r>
            <w:r>
              <w:rPr>
                <w:bCs/>
                <w:sz w:val="20"/>
                <w:szCs w:val="20"/>
                <w:lang w:val="es-PE"/>
              </w:rPr>
              <w:t>Anexo N° 5 “Informe de Clasificación de Deudores y Provisiones” y sus notas metodológicas.</w:t>
            </w:r>
          </w:p>
          <w:p w14:paraId="40FE1643" w14:textId="77777777" w:rsidR="008C20EB" w:rsidRDefault="008D25BE">
            <w:pPr>
              <w:pStyle w:val="TableParagraph"/>
              <w:numPr>
                <w:ilvl w:val="0"/>
                <w:numId w:val="20"/>
              </w:numPr>
              <w:ind w:right="61"/>
              <w:jc w:val="both"/>
              <w:rPr>
                <w:color w:val="000000"/>
                <w:sz w:val="20"/>
                <w:szCs w:val="20"/>
                <w:lang w:val="es-PE"/>
              </w:rPr>
            </w:pPr>
            <w:r>
              <w:rPr>
                <w:color w:val="000000"/>
                <w:sz w:val="20"/>
                <w:szCs w:val="20"/>
                <w:lang w:val="es-PE"/>
              </w:rPr>
              <w:t xml:space="preserve">Se modifica el </w:t>
            </w:r>
            <w:r>
              <w:rPr>
                <w:bCs/>
                <w:sz w:val="20"/>
                <w:szCs w:val="20"/>
                <w:lang w:val="es-PE"/>
              </w:rPr>
              <w:t>Anexo N° 6 “Reporte Crediticio de Deudores - RCD”.</w:t>
            </w:r>
          </w:p>
          <w:p w14:paraId="40FE1644" w14:textId="77777777" w:rsidR="008C20EB" w:rsidRDefault="008C20EB">
            <w:pPr>
              <w:pStyle w:val="TableParagraph"/>
              <w:ind w:right="61"/>
              <w:jc w:val="both"/>
              <w:rPr>
                <w:color w:val="000000"/>
                <w:sz w:val="20"/>
                <w:szCs w:val="20"/>
                <w:lang w:val="es-PE"/>
              </w:rPr>
            </w:pPr>
          </w:p>
        </w:tc>
      </w:tr>
      <w:tr w:rsidR="008C20EB" w14:paraId="40FE1651" w14:textId="77777777">
        <w:trPr>
          <w:trHeight w:val="253"/>
        </w:trPr>
        <w:tc>
          <w:tcPr>
            <w:tcW w:w="1574" w:type="dxa"/>
          </w:tcPr>
          <w:p w14:paraId="40FE1646" w14:textId="77777777" w:rsidR="008C20EB" w:rsidRDefault="008D25BE">
            <w:pPr>
              <w:pStyle w:val="TableParagraph"/>
              <w:ind w:left="71" w:right="42"/>
              <w:jc w:val="both"/>
              <w:rPr>
                <w:b/>
                <w:sz w:val="20"/>
                <w:szCs w:val="20"/>
              </w:rPr>
            </w:pPr>
            <w:r>
              <w:rPr>
                <w:b/>
                <w:sz w:val="20"/>
                <w:szCs w:val="20"/>
              </w:rPr>
              <w:t>Resolución</w:t>
            </w:r>
          </w:p>
          <w:p w14:paraId="40FE1647" w14:textId="77777777" w:rsidR="008C20EB" w:rsidRDefault="008D25BE">
            <w:pPr>
              <w:pStyle w:val="TableParagraph"/>
              <w:ind w:left="71" w:right="42"/>
              <w:jc w:val="both"/>
              <w:rPr>
                <w:b/>
                <w:sz w:val="20"/>
                <w:szCs w:val="20"/>
              </w:rPr>
            </w:pPr>
            <w:r>
              <w:rPr>
                <w:b/>
                <w:sz w:val="20"/>
                <w:szCs w:val="20"/>
              </w:rPr>
              <w:t xml:space="preserve">SBS 2712-2020 </w:t>
            </w:r>
          </w:p>
        </w:tc>
        <w:tc>
          <w:tcPr>
            <w:tcW w:w="1560" w:type="dxa"/>
          </w:tcPr>
          <w:p w14:paraId="40FE1648" w14:textId="77777777" w:rsidR="008C20EB" w:rsidRDefault="008D25BE">
            <w:pPr>
              <w:pStyle w:val="TableParagraph"/>
              <w:spacing w:line="234" w:lineRule="exact"/>
              <w:jc w:val="both"/>
              <w:rPr>
                <w:b/>
                <w:sz w:val="20"/>
                <w:szCs w:val="20"/>
              </w:rPr>
            </w:pPr>
            <w:r>
              <w:rPr>
                <w:b/>
                <w:sz w:val="20"/>
                <w:szCs w:val="20"/>
              </w:rPr>
              <w:t>Pr.    04.11.2020    /</w:t>
            </w:r>
          </w:p>
          <w:p w14:paraId="40FE1649" w14:textId="77777777" w:rsidR="008C20EB" w:rsidRDefault="008D25BE">
            <w:pPr>
              <w:pStyle w:val="TableParagraph"/>
              <w:spacing w:line="234" w:lineRule="exact"/>
              <w:jc w:val="both"/>
              <w:rPr>
                <w:b/>
                <w:sz w:val="20"/>
                <w:szCs w:val="20"/>
              </w:rPr>
            </w:pPr>
            <w:r>
              <w:rPr>
                <w:b/>
                <w:sz w:val="20"/>
                <w:szCs w:val="20"/>
              </w:rPr>
              <w:t>Pub. 09.11.2020</w:t>
            </w:r>
          </w:p>
        </w:tc>
        <w:tc>
          <w:tcPr>
            <w:tcW w:w="3935" w:type="dxa"/>
          </w:tcPr>
          <w:p w14:paraId="40FE164A" w14:textId="77777777" w:rsidR="008C20EB" w:rsidRDefault="008D25BE">
            <w:pPr>
              <w:pStyle w:val="TableParagraph"/>
              <w:ind w:left="67" w:right="61"/>
              <w:jc w:val="both"/>
              <w:rPr>
                <w:sz w:val="20"/>
                <w:szCs w:val="20"/>
              </w:rPr>
            </w:pPr>
            <w:r>
              <w:rPr>
                <w:sz w:val="20"/>
                <w:szCs w:val="20"/>
              </w:rPr>
              <w:t xml:space="preserve">Se realizan modificaciones al Capítulo V “información complementaria” (Anexos y Reportes) del Manual de Contabilidad para Empresas </w:t>
            </w:r>
            <w:r>
              <w:rPr>
                <w:bCs/>
                <w:sz w:val="20"/>
                <w:szCs w:val="20"/>
              </w:rPr>
              <w:t>del</w:t>
            </w:r>
            <w:r>
              <w:rPr>
                <w:sz w:val="20"/>
                <w:szCs w:val="20"/>
              </w:rPr>
              <w:t xml:space="preserve"> Sistema Financiero. Dicha modificación es vigente a partir de la     información     correspondiente  </w:t>
            </w:r>
            <w:r>
              <w:rPr>
                <w:spacing w:val="4"/>
                <w:sz w:val="20"/>
                <w:szCs w:val="20"/>
              </w:rPr>
              <w:t xml:space="preserve"> </w:t>
            </w:r>
            <w:r>
              <w:rPr>
                <w:sz w:val="20"/>
                <w:szCs w:val="20"/>
              </w:rPr>
              <w:t xml:space="preserve">de </w:t>
            </w:r>
            <w:r>
              <w:rPr>
                <w:b/>
                <w:bCs/>
                <w:sz w:val="20"/>
                <w:szCs w:val="20"/>
              </w:rPr>
              <w:t>diciembre</w:t>
            </w:r>
            <w:r>
              <w:rPr>
                <w:b/>
                <w:sz w:val="20"/>
                <w:szCs w:val="20"/>
              </w:rPr>
              <w:t xml:space="preserve"> 2020.</w:t>
            </w:r>
          </w:p>
        </w:tc>
        <w:tc>
          <w:tcPr>
            <w:tcW w:w="8162" w:type="dxa"/>
          </w:tcPr>
          <w:p w14:paraId="40FE164B" w14:textId="77777777" w:rsidR="008C20EB" w:rsidRDefault="008D25BE">
            <w:pPr>
              <w:pStyle w:val="TableParagraph"/>
              <w:spacing w:after="240"/>
              <w:ind w:left="68" w:right="62"/>
              <w:jc w:val="both"/>
              <w:rPr>
                <w:sz w:val="20"/>
                <w:szCs w:val="20"/>
              </w:rPr>
            </w:pPr>
            <w:r>
              <w:rPr>
                <w:sz w:val="20"/>
                <w:szCs w:val="20"/>
              </w:rPr>
              <w:t>En el capítulo V, se modifican los anexos siguientes:</w:t>
            </w:r>
          </w:p>
          <w:p w14:paraId="40FE164C" w14:textId="77777777" w:rsidR="008C20EB" w:rsidRDefault="008D25BE">
            <w:pPr>
              <w:pStyle w:val="TableParagraph"/>
              <w:numPr>
                <w:ilvl w:val="0"/>
                <w:numId w:val="38"/>
              </w:numPr>
              <w:ind w:right="61"/>
              <w:jc w:val="both"/>
              <w:rPr>
                <w:sz w:val="20"/>
                <w:szCs w:val="20"/>
              </w:rPr>
            </w:pPr>
            <w:r>
              <w:rPr>
                <w:sz w:val="20"/>
                <w:szCs w:val="20"/>
              </w:rPr>
              <w:t xml:space="preserve">Modificación de la </w:t>
            </w:r>
            <w:r>
              <w:rPr>
                <w:rFonts w:eastAsia="Times New Roman" w:cs="Times New Roman"/>
                <w:sz w:val="20"/>
                <w:szCs w:val="20"/>
              </w:rPr>
              <w:t>nota metodológica número 22-A del Anexo N° 15 – A “Reporte de Tesorería y Posición Diaria de Liquidez”.</w:t>
            </w:r>
          </w:p>
          <w:p w14:paraId="40FE164D" w14:textId="77777777" w:rsidR="008C20EB" w:rsidRDefault="008D25BE">
            <w:pPr>
              <w:pStyle w:val="TableParagraph"/>
              <w:numPr>
                <w:ilvl w:val="0"/>
                <w:numId w:val="38"/>
              </w:numPr>
              <w:ind w:right="61"/>
              <w:jc w:val="both"/>
              <w:rPr>
                <w:sz w:val="20"/>
                <w:szCs w:val="20"/>
              </w:rPr>
            </w:pPr>
            <w:r>
              <w:rPr>
                <w:sz w:val="20"/>
                <w:szCs w:val="20"/>
              </w:rPr>
              <w:t xml:space="preserve">Modificación de </w:t>
            </w:r>
            <w:r>
              <w:rPr>
                <w:rFonts w:eastAsia="Times New Roman" w:cs="Times New Roman"/>
                <w:sz w:val="20"/>
                <w:szCs w:val="20"/>
              </w:rPr>
              <w:t>la nota metodológica número 5 y 10 del Anexo N° 15 – B “Ratio de Cobertura de Liquidez”.</w:t>
            </w:r>
          </w:p>
          <w:p w14:paraId="40FE164E" w14:textId="77777777" w:rsidR="008C20EB" w:rsidRDefault="008D25BE">
            <w:pPr>
              <w:widowControl/>
              <w:numPr>
                <w:ilvl w:val="0"/>
                <w:numId w:val="38"/>
              </w:numPr>
              <w:autoSpaceDE/>
              <w:autoSpaceDN/>
              <w:jc w:val="both"/>
              <w:rPr>
                <w:sz w:val="20"/>
                <w:szCs w:val="20"/>
              </w:rPr>
            </w:pPr>
            <w:r>
              <w:rPr>
                <w:sz w:val="20"/>
                <w:szCs w:val="20"/>
              </w:rPr>
              <w:t xml:space="preserve">Modificación </w:t>
            </w:r>
            <w:r>
              <w:rPr>
                <w:rFonts w:eastAsia="Times New Roman" w:cs="Times New Roman"/>
                <w:sz w:val="20"/>
                <w:szCs w:val="20"/>
              </w:rPr>
              <w:t>del Anexo N° 16 – A “Cuadro de liquidez por plazo de vencimiento” y las notas metodológicas.</w:t>
            </w:r>
          </w:p>
          <w:p w14:paraId="40FE164F" w14:textId="77777777" w:rsidR="008C20EB" w:rsidRDefault="008D25BE">
            <w:pPr>
              <w:widowControl/>
              <w:numPr>
                <w:ilvl w:val="0"/>
                <w:numId w:val="38"/>
              </w:numPr>
              <w:autoSpaceDE/>
              <w:autoSpaceDN/>
              <w:jc w:val="both"/>
              <w:rPr>
                <w:sz w:val="20"/>
                <w:szCs w:val="20"/>
              </w:rPr>
            </w:pPr>
            <w:r>
              <w:rPr>
                <w:sz w:val="20"/>
                <w:szCs w:val="20"/>
              </w:rPr>
              <w:lastRenderedPageBreak/>
              <w:t xml:space="preserve">Modificación </w:t>
            </w:r>
            <w:r>
              <w:rPr>
                <w:rFonts w:eastAsia="Times New Roman" w:cs="Times New Roman"/>
                <w:sz w:val="20"/>
                <w:szCs w:val="20"/>
              </w:rPr>
              <w:t>del Anexo N° 16 – B “Simulación de escenarios de estrés y plan de contingencia” y sus notas metodológicas.</w:t>
            </w:r>
            <w:r>
              <w:rPr>
                <w:sz w:val="20"/>
                <w:szCs w:val="20"/>
              </w:rPr>
              <w:t xml:space="preserve"> </w:t>
            </w:r>
          </w:p>
          <w:p w14:paraId="40FE1650" w14:textId="77777777" w:rsidR="008C20EB" w:rsidRDefault="008C20EB">
            <w:pPr>
              <w:widowControl/>
              <w:autoSpaceDE/>
              <w:autoSpaceDN/>
              <w:ind w:left="720"/>
              <w:jc w:val="both"/>
              <w:rPr>
                <w:sz w:val="20"/>
                <w:szCs w:val="20"/>
              </w:rPr>
            </w:pPr>
          </w:p>
        </w:tc>
      </w:tr>
      <w:tr w:rsidR="008C20EB" w14:paraId="40FE1658" w14:textId="77777777">
        <w:trPr>
          <w:trHeight w:val="253"/>
        </w:trPr>
        <w:tc>
          <w:tcPr>
            <w:tcW w:w="1574" w:type="dxa"/>
          </w:tcPr>
          <w:p w14:paraId="40FE1652" w14:textId="77777777" w:rsidR="008C20EB" w:rsidRDefault="008D25BE">
            <w:pPr>
              <w:pStyle w:val="TableParagraph"/>
              <w:ind w:left="71" w:right="42"/>
              <w:jc w:val="both"/>
              <w:rPr>
                <w:b/>
                <w:sz w:val="20"/>
                <w:szCs w:val="20"/>
              </w:rPr>
            </w:pPr>
            <w:r>
              <w:rPr>
                <w:b/>
                <w:sz w:val="20"/>
                <w:szCs w:val="20"/>
              </w:rPr>
              <w:lastRenderedPageBreak/>
              <w:t>Resolución</w:t>
            </w:r>
          </w:p>
          <w:p w14:paraId="40FE1653" w14:textId="77777777" w:rsidR="008C20EB" w:rsidRDefault="008D25BE">
            <w:pPr>
              <w:pStyle w:val="TableParagraph"/>
              <w:ind w:left="71" w:right="42"/>
              <w:jc w:val="both"/>
              <w:rPr>
                <w:b/>
                <w:sz w:val="20"/>
                <w:szCs w:val="20"/>
              </w:rPr>
            </w:pPr>
            <w:r>
              <w:rPr>
                <w:b/>
                <w:sz w:val="20"/>
                <w:szCs w:val="20"/>
              </w:rPr>
              <w:t xml:space="preserve">SBS 2628-2020 </w:t>
            </w:r>
          </w:p>
        </w:tc>
        <w:tc>
          <w:tcPr>
            <w:tcW w:w="1560" w:type="dxa"/>
          </w:tcPr>
          <w:p w14:paraId="40FE1654" w14:textId="77777777" w:rsidR="008C20EB" w:rsidRDefault="008D25BE">
            <w:pPr>
              <w:pStyle w:val="TableParagraph"/>
              <w:spacing w:line="234" w:lineRule="exact"/>
              <w:jc w:val="both"/>
              <w:rPr>
                <w:b/>
                <w:sz w:val="20"/>
                <w:szCs w:val="20"/>
              </w:rPr>
            </w:pPr>
            <w:r>
              <w:rPr>
                <w:b/>
                <w:sz w:val="20"/>
                <w:szCs w:val="20"/>
              </w:rPr>
              <w:t>Pr.    26.10.2020    /</w:t>
            </w:r>
          </w:p>
          <w:p w14:paraId="40FE1655" w14:textId="77777777" w:rsidR="008C20EB" w:rsidRDefault="008D25BE">
            <w:pPr>
              <w:pStyle w:val="TableParagraph"/>
              <w:spacing w:line="234" w:lineRule="exact"/>
              <w:jc w:val="both"/>
              <w:rPr>
                <w:b/>
                <w:sz w:val="20"/>
                <w:szCs w:val="20"/>
              </w:rPr>
            </w:pPr>
            <w:r>
              <w:rPr>
                <w:b/>
                <w:sz w:val="20"/>
                <w:szCs w:val="20"/>
              </w:rPr>
              <w:t>Pub. 27.10.2020</w:t>
            </w:r>
          </w:p>
        </w:tc>
        <w:tc>
          <w:tcPr>
            <w:tcW w:w="3935" w:type="dxa"/>
            <w:vAlign w:val="bottom"/>
          </w:tcPr>
          <w:p w14:paraId="40FE1656" w14:textId="77777777" w:rsidR="008C20EB" w:rsidRDefault="008D25BE">
            <w:pPr>
              <w:pStyle w:val="TableParagraph"/>
              <w:ind w:left="67" w:right="61"/>
              <w:jc w:val="both"/>
              <w:rPr>
                <w:bCs/>
                <w:sz w:val="20"/>
                <w:szCs w:val="20"/>
              </w:rPr>
            </w:pPr>
            <w:r>
              <w:rPr>
                <w:bCs/>
                <w:sz w:val="20"/>
                <w:szCs w:val="20"/>
              </w:rPr>
              <w:t>Se realizan modificaciones al Capítulo V “información complementaria” (Anexos y Reportes) del Manual de Contabilidad para Empresas del Sistema Financiero.</w:t>
            </w:r>
          </w:p>
        </w:tc>
        <w:tc>
          <w:tcPr>
            <w:tcW w:w="8162" w:type="dxa"/>
          </w:tcPr>
          <w:p w14:paraId="40FE1657" w14:textId="77777777" w:rsidR="008C20EB" w:rsidRDefault="008D25BE">
            <w:pPr>
              <w:pStyle w:val="TableParagraph"/>
              <w:ind w:left="68" w:right="62"/>
              <w:jc w:val="both"/>
              <w:rPr>
                <w:color w:val="000000"/>
                <w:sz w:val="20"/>
                <w:szCs w:val="20"/>
                <w:lang w:val="es-PE"/>
              </w:rPr>
            </w:pPr>
            <w:r>
              <w:rPr>
                <w:color w:val="000000"/>
                <w:sz w:val="20"/>
                <w:szCs w:val="20"/>
                <w:lang w:val="es-PE"/>
              </w:rPr>
              <w:t xml:space="preserve">En el capítulo V, se modifica </w:t>
            </w:r>
            <w:r>
              <w:rPr>
                <w:sz w:val="20"/>
                <w:szCs w:val="20"/>
              </w:rPr>
              <w:t>el Reporte N° 13 “Control de Límites Globales e Individuales aplicables a las Empresas del Sistema Financiero”; específicamente, los límites de la posición contable neta de productos financieros derivados de moneda extranjera, referido a la sobreventa y sobrecompra de dichos productos.</w:t>
            </w:r>
          </w:p>
        </w:tc>
      </w:tr>
      <w:tr w:rsidR="008C20EB" w14:paraId="40FE1660" w14:textId="77777777">
        <w:trPr>
          <w:trHeight w:val="253"/>
        </w:trPr>
        <w:tc>
          <w:tcPr>
            <w:tcW w:w="1574" w:type="dxa"/>
          </w:tcPr>
          <w:p w14:paraId="40FE1659" w14:textId="77777777" w:rsidR="008C20EB" w:rsidRDefault="008D25BE">
            <w:pPr>
              <w:pStyle w:val="TableParagraph"/>
              <w:ind w:left="71" w:right="42"/>
              <w:jc w:val="both"/>
              <w:rPr>
                <w:b/>
                <w:sz w:val="20"/>
                <w:szCs w:val="20"/>
              </w:rPr>
            </w:pPr>
            <w:r>
              <w:rPr>
                <w:b/>
                <w:sz w:val="20"/>
                <w:szCs w:val="20"/>
              </w:rPr>
              <w:t xml:space="preserve">Resolución SBS 2448-2020 </w:t>
            </w:r>
          </w:p>
        </w:tc>
        <w:tc>
          <w:tcPr>
            <w:tcW w:w="1560" w:type="dxa"/>
          </w:tcPr>
          <w:p w14:paraId="40FE165A" w14:textId="77777777" w:rsidR="008C20EB" w:rsidRDefault="008D25BE">
            <w:pPr>
              <w:pStyle w:val="TableParagraph"/>
              <w:spacing w:line="234" w:lineRule="exact"/>
              <w:jc w:val="both"/>
              <w:rPr>
                <w:b/>
                <w:sz w:val="20"/>
                <w:szCs w:val="20"/>
              </w:rPr>
            </w:pPr>
            <w:r>
              <w:rPr>
                <w:b/>
                <w:sz w:val="20"/>
                <w:szCs w:val="20"/>
              </w:rPr>
              <w:t>Pr.    08.10.2020    /</w:t>
            </w:r>
          </w:p>
          <w:p w14:paraId="40FE165B" w14:textId="77777777" w:rsidR="008C20EB" w:rsidRDefault="008D25BE">
            <w:pPr>
              <w:pStyle w:val="TableParagraph"/>
              <w:spacing w:line="234" w:lineRule="exact"/>
              <w:jc w:val="both"/>
              <w:rPr>
                <w:b/>
                <w:sz w:val="20"/>
                <w:szCs w:val="20"/>
              </w:rPr>
            </w:pPr>
            <w:r>
              <w:rPr>
                <w:b/>
                <w:sz w:val="20"/>
                <w:szCs w:val="20"/>
              </w:rPr>
              <w:t>Pub. 09.10.2020</w:t>
            </w:r>
          </w:p>
        </w:tc>
        <w:tc>
          <w:tcPr>
            <w:tcW w:w="3935" w:type="dxa"/>
            <w:vAlign w:val="bottom"/>
          </w:tcPr>
          <w:p w14:paraId="40FE165C" w14:textId="77777777" w:rsidR="008C20EB" w:rsidRDefault="008D25BE">
            <w:pPr>
              <w:pStyle w:val="TableParagraph"/>
              <w:ind w:left="67" w:right="61"/>
              <w:jc w:val="both"/>
              <w:rPr>
                <w:bCs/>
                <w:sz w:val="20"/>
                <w:szCs w:val="20"/>
              </w:rPr>
            </w:pPr>
            <w:r>
              <w:rPr>
                <w:bCs/>
                <w:sz w:val="20"/>
                <w:szCs w:val="20"/>
              </w:rPr>
              <w:t xml:space="preserve">Se realizan modificaciones al Capítulo V referido a la información complementaria (Anexos y Reportes) del Manual de Contabilidad para Empresas del Sistema Financiero, en función a lo requerido por </w:t>
            </w:r>
            <w:r>
              <w:rPr>
                <w:sz w:val="20"/>
                <w:szCs w:val="20"/>
              </w:rPr>
              <w:t>el</w:t>
            </w:r>
            <w:r>
              <w:rPr>
                <w:bCs/>
                <w:sz w:val="20"/>
                <w:szCs w:val="20"/>
              </w:rPr>
              <w:t xml:space="preserve"> marco normativo vigente respecto del cálculo de las primas a pagar al Fondo de Seguro de Depósitos.</w:t>
            </w:r>
          </w:p>
        </w:tc>
        <w:tc>
          <w:tcPr>
            <w:tcW w:w="8162" w:type="dxa"/>
          </w:tcPr>
          <w:p w14:paraId="40FE165D" w14:textId="77777777" w:rsidR="008C20EB" w:rsidRDefault="008D25BE">
            <w:pPr>
              <w:pStyle w:val="TableParagraph"/>
              <w:spacing w:after="240"/>
              <w:ind w:left="68" w:right="62"/>
              <w:jc w:val="both"/>
              <w:rPr>
                <w:color w:val="000000"/>
                <w:sz w:val="20"/>
                <w:szCs w:val="20"/>
                <w:lang w:val="es-PE"/>
              </w:rPr>
            </w:pPr>
            <w:r>
              <w:rPr>
                <w:rFonts w:cs="Arial"/>
                <w:sz w:val="20"/>
                <w:szCs w:val="20"/>
              </w:rPr>
              <w:t xml:space="preserve">En el Capítulo V: </w:t>
            </w:r>
          </w:p>
          <w:p w14:paraId="40FE165E" w14:textId="77777777" w:rsidR="008C20EB" w:rsidRDefault="008D25BE">
            <w:pPr>
              <w:pStyle w:val="TableParagraph"/>
              <w:numPr>
                <w:ilvl w:val="0"/>
                <w:numId w:val="39"/>
              </w:numPr>
              <w:ind w:right="61"/>
              <w:jc w:val="both"/>
              <w:rPr>
                <w:bCs/>
                <w:sz w:val="20"/>
                <w:szCs w:val="20"/>
              </w:rPr>
            </w:pPr>
            <w:r>
              <w:rPr>
                <w:color w:val="000000"/>
                <w:sz w:val="20"/>
                <w:szCs w:val="20"/>
                <w:lang w:val="es-PE"/>
              </w:rPr>
              <w:t>Se sustituye el formato del Anexo N° 17-A “Control de Imposiciones Cubiertas por el Fondo de</w:t>
            </w:r>
            <w:r>
              <w:rPr>
                <w:b/>
                <w:sz w:val="20"/>
                <w:szCs w:val="20"/>
              </w:rPr>
              <w:t xml:space="preserve"> </w:t>
            </w:r>
            <w:r>
              <w:rPr>
                <w:bCs/>
                <w:sz w:val="20"/>
                <w:szCs w:val="20"/>
              </w:rPr>
              <w:t>Seguro de Depósito” y sus notas metodológicas</w:t>
            </w:r>
          </w:p>
          <w:p w14:paraId="40FE165F" w14:textId="77777777" w:rsidR="008C20EB" w:rsidRDefault="008D25BE">
            <w:pPr>
              <w:pStyle w:val="TableParagraph"/>
              <w:numPr>
                <w:ilvl w:val="0"/>
                <w:numId w:val="39"/>
              </w:numPr>
              <w:ind w:right="61"/>
              <w:jc w:val="both"/>
              <w:rPr>
                <w:b/>
                <w:sz w:val="20"/>
                <w:szCs w:val="20"/>
              </w:rPr>
            </w:pPr>
            <w:r>
              <w:rPr>
                <w:bCs/>
                <w:sz w:val="20"/>
                <w:szCs w:val="20"/>
              </w:rPr>
              <w:t>Se sustituye el formato del Anexo N° 17-B “Hoja de Control de Primas al Fondo de Seguro de Depósito”</w:t>
            </w:r>
          </w:p>
        </w:tc>
      </w:tr>
      <w:tr w:rsidR="008C20EB" w14:paraId="40FE166C" w14:textId="77777777">
        <w:trPr>
          <w:trHeight w:val="3844"/>
        </w:trPr>
        <w:tc>
          <w:tcPr>
            <w:tcW w:w="1574" w:type="dxa"/>
          </w:tcPr>
          <w:p w14:paraId="40FE1661" w14:textId="77777777" w:rsidR="008C20EB" w:rsidRDefault="008D25BE">
            <w:pPr>
              <w:pStyle w:val="TableParagraph"/>
              <w:ind w:left="71" w:right="42"/>
              <w:jc w:val="both"/>
              <w:rPr>
                <w:b/>
                <w:sz w:val="20"/>
                <w:szCs w:val="20"/>
              </w:rPr>
            </w:pPr>
            <w:r>
              <w:rPr>
                <w:b/>
                <w:sz w:val="20"/>
                <w:szCs w:val="20"/>
              </w:rPr>
              <w:t>Resolución SBS N° 2154-2020</w:t>
            </w:r>
          </w:p>
        </w:tc>
        <w:tc>
          <w:tcPr>
            <w:tcW w:w="1560" w:type="dxa"/>
          </w:tcPr>
          <w:p w14:paraId="40FE1662"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04.09.2020</w:t>
            </w:r>
            <w:r>
              <w:rPr>
                <w:b/>
                <w:sz w:val="20"/>
                <w:szCs w:val="20"/>
              </w:rPr>
              <w:tab/>
              <w:t>/</w:t>
            </w:r>
          </w:p>
          <w:p w14:paraId="40FE1663" w14:textId="77777777" w:rsidR="008C20EB" w:rsidRDefault="008D25BE">
            <w:pPr>
              <w:pStyle w:val="TableParagraph"/>
              <w:tabs>
                <w:tab w:val="left" w:pos="1606"/>
              </w:tabs>
              <w:spacing w:line="243" w:lineRule="exact"/>
              <w:jc w:val="both"/>
              <w:rPr>
                <w:b/>
                <w:sz w:val="20"/>
                <w:szCs w:val="20"/>
              </w:rPr>
            </w:pPr>
            <w:r>
              <w:rPr>
                <w:b/>
                <w:sz w:val="20"/>
                <w:szCs w:val="20"/>
              </w:rPr>
              <w:t>Pub. 07.09.2020</w:t>
            </w:r>
          </w:p>
        </w:tc>
        <w:tc>
          <w:tcPr>
            <w:tcW w:w="3935" w:type="dxa"/>
          </w:tcPr>
          <w:p w14:paraId="40FE1664" w14:textId="77777777" w:rsidR="008C20EB" w:rsidRDefault="008D25BE">
            <w:pPr>
              <w:pStyle w:val="TableParagraph"/>
              <w:ind w:left="67" w:right="61"/>
              <w:jc w:val="both"/>
              <w:rPr>
                <w:sz w:val="20"/>
                <w:szCs w:val="20"/>
              </w:rPr>
            </w:pPr>
            <w:r>
              <w:rPr>
                <w:sz w:val="20"/>
                <w:szCs w:val="20"/>
              </w:rPr>
              <w:t>Se crea las subcuentas de orden 81.09.42 y 81.09.43 para el control de los créditos otorgados con recursos de los programas FAE – TURISMO Y FAE-AGRO. Asimismo, se incorporan cuentas a mayor nivel en la cuenta 8404 de garantías recibidas por créditos, para</w:t>
            </w:r>
            <w:r>
              <w:rPr>
                <w:color w:val="000000"/>
                <w:sz w:val="20"/>
                <w:szCs w:val="20"/>
                <w:lang w:val="es-PE"/>
              </w:rPr>
              <w:t xml:space="preserve"> el registro de las garantías coberturadas por dichos programas. Adicionalmente se modifica el Capítulo V referido a la información complementaria (Anexos y reportes), modificándose las notas del Anexo 5 y Reporte 2-A-1, y se incorpora las cuentas a mayor nivel en el Catálogo del Anexo N° 6 –RCD.</w:t>
            </w:r>
          </w:p>
          <w:p w14:paraId="40FE1665" w14:textId="77777777" w:rsidR="008C20EB" w:rsidRDefault="008C20EB">
            <w:pPr>
              <w:pStyle w:val="TableParagraph"/>
              <w:ind w:left="67" w:right="61"/>
              <w:jc w:val="both"/>
              <w:rPr>
                <w:sz w:val="20"/>
                <w:szCs w:val="20"/>
              </w:rPr>
            </w:pPr>
          </w:p>
          <w:p w14:paraId="40FE1666" w14:textId="77777777" w:rsidR="008C20EB" w:rsidRDefault="008C20EB">
            <w:pPr>
              <w:pStyle w:val="TableParagraph"/>
              <w:ind w:left="67" w:right="61"/>
              <w:jc w:val="both"/>
              <w:rPr>
                <w:sz w:val="20"/>
                <w:szCs w:val="20"/>
              </w:rPr>
            </w:pPr>
          </w:p>
          <w:p w14:paraId="40FE1667" w14:textId="77777777" w:rsidR="008C20EB" w:rsidRDefault="008C20EB">
            <w:pPr>
              <w:pStyle w:val="TableParagraph"/>
              <w:ind w:left="67" w:right="61"/>
              <w:jc w:val="both"/>
              <w:rPr>
                <w:sz w:val="20"/>
                <w:szCs w:val="20"/>
              </w:rPr>
            </w:pPr>
          </w:p>
        </w:tc>
        <w:tc>
          <w:tcPr>
            <w:tcW w:w="8162" w:type="dxa"/>
          </w:tcPr>
          <w:p w14:paraId="40FE1668" w14:textId="77777777" w:rsidR="008C20EB" w:rsidRDefault="008D25BE">
            <w:pPr>
              <w:pStyle w:val="TableParagraph"/>
              <w:ind w:left="68" w:right="61"/>
              <w:jc w:val="both"/>
              <w:rPr>
                <w:color w:val="000000"/>
                <w:sz w:val="20"/>
                <w:szCs w:val="20"/>
                <w:lang w:val="es-PE"/>
              </w:rPr>
            </w:pPr>
            <w:r>
              <w:rPr>
                <w:color w:val="000000"/>
                <w:sz w:val="20"/>
                <w:szCs w:val="20"/>
                <w:lang w:val="es-PE"/>
              </w:rPr>
              <w:t xml:space="preserve">En los Capítulo III y IV se incorporan las </w:t>
            </w:r>
            <w:r>
              <w:rPr>
                <w:sz w:val="20"/>
                <w:szCs w:val="20"/>
              </w:rPr>
              <w:t>subcuentas de orden 8109.42 y 81.09.43 para el control de los créditos otorgado bajo los financiamientos FAE-TURISMO y FAE-AGRO. Asimismo, se incorporan cuentas a mayor nivel en la cuenta 8404 de garantías recibidas por créditos, para</w:t>
            </w:r>
            <w:r>
              <w:rPr>
                <w:color w:val="000000"/>
                <w:sz w:val="20"/>
                <w:szCs w:val="20"/>
                <w:lang w:val="es-PE"/>
              </w:rPr>
              <w:t xml:space="preserve"> el registro de las garantías coberturadas por dichos programas.</w:t>
            </w:r>
          </w:p>
          <w:p w14:paraId="40FE1669" w14:textId="77777777" w:rsidR="008C20EB" w:rsidRDefault="008D25BE">
            <w:pPr>
              <w:pStyle w:val="TableParagraph"/>
              <w:tabs>
                <w:tab w:val="left" w:pos="778"/>
                <w:tab w:val="left" w:pos="779"/>
              </w:tabs>
              <w:spacing w:line="259" w:lineRule="exact"/>
              <w:ind w:left="68"/>
              <w:jc w:val="both"/>
              <w:rPr>
                <w:sz w:val="20"/>
                <w:szCs w:val="20"/>
              </w:rPr>
            </w:pPr>
            <w:r>
              <w:rPr>
                <w:sz w:val="20"/>
                <w:szCs w:val="20"/>
              </w:rPr>
              <w:t xml:space="preserve">. </w:t>
            </w:r>
          </w:p>
          <w:p w14:paraId="40FE166A" w14:textId="77777777" w:rsidR="008C20EB" w:rsidRDefault="008D25BE">
            <w:pPr>
              <w:pStyle w:val="TableParagraph"/>
              <w:ind w:left="68" w:right="61"/>
              <w:jc w:val="both"/>
              <w:rPr>
                <w:sz w:val="20"/>
                <w:szCs w:val="20"/>
              </w:rPr>
            </w:pPr>
            <w:r>
              <w:rPr>
                <w:color w:val="000000"/>
                <w:sz w:val="20"/>
                <w:szCs w:val="20"/>
                <w:lang w:val="es-PE"/>
              </w:rPr>
              <w:t>En el Capítulo V referido a la información complementaria, se modifican las notas del Anexo 5 y Reporte 2-A-1, y se incorpora las cuentas a mayor nivel en el Catálogo del Anexo N° 6 –RCD.</w:t>
            </w:r>
          </w:p>
          <w:p w14:paraId="40FE166B" w14:textId="77777777" w:rsidR="008C20EB" w:rsidRDefault="008D25BE">
            <w:pPr>
              <w:pStyle w:val="TableParagraph"/>
              <w:ind w:left="68" w:right="61"/>
              <w:jc w:val="both"/>
              <w:rPr>
                <w:color w:val="000000"/>
                <w:sz w:val="20"/>
                <w:szCs w:val="20"/>
                <w:lang w:val="es-PE"/>
              </w:rPr>
            </w:pPr>
            <w:r>
              <w:rPr>
                <w:sz w:val="20"/>
                <w:szCs w:val="20"/>
              </w:rPr>
              <w:t xml:space="preserve">La vigencia es a partir de la información de setiembre 2020. </w:t>
            </w:r>
          </w:p>
        </w:tc>
      </w:tr>
      <w:tr w:rsidR="008C20EB" w14:paraId="40FE167B" w14:textId="77777777">
        <w:trPr>
          <w:trHeight w:val="2775"/>
        </w:trPr>
        <w:tc>
          <w:tcPr>
            <w:tcW w:w="1574" w:type="dxa"/>
          </w:tcPr>
          <w:p w14:paraId="40FE166D" w14:textId="77777777" w:rsidR="008C20EB" w:rsidRDefault="008D25BE">
            <w:pPr>
              <w:pStyle w:val="TableParagraph"/>
              <w:ind w:left="71" w:right="42"/>
              <w:jc w:val="both"/>
              <w:rPr>
                <w:b/>
                <w:sz w:val="20"/>
                <w:szCs w:val="20"/>
              </w:rPr>
            </w:pPr>
            <w:r>
              <w:rPr>
                <w:b/>
                <w:sz w:val="20"/>
                <w:szCs w:val="20"/>
              </w:rPr>
              <w:t>Oficio Múltiple N° 19067-2020</w:t>
            </w:r>
          </w:p>
        </w:tc>
        <w:tc>
          <w:tcPr>
            <w:tcW w:w="1560" w:type="dxa"/>
          </w:tcPr>
          <w:p w14:paraId="40FE166E" w14:textId="77777777" w:rsidR="008C20EB" w:rsidRDefault="008D25BE">
            <w:pPr>
              <w:pStyle w:val="TableParagraph"/>
              <w:tabs>
                <w:tab w:val="left" w:pos="1606"/>
              </w:tabs>
              <w:spacing w:line="243" w:lineRule="exact"/>
              <w:jc w:val="both"/>
              <w:rPr>
                <w:b/>
                <w:sz w:val="20"/>
                <w:szCs w:val="20"/>
              </w:rPr>
            </w:pPr>
            <w:r>
              <w:rPr>
                <w:b/>
                <w:sz w:val="20"/>
                <w:szCs w:val="20"/>
              </w:rPr>
              <w:t>Pr. 07.08.2020</w:t>
            </w:r>
          </w:p>
        </w:tc>
        <w:tc>
          <w:tcPr>
            <w:tcW w:w="3935" w:type="dxa"/>
          </w:tcPr>
          <w:p w14:paraId="40FE166F"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incorporan y se habilitan nuevos códigos, correspondientes a los documentos válidos para la celebración de actos jurídicos de clientes con su representada, en el campo A-15 “Tipo de documento de identidad” del Reporte Crediticio de Deudores (RCD). </w:t>
            </w:r>
            <w:r>
              <w:rPr>
                <w:sz w:val="20"/>
                <w:szCs w:val="20"/>
              </w:rPr>
              <w:t>Dicha incorporación es vigente a partir de la     información     correspondiente   de julio 2020.</w:t>
            </w:r>
          </w:p>
          <w:p w14:paraId="40FE1670" w14:textId="77777777" w:rsidR="008C20EB" w:rsidRDefault="008D25BE">
            <w:pPr>
              <w:pStyle w:val="TableParagraph"/>
              <w:ind w:left="67" w:right="61"/>
              <w:jc w:val="both"/>
              <w:rPr>
                <w:sz w:val="20"/>
                <w:szCs w:val="20"/>
              </w:rPr>
            </w:pPr>
            <w:r>
              <w:rPr>
                <w:sz w:val="20"/>
                <w:szCs w:val="20"/>
              </w:rPr>
              <w:t xml:space="preserve"> </w:t>
            </w:r>
          </w:p>
        </w:tc>
        <w:tc>
          <w:tcPr>
            <w:tcW w:w="8162" w:type="dxa"/>
          </w:tcPr>
          <w:p w14:paraId="40FE1671" w14:textId="77777777" w:rsidR="008C20EB" w:rsidRDefault="008D25BE">
            <w:pPr>
              <w:pStyle w:val="TableParagraph"/>
              <w:spacing w:after="240"/>
              <w:ind w:left="68" w:right="62"/>
              <w:jc w:val="both"/>
              <w:rPr>
                <w:color w:val="000000"/>
                <w:sz w:val="20"/>
                <w:szCs w:val="20"/>
                <w:lang w:val="es-PE"/>
              </w:rPr>
            </w:pPr>
            <w:r>
              <w:rPr>
                <w:color w:val="000000"/>
                <w:sz w:val="20"/>
                <w:szCs w:val="20"/>
                <w:lang w:val="es-PE"/>
              </w:rPr>
              <w:t>Se incorporan nuevos códigos de tipo de documento de identidad habilitados en el campo A-15 “Tipo de documento de identidad” del Reporte Crediticio de Deudores (RCD):</w:t>
            </w:r>
          </w:p>
          <w:p w14:paraId="40FE1672"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A</w:t>
            </w:r>
          </w:p>
          <w:p w14:paraId="40FE1673" w14:textId="77777777" w:rsidR="008C20EB" w:rsidRDefault="008D25BE">
            <w:pPr>
              <w:pStyle w:val="TableParagraph"/>
              <w:ind w:left="68" w:right="62"/>
              <w:jc w:val="both"/>
              <w:rPr>
                <w:b/>
                <w:bCs/>
                <w:sz w:val="20"/>
                <w:szCs w:val="20"/>
              </w:rPr>
            </w:pPr>
            <w:r>
              <w:rPr>
                <w:b/>
                <w:bCs/>
                <w:sz w:val="20"/>
                <w:szCs w:val="20"/>
              </w:rPr>
              <w:t xml:space="preserve">Descripción: </w:t>
            </w:r>
            <w:r>
              <w:rPr>
                <w:color w:val="000000"/>
                <w:sz w:val="20"/>
                <w:szCs w:val="20"/>
                <w:lang w:val="es-PE"/>
              </w:rPr>
              <w:t>Cédula de Identidad o documentos análogos.</w:t>
            </w:r>
          </w:p>
          <w:p w14:paraId="40FE1674" w14:textId="77777777" w:rsidR="008C20EB" w:rsidRDefault="008C20EB">
            <w:pPr>
              <w:pStyle w:val="TableParagraph"/>
              <w:ind w:left="68" w:right="62"/>
              <w:jc w:val="both"/>
              <w:rPr>
                <w:sz w:val="20"/>
                <w:szCs w:val="20"/>
              </w:rPr>
            </w:pPr>
          </w:p>
          <w:p w14:paraId="40FE1675"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B</w:t>
            </w:r>
          </w:p>
          <w:p w14:paraId="40FE1676" w14:textId="77777777" w:rsidR="008C20EB" w:rsidRDefault="008D25BE">
            <w:pPr>
              <w:pStyle w:val="TableParagraph"/>
              <w:ind w:left="68" w:right="62"/>
              <w:jc w:val="both"/>
              <w:rPr>
                <w:b/>
                <w:bCs/>
                <w:sz w:val="20"/>
                <w:szCs w:val="20"/>
              </w:rPr>
            </w:pPr>
            <w:r>
              <w:rPr>
                <w:b/>
                <w:bCs/>
                <w:sz w:val="20"/>
                <w:szCs w:val="20"/>
              </w:rPr>
              <w:t xml:space="preserve">Descripción: </w:t>
            </w:r>
            <w:r>
              <w:rPr>
                <w:color w:val="000000"/>
                <w:sz w:val="20"/>
                <w:szCs w:val="20"/>
                <w:lang w:val="es-PE"/>
              </w:rPr>
              <w:t>Carnet del refugiado.</w:t>
            </w:r>
          </w:p>
          <w:p w14:paraId="40FE1677" w14:textId="77777777" w:rsidR="008C20EB" w:rsidRDefault="008C20EB">
            <w:pPr>
              <w:pStyle w:val="TableParagraph"/>
              <w:ind w:left="68" w:right="62"/>
              <w:jc w:val="both"/>
              <w:rPr>
                <w:sz w:val="20"/>
                <w:szCs w:val="20"/>
              </w:rPr>
            </w:pPr>
          </w:p>
          <w:p w14:paraId="40FE1678" w14:textId="77777777" w:rsidR="008C20EB" w:rsidRDefault="008D25BE">
            <w:pPr>
              <w:pStyle w:val="TableParagraph"/>
              <w:ind w:left="68" w:right="62"/>
              <w:jc w:val="both"/>
              <w:rPr>
                <w:b/>
                <w:bCs/>
                <w:sz w:val="20"/>
                <w:szCs w:val="20"/>
              </w:rPr>
            </w:pPr>
            <w:r>
              <w:rPr>
                <w:b/>
                <w:bCs/>
                <w:sz w:val="20"/>
                <w:szCs w:val="20"/>
              </w:rPr>
              <w:t xml:space="preserve">Código: </w:t>
            </w:r>
            <w:r>
              <w:rPr>
                <w:sz w:val="20"/>
                <w:szCs w:val="20"/>
              </w:rPr>
              <w:t>C</w:t>
            </w:r>
          </w:p>
          <w:p w14:paraId="40FE1679" w14:textId="77777777" w:rsidR="008C20EB" w:rsidRDefault="008D25BE">
            <w:pPr>
              <w:pStyle w:val="TableParagraph"/>
              <w:ind w:left="68" w:right="62"/>
              <w:jc w:val="both"/>
              <w:rPr>
                <w:b/>
                <w:bCs/>
                <w:sz w:val="20"/>
                <w:szCs w:val="20"/>
              </w:rPr>
            </w:pPr>
            <w:r>
              <w:rPr>
                <w:b/>
                <w:bCs/>
                <w:sz w:val="20"/>
                <w:szCs w:val="20"/>
              </w:rPr>
              <w:t xml:space="preserve">Descripción: </w:t>
            </w:r>
            <w:r>
              <w:rPr>
                <w:color w:val="000000"/>
                <w:sz w:val="20"/>
                <w:szCs w:val="20"/>
                <w:lang w:val="es-PE"/>
              </w:rPr>
              <w:t>Documento expedido por la CEPR del Ministerio de Relaciones Exteriores que acredita que la solicitud de refugiado se encuentra en trámite.</w:t>
            </w:r>
          </w:p>
          <w:p w14:paraId="40FE167A" w14:textId="77777777" w:rsidR="008C20EB" w:rsidRDefault="008C20EB">
            <w:pPr>
              <w:pStyle w:val="TableParagraph"/>
              <w:ind w:right="61"/>
              <w:jc w:val="both"/>
              <w:rPr>
                <w:color w:val="000000"/>
                <w:sz w:val="20"/>
                <w:szCs w:val="20"/>
                <w:lang w:val="es-PE"/>
              </w:rPr>
            </w:pPr>
          </w:p>
        </w:tc>
      </w:tr>
      <w:tr w:rsidR="008C20EB" w14:paraId="40FE1682" w14:textId="77777777">
        <w:trPr>
          <w:trHeight w:val="2775"/>
        </w:trPr>
        <w:tc>
          <w:tcPr>
            <w:tcW w:w="1574" w:type="dxa"/>
          </w:tcPr>
          <w:p w14:paraId="40FE167C" w14:textId="77777777" w:rsidR="008C20EB" w:rsidRDefault="008D25BE">
            <w:pPr>
              <w:pStyle w:val="TableParagraph"/>
              <w:ind w:left="71" w:right="42"/>
              <w:jc w:val="both"/>
              <w:rPr>
                <w:b/>
                <w:sz w:val="20"/>
                <w:szCs w:val="20"/>
              </w:rPr>
            </w:pPr>
            <w:r>
              <w:rPr>
                <w:b/>
                <w:sz w:val="20"/>
                <w:szCs w:val="20"/>
              </w:rPr>
              <w:lastRenderedPageBreak/>
              <w:t>Resolución SBS N° 1882-2020</w:t>
            </w:r>
          </w:p>
        </w:tc>
        <w:tc>
          <w:tcPr>
            <w:tcW w:w="1560" w:type="dxa"/>
          </w:tcPr>
          <w:p w14:paraId="40FE167D"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31.07.2020</w:t>
            </w:r>
            <w:r>
              <w:rPr>
                <w:b/>
                <w:sz w:val="20"/>
                <w:szCs w:val="20"/>
              </w:rPr>
              <w:tab/>
              <w:t>/</w:t>
            </w:r>
          </w:p>
          <w:p w14:paraId="40FE167E" w14:textId="77777777" w:rsidR="008C20EB" w:rsidRDefault="008D25BE">
            <w:pPr>
              <w:pStyle w:val="TableParagraph"/>
              <w:tabs>
                <w:tab w:val="left" w:pos="1606"/>
              </w:tabs>
              <w:spacing w:line="243" w:lineRule="exact"/>
              <w:jc w:val="both"/>
              <w:rPr>
                <w:b/>
                <w:sz w:val="20"/>
                <w:szCs w:val="20"/>
              </w:rPr>
            </w:pPr>
            <w:r>
              <w:rPr>
                <w:b/>
                <w:sz w:val="20"/>
                <w:szCs w:val="20"/>
              </w:rPr>
              <w:t>Pub. 03.08.2020)</w:t>
            </w:r>
          </w:p>
        </w:tc>
        <w:tc>
          <w:tcPr>
            <w:tcW w:w="3935" w:type="dxa"/>
          </w:tcPr>
          <w:p w14:paraId="40FE167F" w14:textId="77777777" w:rsidR="008C20EB" w:rsidRDefault="008D25BE">
            <w:pPr>
              <w:pStyle w:val="TableParagraph"/>
              <w:ind w:left="67" w:right="61"/>
              <w:jc w:val="both"/>
              <w:rPr>
                <w:sz w:val="20"/>
                <w:szCs w:val="20"/>
              </w:rPr>
            </w:pPr>
            <w:r>
              <w:rPr>
                <w:sz w:val="20"/>
                <w:szCs w:val="20"/>
              </w:rPr>
              <w:t>Se realizan modificaciones al Capítulo V referido a la información complementaria (Anexos y reportes) del Manual de Contabilidad</w:t>
            </w:r>
          </w:p>
        </w:tc>
        <w:tc>
          <w:tcPr>
            <w:tcW w:w="8162" w:type="dxa"/>
          </w:tcPr>
          <w:p w14:paraId="40FE1680" w14:textId="77777777" w:rsidR="008C20EB" w:rsidRDefault="008D25BE">
            <w:pPr>
              <w:pStyle w:val="TableParagraph"/>
              <w:ind w:left="68" w:right="62"/>
              <w:jc w:val="both"/>
              <w:rPr>
                <w:sz w:val="20"/>
                <w:szCs w:val="20"/>
              </w:rPr>
            </w:pPr>
            <w:r>
              <w:rPr>
                <w:color w:val="000000"/>
                <w:sz w:val="20"/>
                <w:szCs w:val="20"/>
                <w:lang w:val="es-PE"/>
              </w:rPr>
              <w:t xml:space="preserve">En el capítulo V se modifica el Reporte 13 </w:t>
            </w:r>
            <w:r>
              <w:rPr>
                <w:sz w:val="20"/>
                <w:szCs w:val="20"/>
              </w:rPr>
              <w:t>“Control de límites globales e individuales aplicables a las empresas del sistema financiero” en la parte de posición global de moneda extranjera.</w:t>
            </w:r>
          </w:p>
          <w:p w14:paraId="40FE1681" w14:textId="77777777" w:rsidR="008C20EB" w:rsidRDefault="008D25BE">
            <w:pPr>
              <w:pStyle w:val="TableParagraph"/>
              <w:ind w:left="68" w:right="62"/>
              <w:jc w:val="both"/>
              <w:rPr>
                <w:color w:val="000000"/>
                <w:sz w:val="20"/>
                <w:szCs w:val="20"/>
                <w:lang w:val="es-PE"/>
              </w:rPr>
            </w:pPr>
            <w:r>
              <w:rPr>
                <w:sz w:val="20"/>
                <w:szCs w:val="20"/>
              </w:rPr>
              <w:t>La vigencia es a partir de la información de agosto 2020.</w:t>
            </w:r>
          </w:p>
        </w:tc>
      </w:tr>
      <w:tr w:rsidR="008C20EB" w14:paraId="40FE168D" w14:textId="77777777">
        <w:trPr>
          <w:trHeight w:val="2775"/>
        </w:trPr>
        <w:tc>
          <w:tcPr>
            <w:tcW w:w="1574" w:type="dxa"/>
          </w:tcPr>
          <w:p w14:paraId="40FE1683" w14:textId="77777777" w:rsidR="008C20EB" w:rsidRDefault="008D25BE">
            <w:pPr>
              <w:pStyle w:val="TableParagraph"/>
              <w:ind w:left="71" w:right="42"/>
              <w:jc w:val="both"/>
              <w:rPr>
                <w:b/>
                <w:sz w:val="20"/>
                <w:szCs w:val="20"/>
              </w:rPr>
            </w:pPr>
            <w:r>
              <w:rPr>
                <w:b/>
                <w:sz w:val="20"/>
                <w:szCs w:val="20"/>
              </w:rPr>
              <w:t>Oficio Múltiple N° 17769-2020</w:t>
            </w:r>
          </w:p>
        </w:tc>
        <w:tc>
          <w:tcPr>
            <w:tcW w:w="1560" w:type="dxa"/>
          </w:tcPr>
          <w:p w14:paraId="40FE1684" w14:textId="77777777" w:rsidR="008C20EB" w:rsidRDefault="008D25BE">
            <w:pPr>
              <w:pStyle w:val="TableParagraph"/>
              <w:tabs>
                <w:tab w:val="left" w:pos="1606"/>
              </w:tabs>
              <w:spacing w:line="243" w:lineRule="exact"/>
              <w:jc w:val="both"/>
              <w:rPr>
                <w:b/>
                <w:sz w:val="20"/>
                <w:szCs w:val="20"/>
              </w:rPr>
            </w:pPr>
            <w:r>
              <w:rPr>
                <w:b/>
                <w:sz w:val="20"/>
                <w:szCs w:val="20"/>
              </w:rPr>
              <w:t>Pr. 24.07.2020</w:t>
            </w:r>
          </w:p>
        </w:tc>
        <w:tc>
          <w:tcPr>
            <w:tcW w:w="3935" w:type="dxa"/>
          </w:tcPr>
          <w:p w14:paraId="40FE1685" w14:textId="77777777" w:rsidR="008C20EB" w:rsidRDefault="008D25BE">
            <w:pPr>
              <w:pStyle w:val="TableParagraph"/>
              <w:ind w:left="67" w:right="61"/>
              <w:jc w:val="both"/>
              <w:rPr>
                <w:color w:val="000000"/>
                <w:sz w:val="20"/>
                <w:szCs w:val="20"/>
                <w:lang w:val="es-PE"/>
              </w:rPr>
            </w:pPr>
            <w:r>
              <w:rPr>
                <w:sz w:val="20"/>
                <w:szCs w:val="20"/>
              </w:rPr>
              <w:t xml:space="preserve">Se crea la subcuenta 8109.41 </w:t>
            </w:r>
            <w:r>
              <w:rPr>
                <w:rFonts w:cs="Arial"/>
                <w:snapToGrid w:val="0"/>
                <w:sz w:val="20"/>
                <w:szCs w:val="20"/>
              </w:rPr>
              <w:t xml:space="preserve">“Créditos Circular 0021-2020-BCRP” para el registro de </w:t>
            </w:r>
            <w:r>
              <w:rPr>
                <w:sz w:val="20"/>
                <w:szCs w:val="20"/>
              </w:rPr>
              <w:t xml:space="preserve">los créditos que se reprogramen en el marco de lo establecido en la Circular N° 0021-2020-BCRP. </w:t>
            </w:r>
          </w:p>
          <w:p w14:paraId="40FE1686" w14:textId="77777777" w:rsidR="008C20EB" w:rsidRDefault="008D25BE">
            <w:pPr>
              <w:pStyle w:val="TableParagraph"/>
              <w:ind w:left="67" w:right="61"/>
              <w:jc w:val="both"/>
              <w:rPr>
                <w:sz w:val="20"/>
                <w:szCs w:val="20"/>
              </w:rPr>
            </w:pPr>
            <w:r>
              <w:rPr>
                <w:color w:val="000000"/>
                <w:sz w:val="20"/>
                <w:szCs w:val="20"/>
                <w:lang w:val="es-PE"/>
              </w:rPr>
              <w:t>Adicionalmente se incorpora las cuentas a mayor nivel en el Catálogo del Anexo N° 6 -RCD y se modifica las instrucciones en el RCD.</w:t>
            </w:r>
          </w:p>
          <w:p w14:paraId="40FE1687" w14:textId="77777777" w:rsidR="008C20EB" w:rsidRDefault="008C20EB">
            <w:pPr>
              <w:pStyle w:val="TableParagraph"/>
              <w:ind w:left="67" w:right="61"/>
              <w:jc w:val="both"/>
              <w:rPr>
                <w:sz w:val="20"/>
                <w:szCs w:val="20"/>
              </w:rPr>
            </w:pPr>
          </w:p>
        </w:tc>
        <w:tc>
          <w:tcPr>
            <w:tcW w:w="8162" w:type="dxa"/>
          </w:tcPr>
          <w:p w14:paraId="40FE1688" w14:textId="77777777" w:rsidR="008C20EB" w:rsidRDefault="008D25BE">
            <w:pPr>
              <w:pStyle w:val="TableParagraph"/>
              <w:ind w:left="68" w:right="61"/>
              <w:jc w:val="both"/>
              <w:rPr>
                <w:color w:val="000000"/>
                <w:sz w:val="20"/>
                <w:szCs w:val="20"/>
                <w:lang w:val="es-PE"/>
              </w:rPr>
            </w:pPr>
            <w:r>
              <w:rPr>
                <w:color w:val="000000"/>
                <w:sz w:val="20"/>
                <w:szCs w:val="20"/>
                <w:lang w:val="es-PE"/>
              </w:rPr>
              <w:t>En el capítulo III y IV se incorpora la subcuenta 8109.41</w:t>
            </w:r>
            <w:r>
              <w:rPr>
                <w:sz w:val="20"/>
                <w:szCs w:val="20"/>
              </w:rPr>
              <w:t xml:space="preserve"> </w:t>
            </w:r>
            <w:r>
              <w:rPr>
                <w:rFonts w:cs="Arial"/>
                <w:snapToGrid w:val="0"/>
                <w:sz w:val="20"/>
                <w:szCs w:val="20"/>
              </w:rPr>
              <w:t>“Créditos Circular 0021-2020-BCRP”</w:t>
            </w:r>
            <w:r>
              <w:rPr>
                <w:color w:val="000000"/>
                <w:sz w:val="20"/>
                <w:szCs w:val="20"/>
                <w:lang w:val="es-PE"/>
              </w:rPr>
              <w:t>. Asimismo, se modifica la descripción de la subcuenta 8109.37 “</w:t>
            </w:r>
            <w:r>
              <w:rPr>
                <w:sz w:val="20"/>
                <w:szCs w:val="20"/>
              </w:rPr>
              <w:t>Créditos reprogramados – Estado de emergencia sanitaria”.</w:t>
            </w:r>
          </w:p>
          <w:p w14:paraId="40FE1689" w14:textId="77777777" w:rsidR="008C20EB" w:rsidRDefault="008D25BE">
            <w:pPr>
              <w:pStyle w:val="TableParagraph"/>
              <w:tabs>
                <w:tab w:val="left" w:pos="778"/>
                <w:tab w:val="left" w:pos="779"/>
              </w:tabs>
              <w:spacing w:line="259" w:lineRule="exact"/>
              <w:ind w:left="68"/>
              <w:jc w:val="both"/>
              <w:rPr>
                <w:sz w:val="20"/>
                <w:szCs w:val="20"/>
              </w:rPr>
            </w:pPr>
            <w:r>
              <w:rPr>
                <w:sz w:val="20"/>
                <w:szCs w:val="20"/>
              </w:rPr>
              <w:t xml:space="preserve">. </w:t>
            </w:r>
          </w:p>
          <w:p w14:paraId="40FE168A" w14:textId="77777777" w:rsidR="008C20EB" w:rsidRDefault="008D25BE">
            <w:pPr>
              <w:pStyle w:val="TableParagraph"/>
              <w:ind w:left="68" w:right="61"/>
              <w:jc w:val="both"/>
              <w:rPr>
                <w:sz w:val="20"/>
                <w:szCs w:val="20"/>
              </w:rPr>
            </w:pPr>
            <w:r>
              <w:rPr>
                <w:color w:val="000000"/>
                <w:sz w:val="20"/>
                <w:szCs w:val="20"/>
                <w:lang w:val="es-PE"/>
              </w:rPr>
              <w:t>En</w:t>
            </w:r>
            <w:r>
              <w:rPr>
                <w:sz w:val="20"/>
                <w:szCs w:val="20"/>
              </w:rPr>
              <w:t xml:space="preserve"> el Anexo 6, RCD, se modifica las instrucciones en el RCD y se incorporan las subcuentas analíticas de la subcuenta 8108.41 en el Catálogo de Cuentas del RCD.</w:t>
            </w:r>
          </w:p>
          <w:p w14:paraId="40FE168B" w14:textId="77777777" w:rsidR="008C20EB" w:rsidRDefault="008C20EB">
            <w:pPr>
              <w:pStyle w:val="TableParagraph"/>
              <w:tabs>
                <w:tab w:val="left" w:pos="778"/>
                <w:tab w:val="left" w:pos="779"/>
              </w:tabs>
              <w:spacing w:line="259" w:lineRule="exact"/>
              <w:ind w:left="68"/>
              <w:jc w:val="both"/>
              <w:rPr>
                <w:sz w:val="20"/>
                <w:szCs w:val="20"/>
              </w:rPr>
            </w:pPr>
          </w:p>
          <w:p w14:paraId="40FE168C" w14:textId="77777777" w:rsidR="008C20EB" w:rsidRDefault="008D25BE">
            <w:pPr>
              <w:pStyle w:val="TableParagraph"/>
              <w:ind w:left="68" w:right="61"/>
              <w:jc w:val="both"/>
              <w:rPr>
                <w:color w:val="000000"/>
                <w:sz w:val="20"/>
                <w:szCs w:val="20"/>
                <w:lang w:val="es-PE"/>
              </w:rPr>
            </w:pPr>
            <w:r>
              <w:rPr>
                <w:sz w:val="20"/>
                <w:szCs w:val="20"/>
              </w:rPr>
              <w:t xml:space="preserve">La vigencia es a partir de la información de julio 2020. </w:t>
            </w:r>
          </w:p>
        </w:tc>
      </w:tr>
      <w:tr w:rsidR="008C20EB" w14:paraId="40FE1697" w14:textId="77777777">
        <w:trPr>
          <w:trHeight w:val="2775"/>
        </w:trPr>
        <w:tc>
          <w:tcPr>
            <w:tcW w:w="1574" w:type="dxa"/>
          </w:tcPr>
          <w:p w14:paraId="40FE168E" w14:textId="77777777" w:rsidR="008C20EB" w:rsidRDefault="008D25BE">
            <w:pPr>
              <w:pStyle w:val="TableParagraph"/>
              <w:ind w:left="71" w:right="42"/>
              <w:jc w:val="both"/>
              <w:rPr>
                <w:b/>
                <w:sz w:val="20"/>
                <w:szCs w:val="20"/>
              </w:rPr>
            </w:pPr>
            <w:r>
              <w:rPr>
                <w:b/>
                <w:sz w:val="20"/>
                <w:szCs w:val="20"/>
              </w:rPr>
              <w:t>Resolución SBS N° 1546-2020</w:t>
            </w:r>
          </w:p>
        </w:tc>
        <w:tc>
          <w:tcPr>
            <w:tcW w:w="1560" w:type="dxa"/>
          </w:tcPr>
          <w:p w14:paraId="40FE168F"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08.06.2020</w:t>
            </w:r>
            <w:r>
              <w:rPr>
                <w:b/>
                <w:sz w:val="20"/>
                <w:szCs w:val="20"/>
              </w:rPr>
              <w:tab/>
              <w:t>/</w:t>
            </w:r>
          </w:p>
          <w:p w14:paraId="40FE1690" w14:textId="77777777" w:rsidR="008C20EB" w:rsidRDefault="008D25BE">
            <w:pPr>
              <w:pStyle w:val="TableParagraph"/>
              <w:tabs>
                <w:tab w:val="left" w:pos="1606"/>
              </w:tabs>
              <w:spacing w:line="243" w:lineRule="exact"/>
              <w:jc w:val="both"/>
              <w:rPr>
                <w:b/>
                <w:sz w:val="20"/>
                <w:szCs w:val="20"/>
              </w:rPr>
            </w:pPr>
            <w:r>
              <w:rPr>
                <w:b/>
                <w:sz w:val="20"/>
                <w:szCs w:val="20"/>
              </w:rPr>
              <w:t>Pub. 09.06.2020)</w:t>
            </w:r>
          </w:p>
        </w:tc>
        <w:tc>
          <w:tcPr>
            <w:tcW w:w="3935" w:type="dxa"/>
          </w:tcPr>
          <w:p w14:paraId="40FE1691" w14:textId="77777777" w:rsidR="008C20EB" w:rsidRDefault="008D25BE">
            <w:pPr>
              <w:pStyle w:val="TableParagraph"/>
              <w:ind w:left="67" w:right="61"/>
              <w:jc w:val="both"/>
              <w:rPr>
                <w:sz w:val="20"/>
                <w:szCs w:val="20"/>
              </w:rPr>
            </w:pPr>
            <w:r>
              <w:rPr>
                <w:sz w:val="20"/>
                <w:szCs w:val="20"/>
              </w:rPr>
              <w:t>Se realizan modificaciones al Capítulo IV del Manual de Contabilidad y a la información complementaria (Anexos y reportes)</w:t>
            </w:r>
          </w:p>
        </w:tc>
        <w:tc>
          <w:tcPr>
            <w:tcW w:w="8162" w:type="dxa"/>
          </w:tcPr>
          <w:p w14:paraId="40FE1692" w14:textId="77777777" w:rsidR="008C20EB" w:rsidRDefault="008D25BE">
            <w:pPr>
              <w:pStyle w:val="TableParagraph"/>
              <w:ind w:left="68" w:right="61"/>
              <w:jc w:val="both"/>
              <w:rPr>
                <w:color w:val="000000"/>
                <w:sz w:val="20"/>
                <w:szCs w:val="20"/>
                <w:lang w:val="es-PE"/>
              </w:rPr>
            </w:pPr>
            <w:r>
              <w:rPr>
                <w:color w:val="000000"/>
                <w:sz w:val="20"/>
                <w:szCs w:val="20"/>
                <w:lang w:val="es-PE"/>
              </w:rPr>
              <w:t>En el capítulo IV se modifica la descripción de la cuenta 8404 “Garantías recibidas por operaciones de créditos”.</w:t>
            </w:r>
          </w:p>
          <w:p w14:paraId="40FE1693" w14:textId="77777777" w:rsidR="008C20EB" w:rsidRDefault="008C20EB">
            <w:pPr>
              <w:pStyle w:val="TableParagraph"/>
              <w:ind w:left="68" w:right="61"/>
              <w:jc w:val="both"/>
              <w:rPr>
                <w:color w:val="000000"/>
                <w:sz w:val="20"/>
                <w:szCs w:val="20"/>
                <w:lang w:val="es-PE"/>
              </w:rPr>
            </w:pPr>
          </w:p>
          <w:p w14:paraId="40FE1694" w14:textId="77777777" w:rsidR="008C20EB" w:rsidRDefault="008D25BE">
            <w:pPr>
              <w:pStyle w:val="TableParagraph"/>
              <w:ind w:left="68" w:right="61"/>
              <w:jc w:val="both"/>
              <w:rPr>
                <w:color w:val="000000"/>
                <w:sz w:val="20"/>
                <w:szCs w:val="20"/>
                <w:lang w:val="es-PE"/>
              </w:rPr>
            </w:pPr>
            <w:r>
              <w:rPr>
                <w:color w:val="000000"/>
                <w:sz w:val="20"/>
                <w:szCs w:val="20"/>
                <w:lang w:val="es-PE"/>
              </w:rPr>
              <w:t>En la información complementaria del Manual de Contabilidad, se modifica el Anexo 5 y Reporte 2-A 1, así como sus notas metodológicas. Asimismo, se incorpora el Reporte N° 35 “Créditos Reprogramados: Emergencia Nacional Covid-19”.</w:t>
            </w:r>
          </w:p>
          <w:p w14:paraId="40FE1695" w14:textId="77777777" w:rsidR="008C20EB" w:rsidRDefault="008C20EB">
            <w:pPr>
              <w:pStyle w:val="TableParagraph"/>
              <w:ind w:left="68" w:right="61"/>
              <w:jc w:val="both"/>
              <w:rPr>
                <w:color w:val="000000"/>
                <w:sz w:val="20"/>
                <w:szCs w:val="20"/>
                <w:lang w:val="es-PE"/>
              </w:rPr>
            </w:pPr>
          </w:p>
          <w:p w14:paraId="40FE1696" w14:textId="77777777" w:rsidR="008C20EB" w:rsidRDefault="008D25BE">
            <w:pPr>
              <w:pStyle w:val="TableParagraph"/>
              <w:ind w:left="68" w:right="61"/>
              <w:jc w:val="both"/>
              <w:rPr>
                <w:color w:val="000000"/>
                <w:sz w:val="20"/>
                <w:szCs w:val="20"/>
                <w:lang w:val="es-PE"/>
              </w:rPr>
            </w:pPr>
            <w:r>
              <w:rPr>
                <w:sz w:val="20"/>
                <w:szCs w:val="20"/>
              </w:rPr>
              <w:t>La vigencia es a partir de la información de mayo 2020.</w:t>
            </w:r>
          </w:p>
        </w:tc>
      </w:tr>
      <w:tr w:rsidR="008C20EB" w14:paraId="40FE16A3" w14:textId="77777777">
        <w:trPr>
          <w:trHeight w:val="2775"/>
        </w:trPr>
        <w:tc>
          <w:tcPr>
            <w:tcW w:w="1574" w:type="dxa"/>
          </w:tcPr>
          <w:p w14:paraId="40FE1698" w14:textId="77777777" w:rsidR="008C20EB" w:rsidRDefault="008D25BE">
            <w:pPr>
              <w:pStyle w:val="TableParagraph"/>
              <w:ind w:left="71" w:right="42"/>
              <w:jc w:val="both"/>
              <w:rPr>
                <w:b/>
                <w:sz w:val="20"/>
                <w:szCs w:val="20"/>
              </w:rPr>
            </w:pPr>
            <w:r>
              <w:rPr>
                <w:b/>
                <w:sz w:val="20"/>
                <w:szCs w:val="20"/>
              </w:rPr>
              <w:lastRenderedPageBreak/>
              <w:t>Oficio Múltiple N° 13206-2020</w:t>
            </w:r>
          </w:p>
        </w:tc>
        <w:tc>
          <w:tcPr>
            <w:tcW w:w="1560" w:type="dxa"/>
          </w:tcPr>
          <w:p w14:paraId="40FE1699" w14:textId="77777777" w:rsidR="008C20EB" w:rsidRDefault="008D25BE">
            <w:pPr>
              <w:pStyle w:val="TableParagraph"/>
              <w:tabs>
                <w:tab w:val="left" w:pos="1606"/>
              </w:tabs>
              <w:spacing w:line="243" w:lineRule="exact"/>
              <w:jc w:val="both"/>
              <w:rPr>
                <w:b/>
                <w:sz w:val="20"/>
                <w:szCs w:val="20"/>
              </w:rPr>
            </w:pPr>
            <w:r>
              <w:rPr>
                <w:b/>
                <w:sz w:val="20"/>
                <w:szCs w:val="20"/>
              </w:rPr>
              <w:t>Pr. 19.05.2020</w:t>
            </w:r>
          </w:p>
        </w:tc>
        <w:tc>
          <w:tcPr>
            <w:tcW w:w="3935" w:type="dxa"/>
          </w:tcPr>
          <w:p w14:paraId="40FE169A" w14:textId="77777777" w:rsidR="008C20EB" w:rsidRDefault="008D25BE">
            <w:pPr>
              <w:pStyle w:val="TableParagraph"/>
              <w:ind w:left="67" w:right="61"/>
              <w:jc w:val="both"/>
              <w:rPr>
                <w:color w:val="000000"/>
                <w:sz w:val="20"/>
                <w:szCs w:val="20"/>
                <w:lang w:val="es-PE"/>
              </w:rPr>
            </w:pPr>
            <w:r>
              <w:rPr>
                <w:sz w:val="20"/>
                <w:szCs w:val="20"/>
              </w:rPr>
              <w:t>Se crea las subcuentas de orden 8109.39 y 81.09.40 para el control de los créditos otorgados con recursos del Fondo de Apoyo Empresarial a la MYPE (FAE – MYPE). Asimismo, se incorporan cuentas a mayor nivel en la cuenta 8404 de garantías recibidas por créditos, para</w:t>
            </w:r>
            <w:r>
              <w:rPr>
                <w:color w:val="000000"/>
                <w:sz w:val="20"/>
                <w:szCs w:val="20"/>
                <w:lang w:val="es-PE"/>
              </w:rPr>
              <w:t xml:space="preserve"> el registro de las garantías coberturadas por FAE-MYPE.</w:t>
            </w:r>
          </w:p>
          <w:p w14:paraId="40FE169B" w14:textId="77777777" w:rsidR="008C20EB" w:rsidRDefault="008D25BE">
            <w:pPr>
              <w:pStyle w:val="TableParagraph"/>
              <w:ind w:left="67" w:right="61"/>
              <w:jc w:val="both"/>
              <w:rPr>
                <w:sz w:val="20"/>
                <w:szCs w:val="20"/>
              </w:rPr>
            </w:pPr>
            <w:r>
              <w:rPr>
                <w:color w:val="000000"/>
                <w:sz w:val="20"/>
                <w:szCs w:val="20"/>
                <w:lang w:val="es-PE"/>
              </w:rPr>
              <w:t>Adicionalmente se realizan precisiones en el RCD y se incorpora las cuentas a mayor nivel en el Catálogo del Anexo N° 6 –RCD.</w:t>
            </w:r>
          </w:p>
          <w:p w14:paraId="40FE169C" w14:textId="77777777" w:rsidR="008C20EB" w:rsidRDefault="008C20EB">
            <w:pPr>
              <w:pStyle w:val="TableParagraph"/>
              <w:ind w:left="67" w:right="61"/>
              <w:jc w:val="both"/>
              <w:rPr>
                <w:sz w:val="20"/>
                <w:szCs w:val="20"/>
              </w:rPr>
            </w:pPr>
          </w:p>
          <w:p w14:paraId="40FE169D" w14:textId="77777777" w:rsidR="008C20EB" w:rsidRDefault="008C20EB">
            <w:pPr>
              <w:pStyle w:val="TableParagraph"/>
              <w:ind w:left="67" w:right="61"/>
              <w:jc w:val="both"/>
              <w:rPr>
                <w:sz w:val="20"/>
                <w:szCs w:val="20"/>
              </w:rPr>
            </w:pPr>
          </w:p>
        </w:tc>
        <w:tc>
          <w:tcPr>
            <w:tcW w:w="8162" w:type="dxa"/>
          </w:tcPr>
          <w:p w14:paraId="40FE169E" w14:textId="77777777" w:rsidR="008C20EB" w:rsidRDefault="008D25BE">
            <w:pPr>
              <w:pStyle w:val="TableParagraph"/>
              <w:ind w:left="68" w:right="61"/>
              <w:jc w:val="both"/>
              <w:rPr>
                <w:color w:val="000000"/>
                <w:sz w:val="20"/>
                <w:szCs w:val="20"/>
                <w:lang w:val="es-PE"/>
              </w:rPr>
            </w:pPr>
            <w:r>
              <w:rPr>
                <w:color w:val="000000"/>
                <w:sz w:val="20"/>
                <w:szCs w:val="20"/>
                <w:lang w:val="es-PE"/>
              </w:rPr>
              <w:t xml:space="preserve">En el capítulo III y IV se incorporan las </w:t>
            </w:r>
            <w:r>
              <w:rPr>
                <w:sz w:val="20"/>
                <w:szCs w:val="20"/>
              </w:rPr>
              <w:t>subcuentas de orden 8109.39 y 81.09.40 para el control de los créditos otorgado bajo los financiamientos FAE-MYPE. Asimismo, se incorporan cuentas a mayor nivel en la cuenta 8404 de garantías recibidas por créditos, para</w:t>
            </w:r>
            <w:r>
              <w:rPr>
                <w:color w:val="000000"/>
                <w:sz w:val="20"/>
                <w:szCs w:val="20"/>
                <w:lang w:val="es-PE"/>
              </w:rPr>
              <w:t xml:space="preserve"> el registro de las garantías coberturadas por FAE-MYPE.</w:t>
            </w:r>
          </w:p>
          <w:p w14:paraId="40FE169F" w14:textId="77777777" w:rsidR="008C20EB" w:rsidRDefault="008D25BE">
            <w:pPr>
              <w:pStyle w:val="TableParagraph"/>
              <w:tabs>
                <w:tab w:val="left" w:pos="778"/>
                <w:tab w:val="left" w:pos="779"/>
              </w:tabs>
              <w:spacing w:line="259" w:lineRule="exact"/>
              <w:ind w:left="68"/>
              <w:jc w:val="both"/>
              <w:rPr>
                <w:sz w:val="20"/>
                <w:szCs w:val="20"/>
              </w:rPr>
            </w:pPr>
            <w:r>
              <w:rPr>
                <w:sz w:val="20"/>
                <w:szCs w:val="20"/>
              </w:rPr>
              <w:t xml:space="preserve">. </w:t>
            </w:r>
          </w:p>
          <w:p w14:paraId="40FE16A0" w14:textId="77777777" w:rsidR="008C20EB" w:rsidRDefault="008D25BE">
            <w:pPr>
              <w:pStyle w:val="TableParagraph"/>
              <w:ind w:left="68" w:right="61"/>
              <w:jc w:val="both"/>
              <w:rPr>
                <w:sz w:val="20"/>
                <w:szCs w:val="20"/>
              </w:rPr>
            </w:pPr>
            <w:r>
              <w:rPr>
                <w:color w:val="000000"/>
                <w:sz w:val="20"/>
                <w:szCs w:val="20"/>
                <w:lang w:val="es-PE"/>
              </w:rPr>
              <w:t>En</w:t>
            </w:r>
            <w:r>
              <w:rPr>
                <w:sz w:val="20"/>
                <w:szCs w:val="20"/>
              </w:rPr>
              <w:t xml:space="preserve"> el Anexo 6, RCD, se incorporan las cuentas a mayor nivel de las subcuentas 8109.39 y 9109.40, y se realizan precisiones sobre las garantías otorgadas por el Gobierno.</w:t>
            </w:r>
          </w:p>
          <w:p w14:paraId="40FE16A1" w14:textId="77777777" w:rsidR="008C20EB" w:rsidRDefault="008C20EB">
            <w:pPr>
              <w:pStyle w:val="TableParagraph"/>
              <w:tabs>
                <w:tab w:val="left" w:pos="778"/>
                <w:tab w:val="left" w:pos="779"/>
              </w:tabs>
              <w:spacing w:line="259" w:lineRule="exact"/>
              <w:ind w:left="68"/>
              <w:jc w:val="both"/>
              <w:rPr>
                <w:sz w:val="20"/>
                <w:szCs w:val="20"/>
              </w:rPr>
            </w:pPr>
          </w:p>
          <w:p w14:paraId="40FE16A2" w14:textId="77777777" w:rsidR="008C20EB" w:rsidRDefault="008D25BE">
            <w:pPr>
              <w:pStyle w:val="TableParagraph"/>
              <w:tabs>
                <w:tab w:val="left" w:pos="425"/>
              </w:tabs>
              <w:spacing w:line="259" w:lineRule="exact"/>
              <w:ind w:left="68" w:hanging="353"/>
              <w:jc w:val="both"/>
              <w:rPr>
                <w:color w:val="000000"/>
                <w:sz w:val="20"/>
                <w:szCs w:val="20"/>
                <w:lang w:val="es-PE"/>
              </w:rPr>
            </w:pPr>
            <w:r>
              <w:rPr>
                <w:sz w:val="20"/>
                <w:szCs w:val="20"/>
              </w:rPr>
              <w:t xml:space="preserve">La vigencia es a partir de la información de mayo 2020. </w:t>
            </w:r>
          </w:p>
        </w:tc>
      </w:tr>
      <w:tr w:rsidR="008C20EB" w14:paraId="40FE16A8" w14:textId="77777777">
        <w:trPr>
          <w:trHeight w:val="2775"/>
        </w:trPr>
        <w:tc>
          <w:tcPr>
            <w:tcW w:w="1574" w:type="dxa"/>
          </w:tcPr>
          <w:p w14:paraId="40FE16A4" w14:textId="77777777" w:rsidR="008C20EB" w:rsidRDefault="008D25BE">
            <w:pPr>
              <w:pStyle w:val="TableParagraph"/>
              <w:ind w:left="71" w:right="42"/>
              <w:jc w:val="both"/>
              <w:rPr>
                <w:b/>
                <w:sz w:val="20"/>
                <w:szCs w:val="20"/>
              </w:rPr>
            </w:pPr>
            <w:r>
              <w:rPr>
                <w:b/>
                <w:sz w:val="20"/>
                <w:szCs w:val="20"/>
              </w:rPr>
              <w:t>Oficio Múltiple N° 12752-2020-SBS</w:t>
            </w:r>
          </w:p>
        </w:tc>
        <w:tc>
          <w:tcPr>
            <w:tcW w:w="1560" w:type="dxa"/>
          </w:tcPr>
          <w:p w14:paraId="40FE16A5" w14:textId="77777777" w:rsidR="008C20EB" w:rsidRDefault="008D25BE">
            <w:pPr>
              <w:pStyle w:val="TableParagraph"/>
              <w:tabs>
                <w:tab w:val="left" w:pos="1606"/>
              </w:tabs>
              <w:spacing w:line="243" w:lineRule="exact"/>
              <w:jc w:val="both"/>
              <w:rPr>
                <w:b/>
                <w:sz w:val="20"/>
                <w:szCs w:val="20"/>
              </w:rPr>
            </w:pPr>
            <w:r>
              <w:rPr>
                <w:b/>
                <w:sz w:val="20"/>
                <w:szCs w:val="20"/>
              </w:rPr>
              <w:t>Pr. 07.05.2020</w:t>
            </w:r>
          </w:p>
        </w:tc>
        <w:tc>
          <w:tcPr>
            <w:tcW w:w="3935" w:type="dxa"/>
          </w:tcPr>
          <w:p w14:paraId="40FE16A6" w14:textId="77777777" w:rsidR="008C20EB" w:rsidRDefault="008D25BE">
            <w:pPr>
              <w:pStyle w:val="TableParagraph"/>
              <w:ind w:left="67" w:right="61"/>
              <w:jc w:val="both"/>
              <w:rPr>
                <w:sz w:val="20"/>
                <w:szCs w:val="20"/>
              </w:rPr>
            </w:pPr>
            <w:r>
              <w:rPr>
                <w:sz w:val="20"/>
                <w:szCs w:val="20"/>
              </w:rPr>
              <w:t>Se incorpora el uso de código y denominaciones para el Bank of China (Peru) S.A. de acuerdo a lo requerido por la Resol. SBS N° 1295-2020 del 17.04.2020</w:t>
            </w:r>
          </w:p>
        </w:tc>
        <w:tc>
          <w:tcPr>
            <w:tcW w:w="8162" w:type="dxa"/>
          </w:tcPr>
          <w:p w14:paraId="40FE16A7" w14:textId="77777777" w:rsidR="008C20EB" w:rsidRDefault="008D25BE">
            <w:pPr>
              <w:pStyle w:val="TableParagraph"/>
              <w:numPr>
                <w:ilvl w:val="0"/>
                <w:numId w:val="40"/>
              </w:numPr>
              <w:ind w:left="68" w:right="61"/>
              <w:jc w:val="both"/>
              <w:rPr>
                <w:color w:val="000000"/>
                <w:sz w:val="20"/>
                <w:szCs w:val="20"/>
                <w:lang w:val="es-PE"/>
              </w:rPr>
            </w:pPr>
            <w:r>
              <w:rPr>
                <w:color w:val="000000"/>
                <w:sz w:val="20"/>
                <w:szCs w:val="20"/>
                <w:lang w:val="es-PE"/>
              </w:rPr>
              <w:t>En la Tabla de Empresas del Capítulo I del Manual de Contabilidad para Empresas del Sistema Financiero, se incorpora el Código de Empresa 40: Bank of China (Peru) S.A.</w:t>
            </w:r>
          </w:p>
        </w:tc>
      </w:tr>
      <w:tr w:rsidR="008C20EB" w14:paraId="40FE16B2" w14:textId="77777777">
        <w:trPr>
          <w:trHeight w:val="2775"/>
        </w:trPr>
        <w:tc>
          <w:tcPr>
            <w:tcW w:w="1574" w:type="dxa"/>
          </w:tcPr>
          <w:p w14:paraId="40FE16A9" w14:textId="77777777" w:rsidR="008C20EB" w:rsidRDefault="008D25BE">
            <w:pPr>
              <w:pStyle w:val="TableParagraph"/>
              <w:ind w:left="71" w:right="42"/>
              <w:jc w:val="both"/>
              <w:rPr>
                <w:b/>
                <w:sz w:val="20"/>
                <w:szCs w:val="20"/>
              </w:rPr>
            </w:pPr>
            <w:r>
              <w:rPr>
                <w:b/>
                <w:sz w:val="20"/>
                <w:szCs w:val="20"/>
              </w:rPr>
              <w:t>Oficio Múltiple N° 11999-2020</w:t>
            </w:r>
          </w:p>
        </w:tc>
        <w:tc>
          <w:tcPr>
            <w:tcW w:w="1560" w:type="dxa"/>
          </w:tcPr>
          <w:p w14:paraId="40FE16AA" w14:textId="77777777" w:rsidR="008C20EB" w:rsidRDefault="008D25BE">
            <w:pPr>
              <w:pStyle w:val="TableParagraph"/>
              <w:tabs>
                <w:tab w:val="left" w:pos="1606"/>
              </w:tabs>
              <w:spacing w:line="243" w:lineRule="exact"/>
              <w:jc w:val="both"/>
              <w:rPr>
                <w:b/>
                <w:sz w:val="20"/>
                <w:szCs w:val="20"/>
              </w:rPr>
            </w:pPr>
            <w:r>
              <w:rPr>
                <w:b/>
                <w:sz w:val="20"/>
                <w:szCs w:val="20"/>
              </w:rPr>
              <w:t>Pr. 22.04.2020</w:t>
            </w:r>
          </w:p>
        </w:tc>
        <w:tc>
          <w:tcPr>
            <w:tcW w:w="3935" w:type="dxa"/>
          </w:tcPr>
          <w:p w14:paraId="40FE16AB" w14:textId="77777777" w:rsidR="008C20EB" w:rsidRDefault="008D25BE">
            <w:pPr>
              <w:pStyle w:val="TableParagraph"/>
              <w:ind w:left="67" w:right="61"/>
              <w:jc w:val="both"/>
              <w:rPr>
                <w:sz w:val="20"/>
                <w:szCs w:val="20"/>
              </w:rPr>
            </w:pPr>
            <w:r>
              <w:rPr>
                <w:sz w:val="20"/>
                <w:szCs w:val="20"/>
              </w:rPr>
              <w:t xml:space="preserve">Se crea la cuenta 8108 </w:t>
            </w:r>
            <w:r>
              <w:rPr>
                <w:color w:val="000000"/>
                <w:sz w:val="20"/>
                <w:szCs w:val="20"/>
                <w:lang w:val="es-PE"/>
              </w:rPr>
              <w:t>“Créditos que participan en el Programa Reactiva Perú”,</w:t>
            </w:r>
            <w:r>
              <w:rPr>
                <w:sz w:val="20"/>
                <w:szCs w:val="20"/>
              </w:rPr>
              <w:t xml:space="preserve"> sus subcuentas, cuentas analíticas y subcuentas analíticas para la contabilización de los créditos bajo el Programa Reactiva Perú. Asimismo, se incorpora una cuenta analítica de garantía en la cuenta 8404. </w:t>
            </w:r>
          </w:p>
          <w:p w14:paraId="40FE16AC" w14:textId="77777777" w:rsidR="008C20EB" w:rsidRDefault="008D25BE">
            <w:pPr>
              <w:pStyle w:val="TableParagraph"/>
              <w:ind w:left="67" w:right="61"/>
              <w:jc w:val="both"/>
              <w:rPr>
                <w:sz w:val="20"/>
                <w:szCs w:val="20"/>
              </w:rPr>
            </w:pPr>
            <w:r>
              <w:rPr>
                <w:sz w:val="20"/>
                <w:szCs w:val="20"/>
              </w:rPr>
              <w:t>Asimismo, se incorporan el mayor nivel de cuentas creadas en el RCD.</w:t>
            </w:r>
          </w:p>
        </w:tc>
        <w:tc>
          <w:tcPr>
            <w:tcW w:w="8162" w:type="dxa"/>
          </w:tcPr>
          <w:p w14:paraId="40FE16AD" w14:textId="77777777" w:rsidR="008C20EB" w:rsidRDefault="008D25BE">
            <w:pPr>
              <w:pStyle w:val="TableParagraph"/>
              <w:ind w:left="68" w:right="61"/>
              <w:jc w:val="both"/>
              <w:rPr>
                <w:sz w:val="20"/>
                <w:szCs w:val="20"/>
              </w:rPr>
            </w:pPr>
            <w:r>
              <w:rPr>
                <w:color w:val="000000"/>
                <w:sz w:val="20"/>
                <w:szCs w:val="20"/>
                <w:lang w:val="es-PE"/>
              </w:rPr>
              <w:t xml:space="preserve">En el capítulo III y IV se incorpora la cuenta 8108 “Créditos que participan en el Programa Reactiva Perú”, su descripción, sus subcuentas, </w:t>
            </w:r>
            <w:r>
              <w:rPr>
                <w:sz w:val="20"/>
                <w:szCs w:val="20"/>
              </w:rPr>
              <w:t xml:space="preserve">cuentas analíticas y subcuentas analíticas para el mayor detalle de la contabilización de los créditos bajo el Programa Reactiva Perú. Asimismo, se crea la cuenta analítica 8404.05.11 para las garantías recibas del Gobierno. </w:t>
            </w:r>
          </w:p>
          <w:p w14:paraId="40FE16AE" w14:textId="77777777" w:rsidR="008C20EB" w:rsidRDefault="008C20EB">
            <w:pPr>
              <w:pStyle w:val="TableParagraph"/>
              <w:tabs>
                <w:tab w:val="left" w:pos="778"/>
                <w:tab w:val="left" w:pos="779"/>
              </w:tabs>
              <w:spacing w:line="259" w:lineRule="exact"/>
              <w:ind w:left="68"/>
              <w:jc w:val="both"/>
              <w:rPr>
                <w:sz w:val="20"/>
                <w:szCs w:val="20"/>
              </w:rPr>
            </w:pPr>
          </w:p>
          <w:p w14:paraId="40FE16AF" w14:textId="77777777" w:rsidR="008C20EB" w:rsidRDefault="008D25BE">
            <w:pPr>
              <w:pStyle w:val="TableParagraph"/>
              <w:ind w:left="68" w:right="61"/>
              <w:jc w:val="both"/>
              <w:rPr>
                <w:sz w:val="20"/>
                <w:szCs w:val="20"/>
              </w:rPr>
            </w:pPr>
            <w:r>
              <w:rPr>
                <w:sz w:val="20"/>
                <w:szCs w:val="20"/>
              </w:rPr>
              <w:t>Se incorporan en el Catálogo del RCD las cuentas a mayor nivel incorporadas de acuerdo a lo señalado anteriormente.</w:t>
            </w:r>
          </w:p>
          <w:p w14:paraId="40FE16B0" w14:textId="77777777" w:rsidR="008C20EB" w:rsidRDefault="008C20EB">
            <w:pPr>
              <w:pStyle w:val="TableParagraph"/>
              <w:tabs>
                <w:tab w:val="left" w:pos="778"/>
                <w:tab w:val="left" w:pos="779"/>
              </w:tabs>
              <w:spacing w:line="259" w:lineRule="exact"/>
              <w:ind w:left="68"/>
              <w:jc w:val="both"/>
              <w:rPr>
                <w:sz w:val="20"/>
                <w:szCs w:val="20"/>
              </w:rPr>
            </w:pPr>
          </w:p>
          <w:p w14:paraId="40FE16B1" w14:textId="77777777" w:rsidR="008C20EB" w:rsidRDefault="008D25BE">
            <w:pPr>
              <w:pStyle w:val="TableParagraph"/>
              <w:ind w:left="68" w:right="61"/>
              <w:jc w:val="both"/>
              <w:rPr>
                <w:color w:val="000000"/>
                <w:sz w:val="20"/>
                <w:szCs w:val="20"/>
                <w:lang w:val="es-PE"/>
              </w:rPr>
            </w:pPr>
            <w:r>
              <w:rPr>
                <w:sz w:val="20"/>
                <w:szCs w:val="20"/>
              </w:rPr>
              <w:t xml:space="preserve">La vigencia es a partir de la información de abril 2020. </w:t>
            </w:r>
          </w:p>
        </w:tc>
      </w:tr>
      <w:tr w:rsidR="008C20EB" w14:paraId="40FE16B8" w14:textId="77777777">
        <w:trPr>
          <w:trHeight w:val="2775"/>
        </w:trPr>
        <w:tc>
          <w:tcPr>
            <w:tcW w:w="1574" w:type="dxa"/>
          </w:tcPr>
          <w:p w14:paraId="40FE16B3" w14:textId="77777777" w:rsidR="008C20EB" w:rsidRDefault="008D25BE">
            <w:pPr>
              <w:pStyle w:val="TableParagraph"/>
              <w:ind w:left="71" w:right="42"/>
              <w:jc w:val="both"/>
              <w:rPr>
                <w:b/>
                <w:sz w:val="20"/>
                <w:szCs w:val="20"/>
              </w:rPr>
            </w:pPr>
            <w:r>
              <w:rPr>
                <w:b/>
                <w:sz w:val="20"/>
                <w:szCs w:val="20"/>
              </w:rPr>
              <w:lastRenderedPageBreak/>
              <w:t>Oficio Múltiple N° 11692-2020-SBS</w:t>
            </w:r>
          </w:p>
        </w:tc>
        <w:tc>
          <w:tcPr>
            <w:tcW w:w="1560" w:type="dxa"/>
          </w:tcPr>
          <w:p w14:paraId="40FE16B4" w14:textId="77777777" w:rsidR="008C20EB" w:rsidRDefault="008D25BE">
            <w:pPr>
              <w:pStyle w:val="TableParagraph"/>
              <w:tabs>
                <w:tab w:val="left" w:pos="1606"/>
              </w:tabs>
              <w:spacing w:line="243" w:lineRule="exact"/>
              <w:jc w:val="both"/>
              <w:rPr>
                <w:b/>
                <w:sz w:val="20"/>
                <w:szCs w:val="20"/>
              </w:rPr>
            </w:pPr>
            <w:r>
              <w:rPr>
                <w:b/>
                <w:sz w:val="20"/>
                <w:szCs w:val="20"/>
              </w:rPr>
              <w:t>Pr. 14.04.2020</w:t>
            </w:r>
          </w:p>
        </w:tc>
        <w:tc>
          <w:tcPr>
            <w:tcW w:w="3935" w:type="dxa"/>
          </w:tcPr>
          <w:p w14:paraId="40FE16B5" w14:textId="77777777" w:rsidR="008C20EB" w:rsidRDefault="008D25BE">
            <w:pPr>
              <w:pStyle w:val="TableParagraph"/>
              <w:ind w:left="67" w:right="61"/>
              <w:jc w:val="both"/>
              <w:rPr>
                <w:sz w:val="20"/>
                <w:szCs w:val="20"/>
              </w:rPr>
            </w:pPr>
            <w:r>
              <w:rPr>
                <w:sz w:val="20"/>
                <w:szCs w:val="20"/>
              </w:rPr>
              <w:t>Se incorpora el uso de códigos y denominaciones para Volvo Leasing Perú, de acuerdo a lo requerido por la Resol. SBS N° 219-2020 del 15.01.2020</w:t>
            </w:r>
          </w:p>
        </w:tc>
        <w:tc>
          <w:tcPr>
            <w:tcW w:w="8162" w:type="dxa"/>
          </w:tcPr>
          <w:p w14:paraId="40FE16B6" w14:textId="77777777" w:rsidR="008C20EB" w:rsidRDefault="008D25BE">
            <w:pPr>
              <w:pStyle w:val="TableParagraph"/>
              <w:numPr>
                <w:ilvl w:val="0"/>
                <w:numId w:val="40"/>
              </w:numPr>
              <w:ind w:right="61"/>
              <w:jc w:val="both"/>
              <w:rPr>
                <w:color w:val="000000"/>
                <w:sz w:val="20"/>
                <w:szCs w:val="20"/>
                <w:lang w:val="es-PE"/>
              </w:rPr>
            </w:pPr>
            <w:r>
              <w:rPr>
                <w:color w:val="000000"/>
                <w:sz w:val="20"/>
                <w:szCs w:val="20"/>
                <w:lang w:val="es-PE"/>
              </w:rPr>
              <w:t>En la Tabla de Empresas del Capítulo I del Manual de Contabilidad para Empresas del Sistema Financiero, se incorpora el Código de Empresa 13: Volvo Leasing Perú</w:t>
            </w:r>
          </w:p>
          <w:p w14:paraId="40FE16B7" w14:textId="77777777" w:rsidR="008C20EB" w:rsidRDefault="008C20EB">
            <w:pPr>
              <w:pStyle w:val="TableParagraph"/>
              <w:tabs>
                <w:tab w:val="left" w:pos="778"/>
                <w:tab w:val="left" w:pos="779"/>
              </w:tabs>
              <w:spacing w:line="259" w:lineRule="exact"/>
              <w:jc w:val="both"/>
              <w:rPr>
                <w:color w:val="000000"/>
                <w:sz w:val="20"/>
                <w:szCs w:val="20"/>
                <w:lang w:val="es-PE"/>
              </w:rPr>
            </w:pPr>
          </w:p>
        </w:tc>
      </w:tr>
      <w:tr w:rsidR="008C20EB" w14:paraId="40FE16C7" w14:textId="77777777">
        <w:trPr>
          <w:trHeight w:val="2775"/>
        </w:trPr>
        <w:tc>
          <w:tcPr>
            <w:tcW w:w="1574" w:type="dxa"/>
          </w:tcPr>
          <w:p w14:paraId="40FE16B9" w14:textId="77777777" w:rsidR="008C20EB" w:rsidRDefault="008D25BE">
            <w:pPr>
              <w:pStyle w:val="TableParagraph"/>
              <w:ind w:left="71" w:right="42"/>
              <w:jc w:val="both"/>
              <w:rPr>
                <w:b/>
                <w:sz w:val="20"/>
                <w:szCs w:val="20"/>
              </w:rPr>
            </w:pPr>
            <w:r>
              <w:rPr>
                <w:b/>
                <w:sz w:val="20"/>
                <w:szCs w:val="20"/>
              </w:rPr>
              <w:t>Resolución SBS N° 1278 - 2020</w:t>
            </w:r>
          </w:p>
        </w:tc>
        <w:tc>
          <w:tcPr>
            <w:tcW w:w="1560" w:type="dxa"/>
          </w:tcPr>
          <w:p w14:paraId="40FE16BA"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07</w:t>
            </w:r>
            <w:r>
              <w:rPr>
                <w:b/>
                <w:sz w:val="20"/>
                <w:szCs w:val="20"/>
              </w:rPr>
              <w:t>.04.2020</w:t>
            </w:r>
            <w:r>
              <w:rPr>
                <w:b/>
                <w:sz w:val="20"/>
                <w:szCs w:val="20"/>
              </w:rPr>
              <w:tab/>
              <w:t>/</w:t>
            </w:r>
          </w:p>
          <w:p w14:paraId="40FE16BB" w14:textId="77777777" w:rsidR="008C20EB" w:rsidRDefault="008D25BE">
            <w:pPr>
              <w:pStyle w:val="TableParagraph"/>
              <w:tabs>
                <w:tab w:val="left" w:pos="1606"/>
              </w:tabs>
              <w:spacing w:line="243" w:lineRule="exact"/>
              <w:jc w:val="both"/>
              <w:rPr>
                <w:b/>
                <w:sz w:val="20"/>
                <w:szCs w:val="20"/>
              </w:rPr>
            </w:pPr>
            <w:r>
              <w:rPr>
                <w:b/>
                <w:sz w:val="20"/>
                <w:szCs w:val="20"/>
              </w:rPr>
              <w:t>Pub. 08.04.2020)</w:t>
            </w:r>
          </w:p>
        </w:tc>
        <w:tc>
          <w:tcPr>
            <w:tcW w:w="3935" w:type="dxa"/>
          </w:tcPr>
          <w:p w14:paraId="40FE16BC" w14:textId="77777777" w:rsidR="008C20EB" w:rsidRDefault="008D25BE">
            <w:pPr>
              <w:pStyle w:val="TableParagraph"/>
              <w:ind w:left="67" w:right="61"/>
              <w:jc w:val="both"/>
              <w:rPr>
                <w:sz w:val="20"/>
                <w:szCs w:val="20"/>
              </w:rPr>
            </w:pPr>
            <w:r>
              <w:rPr>
                <w:sz w:val="20"/>
                <w:szCs w:val="20"/>
              </w:rPr>
              <w:t xml:space="preserve">Se modifica la Resolución SBS N° 5570-2019, postergando las modificaciones al Manual de Contabilidad que entraban en vigencia en noviembre 2020, siendo la nueva vigencia </w:t>
            </w:r>
            <w:r>
              <w:rPr>
                <w:b/>
                <w:sz w:val="20"/>
                <w:szCs w:val="20"/>
              </w:rPr>
              <w:t>enero 2021.</w:t>
            </w:r>
          </w:p>
          <w:p w14:paraId="40FE16BD" w14:textId="77777777" w:rsidR="008C20EB" w:rsidRDefault="008C20EB">
            <w:pPr>
              <w:pStyle w:val="TableParagraph"/>
              <w:ind w:left="67" w:right="61"/>
              <w:jc w:val="both"/>
              <w:rPr>
                <w:color w:val="000000"/>
                <w:sz w:val="20"/>
                <w:szCs w:val="20"/>
                <w:lang w:val="es-PE"/>
              </w:rPr>
            </w:pPr>
          </w:p>
          <w:p w14:paraId="40FE16BE" w14:textId="77777777" w:rsidR="008C20EB" w:rsidRDefault="008C20EB">
            <w:pPr>
              <w:pStyle w:val="TableParagraph"/>
              <w:ind w:left="67" w:right="61"/>
              <w:jc w:val="both"/>
              <w:rPr>
                <w:sz w:val="20"/>
                <w:szCs w:val="20"/>
              </w:rPr>
            </w:pPr>
          </w:p>
        </w:tc>
        <w:tc>
          <w:tcPr>
            <w:tcW w:w="8162" w:type="dxa"/>
          </w:tcPr>
          <w:p w14:paraId="40FE16BF" w14:textId="77777777" w:rsidR="008C20EB" w:rsidRDefault="008D25BE">
            <w:pPr>
              <w:pStyle w:val="TableParagraph"/>
              <w:tabs>
                <w:tab w:val="left" w:pos="778"/>
                <w:tab w:val="left" w:pos="779"/>
              </w:tabs>
              <w:spacing w:line="259" w:lineRule="exact"/>
              <w:jc w:val="both"/>
              <w:rPr>
                <w:color w:val="000000"/>
                <w:sz w:val="20"/>
                <w:szCs w:val="20"/>
                <w:lang w:val="es-PE"/>
              </w:rPr>
            </w:pPr>
            <w:r>
              <w:rPr>
                <w:color w:val="000000"/>
                <w:sz w:val="20"/>
                <w:szCs w:val="20"/>
                <w:lang w:val="es-PE"/>
              </w:rPr>
              <w:t xml:space="preserve"> De acuerdo a la modificación de la vigencia, la información con nueva vigencia son los siguientes:</w:t>
            </w:r>
          </w:p>
          <w:p w14:paraId="40FE16C0" w14:textId="77777777" w:rsidR="008C20EB" w:rsidRDefault="008D25BE">
            <w:pPr>
              <w:pStyle w:val="TableParagraph"/>
              <w:numPr>
                <w:ilvl w:val="0"/>
                <w:numId w:val="41"/>
              </w:numPr>
              <w:tabs>
                <w:tab w:val="left" w:pos="778"/>
                <w:tab w:val="left" w:pos="779"/>
              </w:tabs>
              <w:spacing w:line="259" w:lineRule="exact"/>
              <w:ind w:hanging="693"/>
              <w:jc w:val="both"/>
              <w:rPr>
                <w:color w:val="000000"/>
                <w:sz w:val="20"/>
                <w:szCs w:val="20"/>
                <w:lang w:val="es-PE"/>
              </w:rPr>
            </w:pPr>
            <w:r>
              <w:rPr>
                <w:color w:val="000000"/>
                <w:sz w:val="20"/>
                <w:szCs w:val="20"/>
                <w:lang w:val="es-PE"/>
              </w:rPr>
              <w:t xml:space="preserve">Capítulos III y IV </w:t>
            </w:r>
          </w:p>
          <w:p w14:paraId="40FE16C1" w14:textId="77777777" w:rsidR="008C20EB" w:rsidRDefault="008D25BE">
            <w:pPr>
              <w:pStyle w:val="TableParagraph"/>
              <w:numPr>
                <w:ilvl w:val="0"/>
                <w:numId w:val="41"/>
              </w:numPr>
              <w:tabs>
                <w:tab w:val="left" w:pos="778"/>
                <w:tab w:val="left" w:pos="779"/>
              </w:tabs>
              <w:spacing w:line="259" w:lineRule="exact"/>
              <w:ind w:hanging="693"/>
              <w:jc w:val="both"/>
              <w:rPr>
                <w:color w:val="000000"/>
                <w:sz w:val="20"/>
                <w:szCs w:val="20"/>
                <w:lang w:val="es-PE"/>
              </w:rPr>
            </w:pPr>
            <w:r>
              <w:rPr>
                <w:sz w:val="20"/>
                <w:szCs w:val="20"/>
                <w:lang w:val="es-PE"/>
              </w:rPr>
              <w:t>En el Capítulo V “Información complementaria”</w:t>
            </w:r>
            <w:r>
              <w:rPr>
                <w:color w:val="000000"/>
                <w:sz w:val="20"/>
                <w:szCs w:val="20"/>
                <w:lang w:val="es-PE"/>
              </w:rPr>
              <w:t>:</w:t>
            </w:r>
          </w:p>
          <w:p w14:paraId="40FE16C2" w14:textId="77777777" w:rsidR="008C20EB" w:rsidRDefault="008D25BE">
            <w:pPr>
              <w:pStyle w:val="TableParagraph"/>
              <w:numPr>
                <w:ilvl w:val="0"/>
                <w:numId w:val="42"/>
              </w:numPr>
              <w:ind w:right="61"/>
              <w:jc w:val="both"/>
              <w:rPr>
                <w:color w:val="000000"/>
                <w:sz w:val="20"/>
                <w:szCs w:val="20"/>
                <w:lang w:val="es-PE"/>
              </w:rPr>
            </w:pPr>
            <w:r>
              <w:rPr>
                <w:color w:val="000000"/>
                <w:sz w:val="20"/>
                <w:szCs w:val="20"/>
                <w:lang w:val="es-PE"/>
              </w:rPr>
              <w:t>El instructivo y el catálogo de cuentas del RCD.</w:t>
            </w:r>
          </w:p>
          <w:p w14:paraId="40FE16C3" w14:textId="77777777" w:rsidR="008C20EB" w:rsidRDefault="008D25BE">
            <w:pPr>
              <w:pStyle w:val="TableParagraph"/>
              <w:numPr>
                <w:ilvl w:val="0"/>
                <w:numId w:val="42"/>
              </w:numPr>
              <w:ind w:right="61"/>
              <w:jc w:val="both"/>
              <w:rPr>
                <w:color w:val="000000"/>
                <w:sz w:val="20"/>
                <w:szCs w:val="20"/>
                <w:lang w:val="es-PE"/>
              </w:rPr>
            </w:pPr>
            <w:r>
              <w:rPr>
                <w:bCs/>
                <w:sz w:val="20"/>
                <w:szCs w:val="20"/>
                <w:lang w:val="es-PE"/>
              </w:rPr>
              <w:t>Las notas del Reporte N° 4-A1 “Requerimiento de Patrimonio Efectivo Adicional por Ciclo Económico – Empresas que aplican Método Estándar</w:t>
            </w:r>
          </w:p>
          <w:p w14:paraId="40FE16C4" w14:textId="77777777" w:rsidR="008C20EB" w:rsidRDefault="008D25BE">
            <w:pPr>
              <w:pStyle w:val="TableParagraph"/>
              <w:numPr>
                <w:ilvl w:val="0"/>
                <w:numId w:val="42"/>
              </w:numPr>
              <w:ind w:right="61"/>
              <w:jc w:val="both"/>
              <w:rPr>
                <w:color w:val="000000"/>
                <w:sz w:val="20"/>
                <w:szCs w:val="20"/>
                <w:lang w:val="es-PE"/>
              </w:rPr>
            </w:pPr>
            <w:r>
              <w:rPr>
                <w:sz w:val="20"/>
                <w:szCs w:val="20"/>
                <w:lang w:val="es-PE"/>
              </w:rPr>
              <w:t>Reporte 6-A “Tasas de Interés Activas sobre Saldos” y el Reporte N° 6-D “Tasas de Interés Activas de Operaciones Diarias”.</w:t>
            </w:r>
          </w:p>
          <w:p w14:paraId="40FE16C5" w14:textId="77777777" w:rsidR="008C20EB" w:rsidRDefault="008D25BE">
            <w:pPr>
              <w:pStyle w:val="TableParagraph"/>
              <w:numPr>
                <w:ilvl w:val="0"/>
                <w:numId w:val="42"/>
              </w:numPr>
              <w:ind w:right="61"/>
              <w:jc w:val="both"/>
              <w:rPr>
                <w:color w:val="000000"/>
                <w:sz w:val="20"/>
                <w:szCs w:val="20"/>
                <w:lang w:val="es-PE"/>
              </w:rPr>
            </w:pPr>
            <w:r>
              <w:rPr>
                <w:bCs/>
                <w:sz w:val="20"/>
                <w:szCs w:val="20"/>
              </w:rPr>
              <w:t>Reporte 14 “Créditos Según Días de Incumplimiento</w:t>
            </w:r>
          </w:p>
          <w:p w14:paraId="40FE16C6" w14:textId="77777777" w:rsidR="008C20EB" w:rsidRDefault="008C20EB">
            <w:pPr>
              <w:pStyle w:val="TableParagraph"/>
              <w:tabs>
                <w:tab w:val="left" w:pos="778"/>
                <w:tab w:val="left" w:pos="779"/>
              </w:tabs>
              <w:spacing w:line="259" w:lineRule="exact"/>
              <w:ind w:left="778"/>
              <w:jc w:val="both"/>
              <w:rPr>
                <w:sz w:val="20"/>
                <w:szCs w:val="20"/>
              </w:rPr>
            </w:pPr>
          </w:p>
        </w:tc>
      </w:tr>
      <w:tr w:rsidR="008C20EB" w14:paraId="40FE16CE" w14:textId="77777777">
        <w:trPr>
          <w:trHeight w:val="2775"/>
        </w:trPr>
        <w:tc>
          <w:tcPr>
            <w:tcW w:w="1574" w:type="dxa"/>
          </w:tcPr>
          <w:p w14:paraId="40FE16C8" w14:textId="77777777" w:rsidR="008C20EB" w:rsidRDefault="008D25BE">
            <w:pPr>
              <w:pStyle w:val="TableParagraph"/>
              <w:ind w:left="71" w:right="42"/>
              <w:jc w:val="both"/>
              <w:rPr>
                <w:b/>
                <w:sz w:val="20"/>
                <w:szCs w:val="20"/>
              </w:rPr>
            </w:pPr>
            <w:r>
              <w:rPr>
                <w:b/>
                <w:sz w:val="20"/>
                <w:szCs w:val="20"/>
              </w:rPr>
              <w:t>Oficio Múltiple N° 11170-2020</w:t>
            </w:r>
          </w:p>
        </w:tc>
        <w:tc>
          <w:tcPr>
            <w:tcW w:w="1560" w:type="dxa"/>
          </w:tcPr>
          <w:p w14:paraId="40FE16C9" w14:textId="77777777" w:rsidR="008C20EB" w:rsidRDefault="008D25BE">
            <w:pPr>
              <w:pStyle w:val="TableParagraph"/>
              <w:tabs>
                <w:tab w:val="left" w:pos="1606"/>
              </w:tabs>
              <w:spacing w:line="243" w:lineRule="exact"/>
              <w:jc w:val="both"/>
              <w:rPr>
                <w:b/>
                <w:sz w:val="20"/>
                <w:szCs w:val="20"/>
              </w:rPr>
            </w:pPr>
            <w:r>
              <w:rPr>
                <w:b/>
                <w:sz w:val="20"/>
                <w:szCs w:val="20"/>
              </w:rPr>
              <w:t>20.03.2020</w:t>
            </w:r>
          </w:p>
        </w:tc>
        <w:tc>
          <w:tcPr>
            <w:tcW w:w="3935" w:type="dxa"/>
          </w:tcPr>
          <w:p w14:paraId="40FE16CA" w14:textId="77777777" w:rsidR="008C20EB" w:rsidRDefault="008D25BE">
            <w:pPr>
              <w:pStyle w:val="TableParagraph"/>
              <w:ind w:left="67" w:right="61"/>
              <w:jc w:val="both"/>
              <w:rPr>
                <w:sz w:val="20"/>
                <w:szCs w:val="20"/>
              </w:rPr>
            </w:pPr>
            <w:r>
              <w:rPr>
                <w:sz w:val="20"/>
                <w:szCs w:val="20"/>
              </w:rPr>
              <w:t>Se crea las cuentas analíticas y subcuentas analíticas de la subcuenta de orden 8109.37 para la contabilización de los créditos reprogramados por la situación de emergencia sanitaria. Asimismo, se incorporan los mayores niveles de cuentas en el RCD.</w:t>
            </w:r>
          </w:p>
        </w:tc>
        <w:tc>
          <w:tcPr>
            <w:tcW w:w="8162" w:type="dxa"/>
          </w:tcPr>
          <w:p w14:paraId="40FE16CB" w14:textId="77777777" w:rsidR="008C20EB" w:rsidRDefault="008D25BE">
            <w:pPr>
              <w:pStyle w:val="TableParagraph"/>
              <w:tabs>
                <w:tab w:val="left" w:pos="778"/>
                <w:tab w:val="left" w:pos="779"/>
              </w:tabs>
              <w:spacing w:line="259" w:lineRule="exact"/>
              <w:ind w:left="778"/>
              <w:jc w:val="both"/>
              <w:rPr>
                <w:sz w:val="20"/>
                <w:szCs w:val="20"/>
              </w:rPr>
            </w:pPr>
            <w:r>
              <w:rPr>
                <w:color w:val="000000"/>
                <w:sz w:val="20"/>
                <w:szCs w:val="20"/>
                <w:lang w:val="es-PE"/>
              </w:rPr>
              <w:t xml:space="preserve">En el capítulo III y IV se incorpora en la </w:t>
            </w:r>
            <w:r>
              <w:rPr>
                <w:sz w:val="20"/>
                <w:szCs w:val="20"/>
              </w:rPr>
              <w:t>subcuenta de orden 8109.37, las cuentas analíticas y subcuentas analíticas para el mayor detalle de la contabilización de los créditos reprogramados por la situación de emergencia sanitaria. Asimismo, se incorpora en el Catálogo del RCD dichas subcuentas analíticas.</w:t>
            </w:r>
          </w:p>
          <w:p w14:paraId="40FE16CC" w14:textId="77777777" w:rsidR="008C20EB" w:rsidRDefault="008C20EB">
            <w:pPr>
              <w:pStyle w:val="TableParagraph"/>
              <w:tabs>
                <w:tab w:val="left" w:pos="778"/>
                <w:tab w:val="left" w:pos="779"/>
              </w:tabs>
              <w:spacing w:line="259" w:lineRule="exact"/>
              <w:ind w:left="778"/>
              <w:jc w:val="both"/>
              <w:rPr>
                <w:sz w:val="20"/>
                <w:szCs w:val="20"/>
              </w:rPr>
            </w:pPr>
          </w:p>
          <w:p w14:paraId="40FE16CD" w14:textId="77777777" w:rsidR="008C20EB" w:rsidRDefault="008D25BE">
            <w:pPr>
              <w:pStyle w:val="TableParagraph"/>
              <w:tabs>
                <w:tab w:val="left" w:pos="778"/>
                <w:tab w:val="left" w:pos="779"/>
              </w:tabs>
              <w:spacing w:line="259" w:lineRule="exact"/>
              <w:ind w:left="778"/>
              <w:jc w:val="both"/>
              <w:rPr>
                <w:color w:val="000000"/>
                <w:sz w:val="20"/>
                <w:szCs w:val="20"/>
                <w:lang w:val="es-PE"/>
              </w:rPr>
            </w:pPr>
            <w:r>
              <w:rPr>
                <w:sz w:val="20"/>
                <w:szCs w:val="20"/>
              </w:rPr>
              <w:t xml:space="preserve">La vigencia es a partir de la información de marzo 2020. </w:t>
            </w:r>
          </w:p>
        </w:tc>
      </w:tr>
      <w:tr w:rsidR="008C20EB" w14:paraId="40FE16D5" w14:textId="77777777">
        <w:trPr>
          <w:trHeight w:val="2775"/>
        </w:trPr>
        <w:tc>
          <w:tcPr>
            <w:tcW w:w="1574" w:type="dxa"/>
          </w:tcPr>
          <w:p w14:paraId="40FE16CF" w14:textId="77777777" w:rsidR="008C20EB" w:rsidRDefault="008D25BE">
            <w:pPr>
              <w:pStyle w:val="TableParagraph"/>
              <w:ind w:left="71" w:right="42"/>
              <w:jc w:val="both"/>
              <w:rPr>
                <w:b/>
                <w:sz w:val="20"/>
                <w:szCs w:val="20"/>
              </w:rPr>
            </w:pPr>
            <w:r>
              <w:rPr>
                <w:b/>
                <w:sz w:val="20"/>
                <w:szCs w:val="20"/>
              </w:rPr>
              <w:lastRenderedPageBreak/>
              <w:t>Oficio Múltiple N° 10997-2020</w:t>
            </w:r>
          </w:p>
        </w:tc>
        <w:tc>
          <w:tcPr>
            <w:tcW w:w="1560" w:type="dxa"/>
          </w:tcPr>
          <w:p w14:paraId="40FE16D0" w14:textId="77777777" w:rsidR="008C20EB" w:rsidRDefault="008D25BE">
            <w:pPr>
              <w:pStyle w:val="TableParagraph"/>
              <w:tabs>
                <w:tab w:val="left" w:pos="1606"/>
              </w:tabs>
              <w:spacing w:line="243" w:lineRule="exact"/>
              <w:jc w:val="both"/>
              <w:rPr>
                <w:b/>
                <w:sz w:val="20"/>
                <w:szCs w:val="20"/>
              </w:rPr>
            </w:pPr>
            <w:r>
              <w:rPr>
                <w:b/>
                <w:sz w:val="20"/>
                <w:szCs w:val="20"/>
              </w:rPr>
              <w:t>13.03.2020</w:t>
            </w:r>
          </w:p>
        </w:tc>
        <w:tc>
          <w:tcPr>
            <w:tcW w:w="3935" w:type="dxa"/>
          </w:tcPr>
          <w:p w14:paraId="40FE16D1" w14:textId="77777777" w:rsidR="008C20EB" w:rsidRDefault="008D25BE">
            <w:pPr>
              <w:pStyle w:val="TableParagraph"/>
              <w:ind w:left="67" w:right="61"/>
              <w:jc w:val="both"/>
              <w:rPr>
                <w:sz w:val="20"/>
                <w:szCs w:val="20"/>
              </w:rPr>
            </w:pPr>
            <w:r>
              <w:rPr>
                <w:sz w:val="20"/>
                <w:szCs w:val="20"/>
              </w:rPr>
              <w:t>Se crea la subcuenta de orden 8109.37 para la contabilización de los créditos reprogramados por la situación de emergencia sanitaria</w:t>
            </w:r>
          </w:p>
        </w:tc>
        <w:tc>
          <w:tcPr>
            <w:tcW w:w="8162" w:type="dxa"/>
          </w:tcPr>
          <w:p w14:paraId="40FE16D2" w14:textId="77777777" w:rsidR="008C20EB" w:rsidRDefault="008D25BE">
            <w:pPr>
              <w:pStyle w:val="TableParagraph"/>
              <w:tabs>
                <w:tab w:val="left" w:pos="778"/>
                <w:tab w:val="left" w:pos="779"/>
              </w:tabs>
              <w:spacing w:line="259" w:lineRule="exact"/>
              <w:ind w:left="778"/>
              <w:jc w:val="both"/>
              <w:rPr>
                <w:sz w:val="20"/>
                <w:szCs w:val="20"/>
              </w:rPr>
            </w:pPr>
            <w:r>
              <w:rPr>
                <w:color w:val="000000"/>
                <w:sz w:val="20"/>
                <w:szCs w:val="20"/>
                <w:lang w:val="es-PE"/>
              </w:rPr>
              <w:t xml:space="preserve">En el capítulo III y IV se incorpora la </w:t>
            </w:r>
            <w:r>
              <w:rPr>
                <w:sz w:val="20"/>
                <w:szCs w:val="20"/>
              </w:rPr>
              <w:t xml:space="preserve">subcuenta de orden 8109.37 para la contabilización de los créditos reprogramados por la situación de emergencia. </w:t>
            </w:r>
          </w:p>
          <w:p w14:paraId="40FE16D3" w14:textId="77777777" w:rsidR="008C20EB" w:rsidRDefault="008C20EB">
            <w:pPr>
              <w:pStyle w:val="TableParagraph"/>
              <w:tabs>
                <w:tab w:val="left" w:pos="778"/>
                <w:tab w:val="left" w:pos="779"/>
              </w:tabs>
              <w:spacing w:line="259" w:lineRule="exact"/>
              <w:ind w:left="778"/>
              <w:jc w:val="both"/>
              <w:rPr>
                <w:sz w:val="20"/>
                <w:szCs w:val="20"/>
              </w:rPr>
            </w:pPr>
          </w:p>
          <w:p w14:paraId="40FE16D4" w14:textId="77777777" w:rsidR="008C20EB" w:rsidRDefault="008D25BE">
            <w:pPr>
              <w:pStyle w:val="TableParagraph"/>
              <w:tabs>
                <w:tab w:val="left" w:pos="778"/>
                <w:tab w:val="left" w:pos="779"/>
              </w:tabs>
              <w:spacing w:line="259" w:lineRule="exact"/>
              <w:ind w:left="778"/>
              <w:jc w:val="both"/>
              <w:rPr>
                <w:color w:val="000000"/>
                <w:sz w:val="20"/>
                <w:szCs w:val="20"/>
                <w:lang w:val="es-PE"/>
              </w:rPr>
            </w:pPr>
            <w:r>
              <w:rPr>
                <w:sz w:val="20"/>
                <w:szCs w:val="20"/>
              </w:rPr>
              <w:t xml:space="preserve">La vigencia es a partir de la información de marzo 2020. </w:t>
            </w:r>
          </w:p>
        </w:tc>
      </w:tr>
      <w:tr w:rsidR="008C20EB" w14:paraId="40FE16E0" w14:textId="77777777">
        <w:trPr>
          <w:trHeight w:val="2775"/>
        </w:trPr>
        <w:tc>
          <w:tcPr>
            <w:tcW w:w="1574" w:type="dxa"/>
          </w:tcPr>
          <w:p w14:paraId="40FE16D6" w14:textId="77777777" w:rsidR="008C20EB" w:rsidRDefault="008D25BE">
            <w:pPr>
              <w:pStyle w:val="TableParagraph"/>
              <w:ind w:left="71" w:right="42"/>
              <w:jc w:val="both"/>
              <w:rPr>
                <w:b/>
                <w:sz w:val="20"/>
                <w:szCs w:val="20"/>
              </w:rPr>
            </w:pPr>
            <w:r>
              <w:rPr>
                <w:b/>
                <w:sz w:val="20"/>
                <w:szCs w:val="20"/>
              </w:rPr>
              <w:t>Resolución SBS N° 0493 - 2020</w:t>
            </w:r>
          </w:p>
        </w:tc>
        <w:tc>
          <w:tcPr>
            <w:tcW w:w="1560" w:type="dxa"/>
          </w:tcPr>
          <w:p w14:paraId="40FE16D7"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30.01.2020</w:t>
            </w:r>
            <w:r>
              <w:rPr>
                <w:b/>
                <w:sz w:val="20"/>
                <w:szCs w:val="20"/>
              </w:rPr>
              <w:tab/>
              <w:t>/</w:t>
            </w:r>
          </w:p>
          <w:p w14:paraId="40FE16D8" w14:textId="77777777" w:rsidR="008C20EB" w:rsidRDefault="008D25BE">
            <w:pPr>
              <w:pStyle w:val="TableParagraph"/>
              <w:tabs>
                <w:tab w:val="left" w:pos="1606"/>
              </w:tabs>
              <w:spacing w:line="243" w:lineRule="exact"/>
              <w:jc w:val="both"/>
              <w:rPr>
                <w:b/>
                <w:sz w:val="20"/>
                <w:szCs w:val="20"/>
              </w:rPr>
            </w:pPr>
            <w:r>
              <w:rPr>
                <w:b/>
                <w:sz w:val="20"/>
                <w:szCs w:val="20"/>
              </w:rPr>
              <w:t>Pub. 31.01.2020)</w:t>
            </w:r>
          </w:p>
        </w:tc>
        <w:tc>
          <w:tcPr>
            <w:tcW w:w="3935" w:type="dxa"/>
          </w:tcPr>
          <w:p w14:paraId="40FE16D9" w14:textId="77777777" w:rsidR="008C20EB" w:rsidRDefault="008D25BE">
            <w:pPr>
              <w:pStyle w:val="TableParagraph"/>
              <w:ind w:left="67" w:right="61"/>
              <w:jc w:val="both"/>
              <w:rPr>
                <w:sz w:val="20"/>
                <w:szCs w:val="20"/>
              </w:rPr>
            </w:pPr>
            <w:r>
              <w:rPr>
                <w:sz w:val="20"/>
                <w:szCs w:val="20"/>
              </w:rPr>
              <w:t>Se modifica en el Capítulo V “Información Complementaria” del Manual de Contabilidad para las Empresas del Sistema Financiero, el Anexo N° 5 “Informe de Clasificación de Deudores y Provisiones” para adecuar a la modificación establecida Resolución SBS N° 5570 – 2019, mediante la cual se modificó el Reglamento para la Evaluación y Clasificación del Deudor y la Exigencia de Provisiones, respecto a los FCC de cartas fianza.</w:t>
            </w:r>
          </w:p>
          <w:p w14:paraId="40FE16DA" w14:textId="77777777" w:rsidR="008C20EB" w:rsidRDefault="008D25BE">
            <w:pPr>
              <w:pStyle w:val="TableParagraph"/>
              <w:ind w:left="67" w:right="61"/>
              <w:jc w:val="both"/>
              <w:rPr>
                <w:sz w:val="20"/>
                <w:szCs w:val="20"/>
                <w:lang w:val="es-PE"/>
              </w:rPr>
            </w:pPr>
            <w:r>
              <w:rPr>
                <w:sz w:val="20"/>
                <w:szCs w:val="20"/>
                <w:lang w:val="es-PE"/>
              </w:rPr>
              <w:t xml:space="preserve">La vigencia es a partir de la información de </w:t>
            </w:r>
            <w:r>
              <w:rPr>
                <w:b/>
                <w:sz w:val="20"/>
                <w:szCs w:val="20"/>
                <w:lang w:val="es-PE"/>
              </w:rPr>
              <w:t>enero 2020</w:t>
            </w:r>
            <w:r>
              <w:rPr>
                <w:sz w:val="20"/>
                <w:szCs w:val="20"/>
                <w:lang w:val="es-PE"/>
              </w:rPr>
              <w:t>.</w:t>
            </w:r>
          </w:p>
          <w:p w14:paraId="40FE16DB" w14:textId="77777777" w:rsidR="008C20EB" w:rsidRDefault="008C20EB">
            <w:pPr>
              <w:pStyle w:val="TableParagraph"/>
              <w:ind w:left="67" w:right="61"/>
              <w:jc w:val="both"/>
              <w:rPr>
                <w:color w:val="000000"/>
                <w:sz w:val="20"/>
                <w:szCs w:val="20"/>
                <w:lang w:val="es-PE"/>
              </w:rPr>
            </w:pPr>
          </w:p>
          <w:p w14:paraId="40FE16DC" w14:textId="77777777" w:rsidR="008C20EB" w:rsidRDefault="008C20EB">
            <w:pPr>
              <w:pStyle w:val="TableParagraph"/>
              <w:ind w:left="67" w:right="61"/>
              <w:jc w:val="both"/>
              <w:rPr>
                <w:sz w:val="20"/>
                <w:szCs w:val="20"/>
              </w:rPr>
            </w:pPr>
          </w:p>
        </w:tc>
        <w:tc>
          <w:tcPr>
            <w:tcW w:w="8162" w:type="dxa"/>
          </w:tcPr>
          <w:p w14:paraId="40FE16DD" w14:textId="77777777" w:rsidR="008C20EB" w:rsidRDefault="008D25BE">
            <w:pPr>
              <w:pStyle w:val="TableParagraph"/>
              <w:tabs>
                <w:tab w:val="left" w:pos="778"/>
                <w:tab w:val="left" w:pos="779"/>
              </w:tabs>
              <w:spacing w:line="259" w:lineRule="exact"/>
              <w:ind w:left="778"/>
              <w:jc w:val="both"/>
              <w:rPr>
                <w:color w:val="000000"/>
                <w:sz w:val="20"/>
                <w:szCs w:val="20"/>
                <w:lang w:val="es-PE"/>
              </w:rPr>
            </w:pPr>
            <w:r>
              <w:rPr>
                <w:color w:val="000000"/>
                <w:sz w:val="20"/>
                <w:szCs w:val="20"/>
                <w:lang w:val="es-PE"/>
              </w:rPr>
              <w:t>En el Capítulo V “Información Complementaria” del Manual de Contabilidad para las Empresas del Sistema Financiero, se modifica el Anexo N° 5 “Informe de Clasificación de Deudores y Provisiones” en lo siguiente:</w:t>
            </w:r>
          </w:p>
          <w:p w14:paraId="40FE16DE" w14:textId="77777777" w:rsidR="008C20EB" w:rsidRDefault="008C20EB">
            <w:pPr>
              <w:pStyle w:val="TableParagraph"/>
              <w:tabs>
                <w:tab w:val="left" w:pos="778"/>
                <w:tab w:val="left" w:pos="779"/>
              </w:tabs>
              <w:spacing w:line="259" w:lineRule="exact"/>
              <w:ind w:left="778"/>
              <w:jc w:val="both"/>
              <w:rPr>
                <w:sz w:val="20"/>
                <w:szCs w:val="20"/>
              </w:rPr>
            </w:pPr>
          </w:p>
          <w:p w14:paraId="40FE16DF" w14:textId="77777777" w:rsidR="008C20EB" w:rsidRDefault="008D25BE">
            <w:pPr>
              <w:pStyle w:val="TableParagraph"/>
              <w:tabs>
                <w:tab w:val="left" w:pos="778"/>
                <w:tab w:val="left" w:pos="779"/>
              </w:tabs>
              <w:spacing w:line="259" w:lineRule="exact"/>
              <w:ind w:left="778"/>
              <w:jc w:val="both"/>
              <w:rPr>
                <w:sz w:val="20"/>
                <w:szCs w:val="20"/>
              </w:rPr>
            </w:pPr>
            <w:r>
              <w:rPr>
                <w:sz w:val="20"/>
                <w:szCs w:val="20"/>
              </w:rPr>
              <w:t>Sustituir en el acápite V. CIFRAS DE BALANCE, en la parte CRÉDITOS INDIRECTOS, se sustituyen las denominaciones de los literales b) y c).</w:t>
            </w:r>
          </w:p>
        </w:tc>
      </w:tr>
      <w:tr w:rsidR="008C20EB" w14:paraId="40FE16F0" w14:textId="77777777">
        <w:trPr>
          <w:trHeight w:val="2775"/>
        </w:trPr>
        <w:tc>
          <w:tcPr>
            <w:tcW w:w="1574" w:type="dxa"/>
          </w:tcPr>
          <w:p w14:paraId="40FE16E1" w14:textId="77777777" w:rsidR="008C20EB" w:rsidRDefault="008D25BE">
            <w:pPr>
              <w:pStyle w:val="TableParagraph"/>
              <w:ind w:left="71" w:right="42"/>
              <w:jc w:val="both"/>
              <w:rPr>
                <w:b/>
                <w:sz w:val="20"/>
                <w:szCs w:val="20"/>
              </w:rPr>
            </w:pPr>
            <w:r>
              <w:rPr>
                <w:b/>
                <w:sz w:val="20"/>
                <w:szCs w:val="20"/>
              </w:rPr>
              <w:t>Resolución SBS N° 5570 - 2019</w:t>
            </w:r>
          </w:p>
        </w:tc>
        <w:tc>
          <w:tcPr>
            <w:tcW w:w="1560" w:type="dxa"/>
          </w:tcPr>
          <w:p w14:paraId="40FE16E2"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27.11.2019</w:t>
            </w:r>
            <w:r>
              <w:rPr>
                <w:b/>
                <w:sz w:val="20"/>
                <w:szCs w:val="20"/>
              </w:rPr>
              <w:tab/>
              <w:t>/</w:t>
            </w:r>
          </w:p>
          <w:p w14:paraId="40FE16E3" w14:textId="77777777" w:rsidR="008C20EB" w:rsidRDefault="008D25BE">
            <w:pPr>
              <w:pStyle w:val="TableParagraph"/>
              <w:tabs>
                <w:tab w:val="left" w:pos="1606"/>
              </w:tabs>
              <w:spacing w:line="243" w:lineRule="exact"/>
              <w:jc w:val="both"/>
              <w:rPr>
                <w:b/>
                <w:sz w:val="20"/>
                <w:szCs w:val="20"/>
              </w:rPr>
            </w:pPr>
            <w:r>
              <w:rPr>
                <w:b/>
                <w:sz w:val="20"/>
                <w:szCs w:val="20"/>
              </w:rPr>
              <w:t>Pub. 28.11.2019)</w:t>
            </w:r>
          </w:p>
        </w:tc>
        <w:tc>
          <w:tcPr>
            <w:tcW w:w="3935" w:type="dxa"/>
          </w:tcPr>
          <w:p w14:paraId="40FE16E4" w14:textId="77777777" w:rsidR="008C20EB" w:rsidRDefault="008D25BE">
            <w:pPr>
              <w:pStyle w:val="TableParagraph"/>
              <w:ind w:left="67" w:right="61"/>
              <w:jc w:val="both"/>
              <w:rPr>
                <w:sz w:val="20"/>
                <w:szCs w:val="20"/>
                <w:lang w:val="es-PE"/>
              </w:rPr>
            </w:pPr>
            <w:r>
              <w:rPr>
                <w:sz w:val="20"/>
                <w:szCs w:val="20"/>
              </w:rPr>
              <w:t xml:space="preserve">Se modifican en los Capítulos III “Catálogo de Cuentas” y IV “Descripción y Dinámica de Cuentas” </w:t>
            </w:r>
            <w:r>
              <w:rPr>
                <w:sz w:val="20"/>
                <w:szCs w:val="20"/>
                <w:lang w:val="es-PE"/>
              </w:rPr>
              <w:t>del Manual de Contabilidad; así como el  Capítulo V “Información complementaria”.</w:t>
            </w:r>
          </w:p>
          <w:p w14:paraId="40FE16E5" w14:textId="77777777" w:rsidR="008C20EB" w:rsidRDefault="008C20EB">
            <w:pPr>
              <w:pStyle w:val="TableParagraph"/>
              <w:ind w:left="67" w:right="61"/>
              <w:jc w:val="both"/>
              <w:rPr>
                <w:sz w:val="20"/>
                <w:szCs w:val="20"/>
                <w:lang w:val="es-PE"/>
              </w:rPr>
            </w:pPr>
          </w:p>
          <w:p w14:paraId="40FE16E6" w14:textId="77777777" w:rsidR="008C20EB" w:rsidRDefault="008D25BE">
            <w:pPr>
              <w:pStyle w:val="TableParagraph"/>
              <w:ind w:left="67" w:right="61"/>
              <w:jc w:val="both"/>
              <w:rPr>
                <w:sz w:val="20"/>
                <w:szCs w:val="20"/>
                <w:lang w:val="es-PE"/>
              </w:rPr>
            </w:pPr>
            <w:r>
              <w:rPr>
                <w:sz w:val="20"/>
                <w:szCs w:val="20"/>
                <w:lang w:val="es-PE"/>
              </w:rPr>
              <w:t xml:space="preserve">La vigencia del instructivo del RCD es a partir de </w:t>
            </w:r>
            <w:r>
              <w:rPr>
                <w:b/>
                <w:sz w:val="20"/>
                <w:szCs w:val="20"/>
                <w:lang w:val="es-PE"/>
              </w:rPr>
              <w:t>enero 2020</w:t>
            </w:r>
            <w:r>
              <w:rPr>
                <w:sz w:val="20"/>
                <w:szCs w:val="20"/>
                <w:lang w:val="es-PE"/>
              </w:rPr>
              <w:t xml:space="preserve">, mientras que la vigencia de las demás modificaciones es a partir de </w:t>
            </w:r>
            <w:r>
              <w:rPr>
                <w:b/>
                <w:sz w:val="20"/>
                <w:szCs w:val="20"/>
                <w:lang w:val="es-PE"/>
              </w:rPr>
              <w:t>noviembre 2020</w:t>
            </w:r>
            <w:r>
              <w:rPr>
                <w:sz w:val="20"/>
                <w:szCs w:val="20"/>
                <w:lang w:val="es-PE"/>
              </w:rPr>
              <w:t>.</w:t>
            </w:r>
          </w:p>
          <w:p w14:paraId="40FE16E7" w14:textId="77777777" w:rsidR="008C20EB" w:rsidRDefault="008C20EB">
            <w:pPr>
              <w:pStyle w:val="TableParagraph"/>
              <w:ind w:left="67" w:right="61"/>
              <w:jc w:val="both"/>
              <w:rPr>
                <w:color w:val="000000"/>
                <w:sz w:val="20"/>
                <w:szCs w:val="20"/>
                <w:lang w:val="es-PE"/>
              </w:rPr>
            </w:pPr>
          </w:p>
          <w:p w14:paraId="40FE16E8" w14:textId="77777777" w:rsidR="008C20EB" w:rsidRDefault="008C20EB">
            <w:pPr>
              <w:pStyle w:val="TableParagraph"/>
              <w:ind w:left="67" w:right="61"/>
              <w:jc w:val="both"/>
              <w:rPr>
                <w:sz w:val="20"/>
                <w:szCs w:val="20"/>
              </w:rPr>
            </w:pPr>
          </w:p>
        </w:tc>
        <w:tc>
          <w:tcPr>
            <w:tcW w:w="8162" w:type="dxa"/>
          </w:tcPr>
          <w:p w14:paraId="40FE16E9" w14:textId="77777777" w:rsidR="008C20EB" w:rsidRDefault="008D25BE">
            <w:pPr>
              <w:pStyle w:val="TableParagraph"/>
              <w:numPr>
                <w:ilvl w:val="0"/>
                <w:numId w:val="41"/>
              </w:numPr>
              <w:tabs>
                <w:tab w:val="left" w:pos="778"/>
                <w:tab w:val="left" w:pos="779"/>
              </w:tabs>
              <w:spacing w:line="259" w:lineRule="exact"/>
              <w:ind w:hanging="693"/>
              <w:jc w:val="both"/>
              <w:rPr>
                <w:color w:val="000000"/>
                <w:sz w:val="20"/>
                <w:szCs w:val="20"/>
                <w:lang w:val="es-PE"/>
              </w:rPr>
            </w:pPr>
            <w:r>
              <w:rPr>
                <w:color w:val="000000"/>
                <w:sz w:val="20"/>
                <w:szCs w:val="20"/>
                <w:lang w:val="es-PE"/>
              </w:rPr>
              <w:t>En los Capítulos III y IV se modifican varias estructuras de cuentas, así como la eliminación, incorporación y sustitución de denominaciones de cuentas y cuentas a mayor nivel.</w:t>
            </w:r>
          </w:p>
          <w:p w14:paraId="40FE16EA" w14:textId="77777777" w:rsidR="008C20EB" w:rsidRDefault="008D25BE">
            <w:pPr>
              <w:pStyle w:val="TableParagraph"/>
              <w:numPr>
                <w:ilvl w:val="0"/>
                <w:numId w:val="41"/>
              </w:numPr>
              <w:tabs>
                <w:tab w:val="left" w:pos="778"/>
                <w:tab w:val="left" w:pos="779"/>
              </w:tabs>
              <w:spacing w:line="259" w:lineRule="exact"/>
              <w:ind w:hanging="693"/>
              <w:jc w:val="both"/>
              <w:rPr>
                <w:color w:val="000000"/>
                <w:sz w:val="20"/>
                <w:szCs w:val="20"/>
                <w:lang w:val="es-PE"/>
              </w:rPr>
            </w:pPr>
            <w:r>
              <w:rPr>
                <w:sz w:val="20"/>
                <w:szCs w:val="20"/>
                <w:lang w:val="es-PE"/>
              </w:rPr>
              <w:t>En el Capítulo V “Información complementaria”, se modifica</w:t>
            </w:r>
            <w:r>
              <w:rPr>
                <w:color w:val="000000"/>
                <w:sz w:val="20"/>
                <w:szCs w:val="20"/>
                <w:lang w:val="es-PE"/>
              </w:rPr>
              <w:t>:</w:t>
            </w:r>
          </w:p>
          <w:p w14:paraId="40FE16EB" w14:textId="77777777" w:rsidR="008C20EB" w:rsidRDefault="008D25BE">
            <w:pPr>
              <w:pStyle w:val="TableParagraph"/>
              <w:numPr>
                <w:ilvl w:val="0"/>
                <w:numId w:val="42"/>
              </w:numPr>
              <w:ind w:right="61"/>
              <w:jc w:val="both"/>
              <w:rPr>
                <w:color w:val="000000"/>
                <w:sz w:val="20"/>
                <w:szCs w:val="20"/>
                <w:lang w:val="es-PE"/>
              </w:rPr>
            </w:pPr>
            <w:r>
              <w:rPr>
                <w:color w:val="000000"/>
                <w:sz w:val="20"/>
                <w:szCs w:val="20"/>
                <w:lang w:val="es-PE"/>
              </w:rPr>
              <w:t>El instructivo y el catálogo de cuentas del RCD.</w:t>
            </w:r>
          </w:p>
          <w:p w14:paraId="40FE16EC" w14:textId="77777777" w:rsidR="008C20EB" w:rsidRDefault="008D25BE">
            <w:pPr>
              <w:pStyle w:val="TableParagraph"/>
              <w:numPr>
                <w:ilvl w:val="0"/>
                <w:numId w:val="42"/>
              </w:numPr>
              <w:ind w:right="61"/>
              <w:jc w:val="both"/>
              <w:rPr>
                <w:color w:val="000000"/>
                <w:sz w:val="20"/>
                <w:szCs w:val="20"/>
                <w:lang w:val="es-PE"/>
              </w:rPr>
            </w:pPr>
            <w:r>
              <w:rPr>
                <w:bCs/>
                <w:sz w:val="20"/>
                <w:szCs w:val="20"/>
                <w:lang w:val="es-PE"/>
              </w:rPr>
              <w:t>Las notas del Reporte N° 4-A1 “Requerimiento de Patrimonio Efectivo Adicional por Ciclo Económico – Empresas que aplican Método Estándar</w:t>
            </w:r>
          </w:p>
          <w:p w14:paraId="40FE16ED" w14:textId="77777777" w:rsidR="008C20EB" w:rsidRDefault="008D25BE">
            <w:pPr>
              <w:pStyle w:val="TableParagraph"/>
              <w:numPr>
                <w:ilvl w:val="0"/>
                <w:numId w:val="42"/>
              </w:numPr>
              <w:ind w:right="61"/>
              <w:jc w:val="both"/>
              <w:rPr>
                <w:color w:val="000000"/>
                <w:sz w:val="20"/>
                <w:szCs w:val="20"/>
                <w:lang w:val="es-PE"/>
              </w:rPr>
            </w:pPr>
            <w:r>
              <w:rPr>
                <w:sz w:val="20"/>
                <w:szCs w:val="20"/>
                <w:lang w:val="es-PE"/>
              </w:rPr>
              <w:t>Reporte 6-A “Tasas de Interés Activas sobre Saldos” y el Reporte N° 6-D “Tasas de Interés Activas de Operaciones Diarias”.</w:t>
            </w:r>
          </w:p>
          <w:p w14:paraId="40FE16EE" w14:textId="77777777" w:rsidR="008C20EB" w:rsidRDefault="008D25BE">
            <w:pPr>
              <w:pStyle w:val="TableParagraph"/>
              <w:numPr>
                <w:ilvl w:val="0"/>
                <w:numId w:val="42"/>
              </w:numPr>
              <w:ind w:right="61"/>
              <w:jc w:val="both"/>
              <w:rPr>
                <w:color w:val="000000"/>
                <w:sz w:val="20"/>
                <w:szCs w:val="20"/>
                <w:lang w:val="es-PE"/>
              </w:rPr>
            </w:pPr>
            <w:r>
              <w:rPr>
                <w:bCs/>
                <w:sz w:val="20"/>
                <w:szCs w:val="20"/>
              </w:rPr>
              <w:t>Reporte 14 “Créditos Según Días de Incumplimiento</w:t>
            </w:r>
          </w:p>
          <w:p w14:paraId="40FE16EF" w14:textId="77777777" w:rsidR="008C20EB" w:rsidRDefault="008C20EB">
            <w:pPr>
              <w:pStyle w:val="TableParagraph"/>
              <w:tabs>
                <w:tab w:val="left" w:pos="778"/>
                <w:tab w:val="left" w:pos="779"/>
              </w:tabs>
              <w:spacing w:line="259" w:lineRule="exact"/>
              <w:ind w:left="778"/>
              <w:jc w:val="both"/>
              <w:rPr>
                <w:sz w:val="20"/>
                <w:szCs w:val="20"/>
              </w:rPr>
            </w:pPr>
          </w:p>
        </w:tc>
      </w:tr>
      <w:tr w:rsidR="008C20EB" w14:paraId="40FE16F9" w14:textId="77777777">
        <w:trPr>
          <w:trHeight w:val="2775"/>
        </w:trPr>
        <w:tc>
          <w:tcPr>
            <w:tcW w:w="1574" w:type="dxa"/>
          </w:tcPr>
          <w:p w14:paraId="40FE16F1" w14:textId="77777777" w:rsidR="008C20EB" w:rsidRDefault="008D25BE">
            <w:pPr>
              <w:pStyle w:val="TableParagraph"/>
              <w:ind w:left="71" w:right="42"/>
              <w:jc w:val="both"/>
              <w:rPr>
                <w:b/>
                <w:sz w:val="20"/>
                <w:szCs w:val="20"/>
              </w:rPr>
            </w:pPr>
            <w:r>
              <w:rPr>
                <w:b/>
                <w:sz w:val="20"/>
                <w:szCs w:val="20"/>
              </w:rPr>
              <w:lastRenderedPageBreak/>
              <w:t>Resolución SBS N° 4838 - 2019</w:t>
            </w:r>
          </w:p>
        </w:tc>
        <w:tc>
          <w:tcPr>
            <w:tcW w:w="1560" w:type="dxa"/>
          </w:tcPr>
          <w:p w14:paraId="40FE16F2"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17.10.2019</w:t>
            </w:r>
            <w:r>
              <w:rPr>
                <w:b/>
                <w:sz w:val="20"/>
                <w:szCs w:val="20"/>
              </w:rPr>
              <w:tab/>
              <w:t>/</w:t>
            </w:r>
          </w:p>
          <w:p w14:paraId="40FE16F3" w14:textId="77777777" w:rsidR="008C20EB" w:rsidRDefault="008D25BE">
            <w:pPr>
              <w:pStyle w:val="TableParagraph"/>
              <w:spacing w:before="2"/>
              <w:jc w:val="both"/>
              <w:rPr>
                <w:b/>
                <w:sz w:val="20"/>
                <w:szCs w:val="20"/>
              </w:rPr>
            </w:pPr>
            <w:r>
              <w:rPr>
                <w:b/>
                <w:sz w:val="20"/>
                <w:szCs w:val="20"/>
              </w:rPr>
              <w:t>Pub. 21.10.2019)</w:t>
            </w:r>
          </w:p>
        </w:tc>
        <w:tc>
          <w:tcPr>
            <w:tcW w:w="3935" w:type="dxa"/>
          </w:tcPr>
          <w:p w14:paraId="40FE16F4" w14:textId="77777777" w:rsidR="008C20EB" w:rsidRDefault="008D25BE">
            <w:pPr>
              <w:pStyle w:val="TableParagraph"/>
              <w:ind w:left="67" w:right="61"/>
              <w:jc w:val="both"/>
              <w:rPr>
                <w:sz w:val="20"/>
                <w:szCs w:val="20"/>
              </w:rPr>
            </w:pPr>
            <w:r>
              <w:rPr>
                <w:sz w:val="20"/>
                <w:szCs w:val="20"/>
              </w:rPr>
              <w:t>Se modifican los Capítulos III y IV del Manual de Contabilidad. Se modifica el Capítulo V del Manual de</w:t>
            </w:r>
            <w:r>
              <w:rPr>
                <w:spacing w:val="1"/>
                <w:sz w:val="20"/>
                <w:szCs w:val="20"/>
              </w:rPr>
              <w:t xml:space="preserve"> </w:t>
            </w:r>
            <w:r>
              <w:rPr>
                <w:sz w:val="20"/>
                <w:szCs w:val="20"/>
              </w:rPr>
              <w:t>Contabilidad, referido al Catálogo de Cuentas del RCD, Anexo 15-B y Reporte 2 A-1.</w:t>
            </w:r>
          </w:p>
          <w:p w14:paraId="40FE16F5" w14:textId="77777777" w:rsidR="008C20EB" w:rsidRDefault="008D25BE">
            <w:pPr>
              <w:pStyle w:val="TableParagraph"/>
              <w:spacing w:before="1" w:line="250" w:lineRule="exact"/>
              <w:ind w:left="67" w:right="62"/>
              <w:jc w:val="both"/>
              <w:rPr>
                <w:b/>
                <w:sz w:val="20"/>
                <w:szCs w:val="20"/>
              </w:rPr>
            </w:pPr>
            <w:r>
              <w:rPr>
                <w:sz w:val="20"/>
                <w:szCs w:val="20"/>
              </w:rPr>
              <w:t xml:space="preserve">La vigencia es a partir de la información de </w:t>
            </w:r>
            <w:r>
              <w:rPr>
                <w:b/>
                <w:sz w:val="20"/>
                <w:szCs w:val="20"/>
              </w:rPr>
              <w:t>noviembre de 2019.</w:t>
            </w:r>
          </w:p>
        </w:tc>
        <w:tc>
          <w:tcPr>
            <w:tcW w:w="8162" w:type="dxa"/>
          </w:tcPr>
          <w:p w14:paraId="40FE16F6" w14:textId="77777777" w:rsidR="008C20EB" w:rsidRDefault="008D25BE">
            <w:pPr>
              <w:pStyle w:val="TableParagraph"/>
              <w:numPr>
                <w:ilvl w:val="0"/>
                <w:numId w:val="41"/>
              </w:numPr>
              <w:tabs>
                <w:tab w:val="left" w:pos="778"/>
                <w:tab w:val="left" w:pos="779"/>
              </w:tabs>
              <w:spacing w:line="259" w:lineRule="exact"/>
              <w:ind w:hanging="693"/>
              <w:jc w:val="both"/>
              <w:rPr>
                <w:sz w:val="20"/>
                <w:szCs w:val="20"/>
              </w:rPr>
            </w:pPr>
            <w:r>
              <w:rPr>
                <w:sz w:val="20"/>
                <w:szCs w:val="20"/>
              </w:rPr>
              <w:t>En los Capítulos III y IV se incorporar cuentas referidas a créditos hipotecarios otorgados bajo la modalidad de Hipoteca Inversa.</w:t>
            </w:r>
          </w:p>
          <w:p w14:paraId="40FE16F7" w14:textId="77777777" w:rsidR="008C20EB" w:rsidRDefault="008D25BE">
            <w:pPr>
              <w:pStyle w:val="TableParagraph"/>
              <w:numPr>
                <w:ilvl w:val="0"/>
                <w:numId w:val="41"/>
              </w:numPr>
              <w:tabs>
                <w:tab w:val="left" w:pos="778"/>
                <w:tab w:val="left" w:pos="779"/>
              </w:tabs>
              <w:spacing w:line="259" w:lineRule="exact"/>
              <w:ind w:hanging="693"/>
              <w:jc w:val="both"/>
              <w:rPr>
                <w:sz w:val="20"/>
                <w:szCs w:val="20"/>
              </w:rPr>
            </w:pPr>
            <w:r>
              <w:rPr>
                <w:sz w:val="20"/>
                <w:szCs w:val="20"/>
              </w:rPr>
              <w:t>En el capítulo V del Manual de Contabilidad se realizaron las siguientes modificaciones:</w:t>
            </w:r>
          </w:p>
          <w:p w14:paraId="40FE16F8" w14:textId="77777777" w:rsidR="008C20EB" w:rsidRDefault="008D25BE">
            <w:pPr>
              <w:pStyle w:val="TableParagraph"/>
              <w:spacing w:before="1"/>
              <w:ind w:left="792" w:right="53"/>
              <w:jc w:val="both"/>
              <w:rPr>
                <w:sz w:val="20"/>
                <w:szCs w:val="20"/>
              </w:rPr>
            </w:pPr>
            <w:r>
              <w:rPr>
                <w:sz w:val="20"/>
                <w:szCs w:val="20"/>
              </w:rPr>
              <w:t>Anexo 6- RCD, Anexo 15-B “Ratio de Cobertura de Liquidez” y Reporte 2-A1 “Activos y Contingentes Ponderados por Riesgo de Crédito – Método Estándar”.</w:t>
            </w:r>
          </w:p>
        </w:tc>
      </w:tr>
      <w:tr w:rsidR="008C20EB" w14:paraId="40FE1707" w14:textId="77777777">
        <w:trPr>
          <w:trHeight w:val="2775"/>
        </w:trPr>
        <w:tc>
          <w:tcPr>
            <w:tcW w:w="1574" w:type="dxa"/>
          </w:tcPr>
          <w:p w14:paraId="40FE16FA" w14:textId="77777777" w:rsidR="008C20EB" w:rsidRDefault="008D25BE">
            <w:pPr>
              <w:pStyle w:val="TableParagraph"/>
              <w:ind w:left="71" w:right="42"/>
              <w:jc w:val="both"/>
              <w:rPr>
                <w:b/>
                <w:sz w:val="20"/>
                <w:szCs w:val="20"/>
              </w:rPr>
            </w:pPr>
            <w:r>
              <w:rPr>
                <w:b/>
                <w:sz w:val="20"/>
                <w:szCs w:val="20"/>
              </w:rPr>
              <w:t>Oficio Múltiple N° 275670-2019</w:t>
            </w:r>
          </w:p>
        </w:tc>
        <w:tc>
          <w:tcPr>
            <w:tcW w:w="1560" w:type="dxa"/>
          </w:tcPr>
          <w:p w14:paraId="40FE16FB" w14:textId="77777777" w:rsidR="008C20EB" w:rsidRDefault="008D25BE">
            <w:pPr>
              <w:pStyle w:val="TableParagraph"/>
              <w:tabs>
                <w:tab w:val="left" w:pos="1606"/>
              </w:tabs>
              <w:spacing w:line="243" w:lineRule="exact"/>
              <w:jc w:val="both"/>
              <w:rPr>
                <w:b/>
                <w:sz w:val="20"/>
                <w:szCs w:val="20"/>
              </w:rPr>
            </w:pPr>
            <w:r>
              <w:rPr>
                <w:b/>
                <w:sz w:val="20"/>
                <w:szCs w:val="20"/>
              </w:rPr>
              <w:t>Pr. 17.07.2019</w:t>
            </w:r>
          </w:p>
        </w:tc>
        <w:tc>
          <w:tcPr>
            <w:tcW w:w="3935" w:type="dxa"/>
          </w:tcPr>
          <w:p w14:paraId="40FE16FC" w14:textId="77777777" w:rsidR="008C20EB" w:rsidRDefault="008D25BE">
            <w:pPr>
              <w:pStyle w:val="TableParagraph"/>
              <w:ind w:left="67" w:right="61"/>
              <w:jc w:val="both"/>
              <w:rPr>
                <w:color w:val="000000"/>
                <w:sz w:val="20"/>
                <w:szCs w:val="20"/>
                <w:lang w:val="es-PE"/>
              </w:rPr>
            </w:pPr>
            <w:r>
              <w:rPr>
                <w:color w:val="000000"/>
                <w:sz w:val="20"/>
                <w:szCs w:val="20"/>
                <w:lang w:val="es-PE"/>
              </w:rPr>
              <w:t xml:space="preserve">Se incorporan y se habilitan nuevos códigos, correspondientes a los documentos válidos para la celebración de actos jurídicos de clientes con su representada, en el campo A-15 “Tipo de documento de identidad” del Reporte Crediticio de Deudores (RCD)”. </w:t>
            </w:r>
            <w:r>
              <w:rPr>
                <w:sz w:val="20"/>
                <w:szCs w:val="20"/>
              </w:rPr>
              <w:t>Dicha incorporación es vigente a partir de la     información     correspondiente   de julio 2019.</w:t>
            </w:r>
          </w:p>
          <w:p w14:paraId="40FE16FD" w14:textId="77777777" w:rsidR="008C20EB" w:rsidRDefault="008D25BE">
            <w:pPr>
              <w:pStyle w:val="TableParagraph"/>
              <w:ind w:left="67" w:right="61"/>
              <w:jc w:val="both"/>
              <w:rPr>
                <w:sz w:val="20"/>
                <w:szCs w:val="20"/>
              </w:rPr>
            </w:pPr>
            <w:r>
              <w:rPr>
                <w:sz w:val="20"/>
                <w:szCs w:val="20"/>
              </w:rPr>
              <w:t xml:space="preserve"> </w:t>
            </w:r>
          </w:p>
        </w:tc>
        <w:tc>
          <w:tcPr>
            <w:tcW w:w="8162" w:type="dxa"/>
          </w:tcPr>
          <w:p w14:paraId="40FE16FE" w14:textId="77777777" w:rsidR="008C20EB" w:rsidRDefault="008D25BE">
            <w:pPr>
              <w:pStyle w:val="TableParagraph"/>
              <w:ind w:left="435" w:right="61"/>
              <w:jc w:val="both"/>
              <w:rPr>
                <w:sz w:val="20"/>
                <w:szCs w:val="20"/>
              </w:rPr>
            </w:pPr>
            <w:r>
              <w:rPr>
                <w:sz w:val="20"/>
                <w:szCs w:val="20"/>
              </w:rPr>
              <w:t>Se incorporan nuevos códigos de tipo de documento de identidad habilitados en el campo A-15 “Tipo de documento de identidad” del Reporte Crediticio de Deudores (RCD)”:</w:t>
            </w:r>
          </w:p>
          <w:p w14:paraId="40FE16FF" w14:textId="77777777" w:rsidR="008C20EB" w:rsidRDefault="008C20EB">
            <w:pPr>
              <w:pStyle w:val="TableParagraph"/>
              <w:ind w:left="435" w:right="61"/>
              <w:jc w:val="both"/>
              <w:rPr>
                <w:sz w:val="20"/>
                <w:szCs w:val="20"/>
              </w:rPr>
            </w:pPr>
          </w:p>
          <w:p w14:paraId="40FE1700" w14:textId="77777777" w:rsidR="008C20EB" w:rsidRDefault="008D25BE">
            <w:pPr>
              <w:pStyle w:val="TableParagraph"/>
              <w:ind w:left="720" w:right="61"/>
              <w:jc w:val="both"/>
              <w:rPr>
                <w:b/>
                <w:bCs/>
                <w:sz w:val="20"/>
                <w:szCs w:val="20"/>
              </w:rPr>
            </w:pPr>
            <w:r>
              <w:rPr>
                <w:b/>
                <w:bCs/>
                <w:sz w:val="20"/>
                <w:szCs w:val="20"/>
              </w:rPr>
              <w:t xml:space="preserve">Código: </w:t>
            </w:r>
            <w:r>
              <w:rPr>
                <w:sz w:val="20"/>
                <w:szCs w:val="20"/>
              </w:rPr>
              <w:t>7</w:t>
            </w:r>
          </w:p>
          <w:p w14:paraId="40FE1701" w14:textId="77777777" w:rsidR="008C20EB" w:rsidRDefault="008D25BE">
            <w:pPr>
              <w:pStyle w:val="TableParagraph"/>
              <w:ind w:left="720" w:right="61"/>
              <w:jc w:val="both"/>
              <w:rPr>
                <w:sz w:val="20"/>
                <w:szCs w:val="20"/>
              </w:rPr>
            </w:pPr>
            <w:r>
              <w:rPr>
                <w:b/>
                <w:bCs/>
                <w:sz w:val="20"/>
                <w:szCs w:val="20"/>
              </w:rPr>
              <w:t xml:space="preserve">Descripción: </w:t>
            </w:r>
            <w:r>
              <w:rPr>
                <w:sz w:val="20"/>
                <w:szCs w:val="20"/>
              </w:rPr>
              <w:t>Carnet de Identidad emitido por el Ministerio de Relaciones Exteriores.</w:t>
            </w:r>
          </w:p>
          <w:p w14:paraId="40FE1702" w14:textId="77777777" w:rsidR="008C20EB" w:rsidRDefault="008C20EB">
            <w:pPr>
              <w:pStyle w:val="TableParagraph"/>
              <w:ind w:left="720" w:right="61"/>
              <w:jc w:val="both"/>
              <w:rPr>
                <w:sz w:val="20"/>
                <w:szCs w:val="20"/>
              </w:rPr>
            </w:pPr>
          </w:p>
          <w:p w14:paraId="40FE1703" w14:textId="77777777" w:rsidR="008C20EB" w:rsidRDefault="008D25BE">
            <w:pPr>
              <w:pStyle w:val="TableParagraph"/>
              <w:ind w:left="720" w:right="61"/>
              <w:jc w:val="both"/>
              <w:rPr>
                <w:b/>
                <w:bCs/>
                <w:sz w:val="20"/>
                <w:szCs w:val="20"/>
              </w:rPr>
            </w:pPr>
            <w:r>
              <w:rPr>
                <w:b/>
                <w:bCs/>
                <w:sz w:val="20"/>
                <w:szCs w:val="20"/>
              </w:rPr>
              <w:t xml:space="preserve">Código: </w:t>
            </w:r>
            <w:r>
              <w:rPr>
                <w:sz w:val="20"/>
                <w:szCs w:val="20"/>
              </w:rPr>
              <w:t>8</w:t>
            </w:r>
          </w:p>
          <w:p w14:paraId="40FE1704" w14:textId="77777777" w:rsidR="008C20EB" w:rsidRDefault="008D25BE">
            <w:pPr>
              <w:pStyle w:val="TableParagraph"/>
              <w:ind w:left="720" w:right="61"/>
              <w:jc w:val="both"/>
              <w:rPr>
                <w:sz w:val="20"/>
                <w:szCs w:val="20"/>
              </w:rPr>
            </w:pPr>
            <w:r>
              <w:rPr>
                <w:b/>
                <w:bCs/>
                <w:sz w:val="20"/>
                <w:szCs w:val="20"/>
              </w:rPr>
              <w:t xml:space="preserve">Descripción: </w:t>
            </w:r>
            <w:r>
              <w:rPr>
                <w:sz w:val="20"/>
                <w:szCs w:val="20"/>
              </w:rPr>
              <w:t>Carnet de Permiso Temporal de Permanencia.</w:t>
            </w:r>
          </w:p>
          <w:p w14:paraId="40FE1705" w14:textId="77777777" w:rsidR="008C20EB" w:rsidRDefault="008C20EB">
            <w:pPr>
              <w:pStyle w:val="TableParagraph"/>
              <w:ind w:right="61"/>
              <w:jc w:val="both"/>
              <w:rPr>
                <w:sz w:val="20"/>
                <w:szCs w:val="20"/>
              </w:rPr>
            </w:pPr>
          </w:p>
          <w:p w14:paraId="40FE1706" w14:textId="77777777" w:rsidR="008C20EB" w:rsidRDefault="008C20EB">
            <w:pPr>
              <w:pStyle w:val="TableParagraph"/>
              <w:tabs>
                <w:tab w:val="left" w:pos="778"/>
                <w:tab w:val="left" w:pos="779"/>
              </w:tabs>
              <w:spacing w:line="259" w:lineRule="exact"/>
              <w:jc w:val="both"/>
              <w:rPr>
                <w:sz w:val="20"/>
                <w:szCs w:val="20"/>
              </w:rPr>
            </w:pPr>
          </w:p>
        </w:tc>
      </w:tr>
      <w:tr w:rsidR="008C20EB" w14:paraId="40FE1710" w14:textId="77777777">
        <w:trPr>
          <w:trHeight w:val="2775"/>
        </w:trPr>
        <w:tc>
          <w:tcPr>
            <w:tcW w:w="1574" w:type="dxa"/>
          </w:tcPr>
          <w:p w14:paraId="40FE1708" w14:textId="77777777" w:rsidR="008C20EB" w:rsidRDefault="008D25BE">
            <w:pPr>
              <w:pStyle w:val="TableParagraph"/>
              <w:ind w:left="71" w:right="42"/>
              <w:jc w:val="both"/>
              <w:rPr>
                <w:b/>
                <w:sz w:val="20"/>
                <w:szCs w:val="20"/>
              </w:rPr>
            </w:pPr>
            <w:r>
              <w:rPr>
                <w:b/>
                <w:sz w:val="20"/>
                <w:szCs w:val="20"/>
              </w:rPr>
              <w:t>Resolución SBS N° 2405 - 2019</w:t>
            </w:r>
          </w:p>
        </w:tc>
        <w:tc>
          <w:tcPr>
            <w:tcW w:w="1560" w:type="dxa"/>
          </w:tcPr>
          <w:p w14:paraId="40FE1709" w14:textId="77777777" w:rsidR="008C20EB" w:rsidRDefault="008D25BE">
            <w:pPr>
              <w:pStyle w:val="TableParagraph"/>
              <w:tabs>
                <w:tab w:val="left" w:pos="1606"/>
              </w:tabs>
              <w:spacing w:line="243" w:lineRule="exact"/>
              <w:jc w:val="both"/>
              <w:rPr>
                <w:b/>
                <w:sz w:val="20"/>
                <w:szCs w:val="20"/>
              </w:rPr>
            </w:pPr>
            <w:r>
              <w:rPr>
                <w:b/>
                <w:sz w:val="20"/>
                <w:szCs w:val="20"/>
              </w:rPr>
              <w:t xml:space="preserve">(Pr.  </w:t>
            </w:r>
            <w:r>
              <w:rPr>
                <w:b/>
                <w:spacing w:val="44"/>
                <w:sz w:val="20"/>
                <w:szCs w:val="20"/>
              </w:rPr>
              <w:t xml:space="preserve"> </w:t>
            </w:r>
            <w:r>
              <w:rPr>
                <w:b/>
                <w:sz w:val="20"/>
                <w:szCs w:val="20"/>
              </w:rPr>
              <w:t>30.05.2019</w:t>
            </w:r>
            <w:r>
              <w:rPr>
                <w:b/>
                <w:sz w:val="20"/>
                <w:szCs w:val="20"/>
              </w:rPr>
              <w:tab/>
              <w:t>/</w:t>
            </w:r>
          </w:p>
          <w:p w14:paraId="40FE170A" w14:textId="77777777" w:rsidR="008C20EB" w:rsidRDefault="008D25BE">
            <w:pPr>
              <w:pStyle w:val="TableParagraph"/>
              <w:spacing w:before="2"/>
              <w:jc w:val="both"/>
              <w:rPr>
                <w:b/>
                <w:sz w:val="20"/>
                <w:szCs w:val="20"/>
              </w:rPr>
            </w:pPr>
            <w:r>
              <w:rPr>
                <w:b/>
                <w:sz w:val="20"/>
                <w:szCs w:val="20"/>
              </w:rPr>
              <w:t>Pub. 31.05.2019)</w:t>
            </w:r>
          </w:p>
        </w:tc>
        <w:tc>
          <w:tcPr>
            <w:tcW w:w="3935" w:type="dxa"/>
          </w:tcPr>
          <w:p w14:paraId="40FE170B" w14:textId="77777777" w:rsidR="008C20EB" w:rsidRDefault="008D25BE">
            <w:pPr>
              <w:pStyle w:val="TableParagraph"/>
              <w:ind w:left="67" w:right="61"/>
              <w:jc w:val="both"/>
              <w:rPr>
                <w:sz w:val="20"/>
                <w:szCs w:val="20"/>
              </w:rPr>
            </w:pPr>
            <w:r>
              <w:rPr>
                <w:sz w:val="20"/>
                <w:szCs w:val="20"/>
              </w:rPr>
              <w:t>Se elimina el Anexo N° 5 – C “Informe de Clasificación de Cartera Transferida en Fideicomiso”, el Anexo N° 5 – C’ “Resumen de Provisiones Procíclicas para la Cartera Transferida en Fideicomiso” y el Reporte N° 33 “Riesgo Social y Ambiental”. Se modifica el plazo máximo para remisión de anexos del Capítulo V del Manual de</w:t>
            </w:r>
            <w:r>
              <w:rPr>
                <w:spacing w:val="1"/>
                <w:sz w:val="20"/>
                <w:szCs w:val="20"/>
              </w:rPr>
              <w:t xml:space="preserve"> </w:t>
            </w:r>
            <w:r>
              <w:rPr>
                <w:sz w:val="20"/>
                <w:szCs w:val="20"/>
              </w:rPr>
              <w:t>Contabilidad.</w:t>
            </w:r>
          </w:p>
          <w:p w14:paraId="40FE170C" w14:textId="77777777" w:rsidR="008C20EB" w:rsidRDefault="008D25BE">
            <w:pPr>
              <w:pStyle w:val="TableParagraph"/>
              <w:spacing w:before="1" w:line="250" w:lineRule="exact"/>
              <w:ind w:left="67" w:right="62"/>
              <w:jc w:val="both"/>
              <w:rPr>
                <w:b/>
                <w:sz w:val="20"/>
                <w:szCs w:val="20"/>
              </w:rPr>
            </w:pPr>
            <w:r>
              <w:rPr>
                <w:sz w:val="20"/>
                <w:szCs w:val="20"/>
              </w:rPr>
              <w:t xml:space="preserve">La vigencia es a partir del </w:t>
            </w:r>
            <w:r>
              <w:rPr>
                <w:b/>
                <w:sz w:val="20"/>
                <w:szCs w:val="20"/>
              </w:rPr>
              <w:t>01 de junio del 2019.</w:t>
            </w:r>
          </w:p>
        </w:tc>
        <w:tc>
          <w:tcPr>
            <w:tcW w:w="8162" w:type="dxa"/>
          </w:tcPr>
          <w:p w14:paraId="40FE170D" w14:textId="77777777" w:rsidR="008C20EB" w:rsidRDefault="008D25BE">
            <w:pPr>
              <w:pStyle w:val="TableParagraph"/>
              <w:numPr>
                <w:ilvl w:val="0"/>
                <w:numId w:val="41"/>
              </w:numPr>
              <w:tabs>
                <w:tab w:val="left" w:pos="778"/>
                <w:tab w:val="left" w:pos="779"/>
              </w:tabs>
              <w:spacing w:line="259" w:lineRule="exact"/>
              <w:ind w:hanging="693"/>
              <w:jc w:val="both"/>
              <w:rPr>
                <w:sz w:val="20"/>
                <w:szCs w:val="20"/>
              </w:rPr>
            </w:pPr>
            <w:r>
              <w:rPr>
                <w:sz w:val="20"/>
                <w:szCs w:val="20"/>
              </w:rPr>
              <w:t>En</w:t>
            </w:r>
            <w:r>
              <w:rPr>
                <w:spacing w:val="-5"/>
                <w:sz w:val="20"/>
                <w:szCs w:val="20"/>
              </w:rPr>
              <w:t xml:space="preserve"> </w:t>
            </w:r>
            <w:r>
              <w:rPr>
                <w:sz w:val="20"/>
                <w:szCs w:val="20"/>
              </w:rPr>
              <w:t>el</w:t>
            </w:r>
            <w:r>
              <w:rPr>
                <w:spacing w:val="-7"/>
                <w:sz w:val="20"/>
                <w:szCs w:val="20"/>
              </w:rPr>
              <w:t xml:space="preserve"> </w:t>
            </w:r>
            <w:r>
              <w:rPr>
                <w:sz w:val="20"/>
                <w:szCs w:val="20"/>
              </w:rPr>
              <w:t>capítulo</w:t>
            </w:r>
            <w:r>
              <w:rPr>
                <w:spacing w:val="-5"/>
                <w:sz w:val="20"/>
                <w:szCs w:val="20"/>
              </w:rPr>
              <w:t xml:space="preserve"> </w:t>
            </w:r>
            <w:r>
              <w:rPr>
                <w:sz w:val="20"/>
                <w:szCs w:val="20"/>
              </w:rPr>
              <w:t>V</w:t>
            </w:r>
            <w:r>
              <w:rPr>
                <w:spacing w:val="-1"/>
                <w:sz w:val="20"/>
                <w:szCs w:val="20"/>
              </w:rPr>
              <w:t xml:space="preserve"> </w:t>
            </w:r>
            <w:r>
              <w:rPr>
                <w:sz w:val="20"/>
                <w:szCs w:val="20"/>
              </w:rPr>
              <w:t>del</w:t>
            </w:r>
            <w:r>
              <w:rPr>
                <w:spacing w:val="-2"/>
                <w:sz w:val="20"/>
                <w:szCs w:val="20"/>
              </w:rPr>
              <w:t xml:space="preserve"> </w:t>
            </w:r>
            <w:r>
              <w:rPr>
                <w:sz w:val="20"/>
                <w:szCs w:val="20"/>
              </w:rPr>
              <w:t>Manual</w:t>
            </w:r>
            <w:r>
              <w:rPr>
                <w:spacing w:val="-6"/>
                <w:sz w:val="20"/>
                <w:szCs w:val="20"/>
              </w:rPr>
              <w:t xml:space="preserve"> </w:t>
            </w:r>
            <w:r>
              <w:rPr>
                <w:sz w:val="20"/>
                <w:szCs w:val="20"/>
              </w:rPr>
              <w:t>de</w:t>
            </w:r>
            <w:r>
              <w:rPr>
                <w:spacing w:val="-5"/>
                <w:sz w:val="20"/>
                <w:szCs w:val="20"/>
              </w:rPr>
              <w:t xml:space="preserve"> </w:t>
            </w:r>
            <w:r>
              <w:rPr>
                <w:sz w:val="20"/>
                <w:szCs w:val="20"/>
              </w:rPr>
              <w:t>Contabilidad se</w:t>
            </w:r>
            <w:r>
              <w:rPr>
                <w:spacing w:val="-5"/>
                <w:sz w:val="20"/>
                <w:szCs w:val="20"/>
              </w:rPr>
              <w:t xml:space="preserve"> </w:t>
            </w:r>
            <w:r>
              <w:rPr>
                <w:sz w:val="20"/>
                <w:szCs w:val="20"/>
              </w:rPr>
              <w:t>realizaron</w:t>
            </w:r>
            <w:r>
              <w:rPr>
                <w:spacing w:val="-5"/>
                <w:sz w:val="20"/>
                <w:szCs w:val="20"/>
              </w:rPr>
              <w:t xml:space="preserve"> </w:t>
            </w:r>
            <w:r>
              <w:rPr>
                <w:sz w:val="20"/>
                <w:szCs w:val="20"/>
              </w:rPr>
              <w:t>las</w:t>
            </w:r>
            <w:r>
              <w:rPr>
                <w:spacing w:val="-4"/>
                <w:sz w:val="20"/>
                <w:szCs w:val="20"/>
              </w:rPr>
              <w:t xml:space="preserve"> </w:t>
            </w:r>
            <w:r>
              <w:rPr>
                <w:sz w:val="20"/>
                <w:szCs w:val="20"/>
              </w:rPr>
              <w:t>siguientes</w:t>
            </w:r>
            <w:r>
              <w:rPr>
                <w:spacing w:val="-3"/>
                <w:sz w:val="20"/>
                <w:szCs w:val="20"/>
              </w:rPr>
              <w:t xml:space="preserve"> </w:t>
            </w:r>
            <w:r>
              <w:rPr>
                <w:sz w:val="20"/>
                <w:szCs w:val="20"/>
              </w:rPr>
              <w:t>modificaciones:</w:t>
            </w:r>
          </w:p>
          <w:p w14:paraId="40FE170E" w14:textId="77777777" w:rsidR="008C20EB" w:rsidRDefault="008D25BE">
            <w:pPr>
              <w:pStyle w:val="TableParagraph"/>
              <w:ind w:left="792" w:right="60"/>
              <w:jc w:val="both"/>
              <w:rPr>
                <w:sz w:val="20"/>
                <w:szCs w:val="20"/>
              </w:rPr>
            </w:pPr>
            <w:r>
              <w:rPr>
                <w:sz w:val="20"/>
                <w:szCs w:val="20"/>
              </w:rPr>
              <w:t>Se eliminaron el Anexo N° 5 – C “Informe de Clasificación de Cartera Transferida en Fideicomiso”, el Anexo N° 5 – C’ “Resumen de Provisiones Procíclicas para la Cartera Transferida en Fideicomiso” y el Reporte N° 33 “Riesgo Social y Ambiental”.</w:t>
            </w:r>
          </w:p>
          <w:p w14:paraId="40FE170F" w14:textId="77777777" w:rsidR="008C20EB" w:rsidRDefault="008D25BE">
            <w:pPr>
              <w:pStyle w:val="TableParagraph"/>
              <w:spacing w:before="1"/>
              <w:ind w:left="792" w:right="53"/>
              <w:jc w:val="both"/>
              <w:rPr>
                <w:sz w:val="20"/>
                <w:szCs w:val="20"/>
              </w:rPr>
            </w:pPr>
            <w:r>
              <w:rPr>
                <w:sz w:val="20"/>
                <w:szCs w:val="20"/>
              </w:rPr>
              <w:t>Se modificó el plazo máximo para la remisión del Anexo N° 9 “Resultados de Modelos de Medición del Riesgo de Mercado” y Anexo N° 16 – A “Cuadro de Liquidez por plazo de vencimiento” a la periodicidad mensual, y el Anexo N° 16 – B “Simulación de escenario de estrés y plan de contingencia” a la periodicidad trimestral.</w:t>
            </w:r>
          </w:p>
        </w:tc>
      </w:tr>
      <w:tr w:rsidR="008C20EB" w14:paraId="40FE1717" w14:textId="77777777">
        <w:trPr>
          <w:trHeight w:val="1516"/>
        </w:trPr>
        <w:tc>
          <w:tcPr>
            <w:tcW w:w="1574" w:type="dxa"/>
          </w:tcPr>
          <w:p w14:paraId="40FE1711" w14:textId="77777777" w:rsidR="008C20EB" w:rsidRDefault="008D25BE">
            <w:pPr>
              <w:pStyle w:val="TableParagraph"/>
              <w:ind w:left="71" w:right="42"/>
              <w:jc w:val="both"/>
              <w:rPr>
                <w:b/>
                <w:sz w:val="20"/>
                <w:szCs w:val="20"/>
              </w:rPr>
            </w:pPr>
            <w:r>
              <w:rPr>
                <w:b/>
                <w:sz w:val="20"/>
                <w:szCs w:val="20"/>
              </w:rPr>
              <w:t>Resolución SBS N° 1884 - 2019</w:t>
            </w:r>
          </w:p>
        </w:tc>
        <w:tc>
          <w:tcPr>
            <w:tcW w:w="1560" w:type="dxa"/>
          </w:tcPr>
          <w:p w14:paraId="40FE1712" w14:textId="77777777" w:rsidR="008C20EB" w:rsidRDefault="008D25BE">
            <w:pPr>
              <w:pStyle w:val="TableParagraph"/>
              <w:tabs>
                <w:tab w:val="left" w:pos="570"/>
              </w:tabs>
              <w:spacing w:line="246" w:lineRule="exact"/>
              <w:jc w:val="both"/>
              <w:rPr>
                <w:b/>
                <w:sz w:val="20"/>
                <w:szCs w:val="20"/>
              </w:rPr>
            </w:pPr>
            <w:r>
              <w:rPr>
                <w:b/>
                <w:sz w:val="20"/>
                <w:szCs w:val="20"/>
              </w:rPr>
              <w:t>(Pr.</w:t>
            </w:r>
            <w:r>
              <w:rPr>
                <w:b/>
                <w:sz w:val="20"/>
                <w:szCs w:val="20"/>
              </w:rPr>
              <w:tab/>
              <w:t>02.05.2019</w:t>
            </w:r>
            <w:r>
              <w:rPr>
                <w:b/>
                <w:spacing w:val="29"/>
                <w:sz w:val="20"/>
                <w:szCs w:val="20"/>
              </w:rPr>
              <w:t xml:space="preserve"> </w:t>
            </w:r>
            <w:r>
              <w:rPr>
                <w:b/>
                <w:sz w:val="20"/>
                <w:szCs w:val="20"/>
              </w:rPr>
              <w:t>/</w:t>
            </w:r>
          </w:p>
          <w:p w14:paraId="40FE1713" w14:textId="77777777" w:rsidR="008C20EB" w:rsidRDefault="008D25BE">
            <w:pPr>
              <w:pStyle w:val="TableParagraph"/>
              <w:spacing w:line="251" w:lineRule="exact"/>
              <w:jc w:val="both"/>
              <w:rPr>
                <w:b/>
                <w:sz w:val="20"/>
                <w:szCs w:val="20"/>
              </w:rPr>
            </w:pPr>
            <w:r>
              <w:rPr>
                <w:b/>
                <w:sz w:val="20"/>
                <w:szCs w:val="20"/>
              </w:rPr>
              <w:t>Pub. 03.05.2019)</w:t>
            </w:r>
          </w:p>
        </w:tc>
        <w:tc>
          <w:tcPr>
            <w:tcW w:w="3935" w:type="dxa"/>
          </w:tcPr>
          <w:p w14:paraId="40FE1714" w14:textId="77777777" w:rsidR="008C20EB" w:rsidRDefault="008D25BE">
            <w:pPr>
              <w:pStyle w:val="TableParagraph"/>
              <w:ind w:left="67" w:right="60"/>
              <w:jc w:val="both"/>
              <w:rPr>
                <w:sz w:val="20"/>
                <w:szCs w:val="20"/>
              </w:rPr>
            </w:pPr>
            <w:r>
              <w:rPr>
                <w:sz w:val="20"/>
                <w:szCs w:val="20"/>
              </w:rPr>
              <w:t>Se modificó el Capítulo V “Información Complementaria” del Manual de Contabilidad para las empresas del Sistema Financiero.</w:t>
            </w:r>
          </w:p>
          <w:p w14:paraId="40FE1715" w14:textId="77777777" w:rsidR="008C20EB" w:rsidRDefault="008D25BE">
            <w:pPr>
              <w:pStyle w:val="TableParagraph"/>
              <w:spacing w:line="254" w:lineRule="exact"/>
              <w:ind w:left="67" w:right="62"/>
              <w:jc w:val="both"/>
              <w:rPr>
                <w:sz w:val="20"/>
                <w:szCs w:val="20"/>
              </w:rPr>
            </w:pPr>
            <w:r>
              <w:rPr>
                <w:sz w:val="20"/>
                <w:szCs w:val="20"/>
              </w:rPr>
              <w:t xml:space="preserve">La vigencia es a partir del </w:t>
            </w:r>
            <w:r>
              <w:rPr>
                <w:b/>
                <w:sz w:val="20"/>
                <w:szCs w:val="20"/>
              </w:rPr>
              <w:t xml:space="preserve">04 de junio del 2019 </w:t>
            </w:r>
            <w:r>
              <w:rPr>
                <w:sz w:val="20"/>
                <w:szCs w:val="20"/>
              </w:rPr>
              <w:t>(día siguiente a la publicación).</w:t>
            </w:r>
          </w:p>
        </w:tc>
        <w:tc>
          <w:tcPr>
            <w:tcW w:w="8162" w:type="dxa"/>
          </w:tcPr>
          <w:p w14:paraId="40FE1716" w14:textId="77777777" w:rsidR="008C20EB" w:rsidRDefault="008D25BE">
            <w:pPr>
              <w:pStyle w:val="TableParagraph"/>
              <w:numPr>
                <w:ilvl w:val="0"/>
                <w:numId w:val="43"/>
              </w:numPr>
              <w:tabs>
                <w:tab w:val="left" w:pos="778"/>
                <w:tab w:val="left" w:pos="779"/>
              </w:tabs>
              <w:ind w:right="61" w:hanging="706"/>
              <w:jc w:val="both"/>
              <w:rPr>
                <w:sz w:val="20"/>
                <w:szCs w:val="20"/>
              </w:rPr>
            </w:pPr>
            <w:r>
              <w:rPr>
                <w:sz w:val="20"/>
                <w:szCs w:val="20"/>
              </w:rPr>
              <w:t>Se sustituyó el numeral 11.3 y 11.4 de la Sección I “Límites Globales” del Reporte N° 13 “Control de Límites Globales e Individuales Aplicables a las Empresas del Sistema Financiero” del Capítulo V “Información Complementaria” del Manual de Contabilidad para las Empresas del Sistema</w:t>
            </w:r>
            <w:r>
              <w:rPr>
                <w:spacing w:val="-12"/>
                <w:sz w:val="20"/>
                <w:szCs w:val="20"/>
              </w:rPr>
              <w:t xml:space="preserve"> </w:t>
            </w:r>
            <w:r>
              <w:rPr>
                <w:sz w:val="20"/>
                <w:szCs w:val="20"/>
              </w:rPr>
              <w:t>Financiero.</w:t>
            </w:r>
          </w:p>
        </w:tc>
      </w:tr>
      <w:tr w:rsidR="008C20EB" w14:paraId="40FE1721" w14:textId="77777777">
        <w:trPr>
          <w:trHeight w:val="3028"/>
        </w:trPr>
        <w:tc>
          <w:tcPr>
            <w:tcW w:w="1574" w:type="dxa"/>
          </w:tcPr>
          <w:p w14:paraId="40FE1718" w14:textId="77777777" w:rsidR="008C20EB" w:rsidRDefault="008D25BE">
            <w:pPr>
              <w:pStyle w:val="TableParagraph"/>
              <w:spacing w:line="242" w:lineRule="auto"/>
              <w:ind w:left="71" w:right="42"/>
              <w:jc w:val="both"/>
              <w:rPr>
                <w:b/>
                <w:sz w:val="20"/>
                <w:szCs w:val="20"/>
              </w:rPr>
            </w:pPr>
            <w:r>
              <w:rPr>
                <w:b/>
                <w:sz w:val="20"/>
                <w:szCs w:val="20"/>
              </w:rPr>
              <w:lastRenderedPageBreak/>
              <w:t>Resolución SBS N° 682 - 2019</w:t>
            </w:r>
          </w:p>
        </w:tc>
        <w:tc>
          <w:tcPr>
            <w:tcW w:w="1560" w:type="dxa"/>
          </w:tcPr>
          <w:p w14:paraId="40FE1719" w14:textId="77777777" w:rsidR="008C20EB" w:rsidRDefault="008D25BE">
            <w:pPr>
              <w:pStyle w:val="TableParagraph"/>
              <w:tabs>
                <w:tab w:val="left" w:pos="1606"/>
              </w:tabs>
              <w:spacing w:line="242" w:lineRule="exact"/>
              <w:jc w:val="both"/>
              <w:rPr>
                <w:b/>
                <w:sz w:val="20"/>
                <w:szCs w:val="20"/>
              </w:rPr>
            </w:pPr>
            <w:r>
              <w:rPr>
                <w:b/>
                <w:sz w:val="20"/>
                <w:szCs w:val="20"/>
              </w:rPr>
              <w:t xml:space="preserve">(Pr.  </w:t>
            </w:r>
            <w:r>
              <w:rPr>
                <w:b/>
                <w:spacing w:val="44"/>
                <w:sz w:val="20"/>
                <w:szCs w:val="20"/>
              </w:rPr>
              <w:t xml:space="preserve"> </w:t>
            </w:r>
            <w:r>
              <w:rPr>
                <w:b/>
                <w:sz w:val="20"/>
                <w:szCs w:val="20"/>
              </w:rPr>
              <w:t>20.02.2019</w:t>
            </w:r>
            <w:r>
              <w:rPr>
                <w:b/>
                <w:sz w:val="20"/>
                <w:szCs w:val="20"/>
              </w:rPr>
              <w:tab/>
              <w:t>/</w:t>
            </w:r>
          </w:p>
          <w:p w14:paraId="40FE171A" w14:textId="77777777" w:rsidR="008C20EB" w:rsidRDefault="008D25BE">
            <w:pPr>
              <w:pStyle w:val="TableParagraph"/>
              <w:spacing w:before="2"/>
              <w:jc w:val="both"/>
              <w:rPr>
                <w:b/>
                <w:sz w:val="20"/>
                <w:szCs w:val="20"/>
              </w:rPr>
            </w:pPr>
            <w:r>
              <w:rPr>
                <w:b/>
                <w:sz w:val="20"/>
                <w:szCs w:val="20"/>
              </w:rPr>
              <w:t>Pub. 21.02.2019)</w:t>
            </w:r>
          </w:p>
        </w:tc>
        <w:tc>
          <w:tcPr>
            <w:tcW w:w="3935" w:type="dxa"/>
          </w:tcPr>
          <w:p w14:paraId="40FE171B" w14:textId="77777777" w:rsidR="008C20EB" w:rsidRDefault="008D25BE">
            <w:pPr>
              <w:pStyle w:val="TableParagraph"/>
              <w:ind w:left="67" w:right="61"/>
              <w:jc w:val="both"/>
              <w:rPr>
                <w:sz w:val="20"/>
                <w:szCs w:val="20"/>
              </w:rPr>
            </w:pPr>
            <w:r>
              <w:rPr>
                <w:sz w:val="20"/>
                <w:szCs w:val="20"/>
              </w:rPr>
              <w:t>Se modifica el Reglamento para la Gestión del Riesgo de Liquidez y, consecuentemente, los anexos referidos a la gestión de dicho riesgo que forma parte del Manual de Contabilidad para las empresas del Sistema</w:t>
            </w:r>
            <w:r>
              <w:rPr>
                <w:spacing w:val="-12"/>
                <w:sz w:val="20"/>
                <w:szCs w:val="20"/>
              </w:rPr>
              <w:t xml:space="preserve"> </w:t>
            </w:r>
            <w:r>
              <w:rPr>
                <w:sz w:val="20"/>
                <w:szCs w:val="20"/>
              </w:rPr>
              <w:t>Financiero.</w:t>
            </w:r>
          </w:p>
          <w:p w14:paraId="40FE171C" w14:textId="77777777" w:rsidR="008C20EB" w:rsidRDefault="008D25BE">
            <w:pPr>
              <w:pStyle w:val="TableParagraph"/>
              <w:ind w:left="67" w:right="61"/>
              <w:jc w:val="both"/>
              <w:rPr>
                <w:sz w:val="20"/>
                <w:szCs w:val="20"/>
              </w:rPr>
            </w:pPr>
            <w:r>
              <w:rPr>
                <w:sz w:val="20"/>
                <w:szCs w:val="20"/>
              </w:rPr>
              <w:t xml:space="preserve">La vigencia es a partir del </w:t>
            </w:r>
            <w:r>
              <w:rPr>
                <w:b/>
                <w:sz w:val="20"/>
                <w:szCs w:val="20"/>
              </w:rPr>
              <w:t>01 de marzo del 2019</w:t>
            </w:r>
            <w:r>
              <w:rPr>
                <w:sz w:val="20"/>
                <w:szCs w:val="20"/>
              </w:rPr>
              <w:t>, a excepción de las modificaciones a los Anexos 15  – A y</w:t>
            </w:r>
            <w:r>
              <w:rPr>
                <w:spacing w:val="42"/>
                <w:sz w:val="20"/>
                <w:szCs w:val="20"/>
              </w:rPr>
              <w:t xml:space="preserve"> </w:t>
            </w:r>
            <w:r>
              <w:rPr>
                <w:sz w:val="20"/>
                <w:szCs w:val="20"/>
              </w:rPr>
              <w:t>15</w:t>
            </w:r>
          </w:p>
          <w:p w14:paraId="40FE171D" w14:textId="77777777" w:rsidR="008C20EB" w:rsidRDefault="008D25BE">
            <w:pPr>
              <w:pStyle w:val="TableParagraph"/>
              <w:spacing w:line="237" w:lineRule="auto"/>
              <w:ind w:left="67" w:right="64"/>
              <w:jc w:val="both"/>
              <w:rPr>
                <w:b/>
                <w:sz w:val="20"/>
                <w:szCs w:val="20"/>
              </w:rPr>
            </w:pPr>
            <w:r>
              <w:rPr>
                <w:sz w:val="20"/>
                <w:szCs w:val="20"/>
              </w:rPr>
              <w:t>– C y sus notas metodológicas, las</w:t>
            </w:r>
            <w:r>
              <w:rPr>
                <w:spacing w:val="-32"/>
                <w:sz w:val="20"/>
                <w:szCs w:val="20"/>
              </w:rPr>
              <w:t xml:space="preserve"> </w:t>
            </w:r>
            <w:r>
              <w:rPr>
                <w:sz w:val="20"/>
                <w:szCs w:val="20"/>
              </w:rPr>
              <w:t xml:space="preserve">cuales entrarán  en  vigencia  a  partir  del  </w:t>
            </w:r>
            <w:r>
              <w:rPr>
                <w:b/>
                <w:sz w:val="20"/>
                <w:szCs w:val="20"/>
              </w:rPr>
              <w:t>01</w:t>
            </w:r>
            <w:r>
              <w:rPr>
                <w:b/>
                <w:spacing w:val="-17"/>
                <w:sz w:val="20"/>
                <w:szCs w:val="20"/>
              </w:rPr>
              <w:t xml:space="preserve"> </w:t>
            </w:r>
            <w:r>
              <w:rPr>
                <w:b/>
                <w:sz w:val="20"/>
                <w:szCs w:val="20"/>
              </w:rPr>
              <w:t>de</w:t>
            </w:r>
          </w:p>
          <w:p w14:paraId="40FE171E" w14:textId="77777777" w:rsidR="008C20EB" w:rsidRDefault="008D25BE">
            <w:pPr>
              <w:pStyle w:val="TableParagraph"/>
              <w:spacing w:line="239" w:lineRule="exact"/>
              <w:ind w:left="67"/>
              <w:jc w:val="both"/>
              <w:rPr>
                <w:b/>
                <w:sz w:val="20"/>
                <w:szCs w:val="20"/>
              </w:rPr>
            </w:pPr>
            <w:r>
              <w:rPr>
                <w:b/>
                <w:sz w:val="20"/>
                <w:szCs w:val="20"/>
              </w:rPr>
              <w:t>julio del 2019.</w:t>
            </w:r>
          </w:p>
        </w:tc>
        <w:tc>
          <w:tcPr>
            <w:tcW w:w="8162" w:type="dxa"/>
          </w:tcPr>
          <w:p w14:paraId="40FE171F" w14:textId="77777777" w:rsidR="008C20EB" w:rsidRDefault="008D25BE">
            <w:pPr>
              <w:pStyle w:val="TableParagraph"/>
              <w:numPr>
                <w:ilvl w:val="0"/>
                <w:numId w:val="44"/>
              </w:numPr>
              <w:tabs>
                <w:tab w:val="left" w:pos="778"/>
                <w:tab w:val="left" w:pos="779"/>
              </w:tabs>
              <w:spacing w:line="261" w:lineRule="exact"/>
              <w:ind w:hanging="693"/>
              <w:jc w:val="both"/>
              <w:rPr>
                <w:sz w:val="20"/>
                <w:szCs w:val="20"/>
              </w:rPr>
            </w:pPr>
            <w:r>
              <w:rPr>
                <w:sz w:val="20"/>
                <w:szCs w:val="20"/>
              </w:rPr>
              <w:t>En</w:t>
            </w:r>
            <w:r>
              <w:rPr>
                <w:spacing w:val="-5"/>
                <w:sz w:val="20"/>
                <w:szCs w:val="20"/>
              </w:rPr>
              <w:t xml:space="preserve"> </w:t>
            </w:r>
            <w:r>
              <w:rPr>
                <w:sz w:val="20"/>
                <w:szCs w:val="20"/>
              </w:rPr>
              <w:t>el</w:t>
            </w:r>
            <w:r>
              <w:rPr>
                <w:spacing w:val="-7"/>
                <w:sz w:val="20"/>
                <w:szCs w:val="20"/>
              </w:rPr>
              <w:t xml:space="preserve"> </w:t>
            </w:r>
            <w:r>
              <w:rPr>
                <w:sz w:val="20"/>
                <w:szCs w:val="20"/>
              </w:rPr>
              <w:t>capítulo</w:t>
            </w:r>
            <w:r>
              <w:rPr>
                <w:spacing w:val="-5"/>
                <w:sz w:val="20"/>
                <w:szCs w:val="20"/>
              </w:rPr>
              <w:t xml:space="preserve"> </w:t>
            </w:r>
            <w:r>
              <w:rPr>
                <w:sz w:val="20"/>
                <w:szCs w:val="20"/>
              </w:rPr>
              <w:t>V</w:t>
            </w:r>
            <w:r>
              <w:rPr>
                <w:spacing w:val="-1"/>
                <w:sz w:val="20"/>
                <w:szCs w:val="20"/>
              </w:rPr>
              <w:t xml:space="preserve"> </w:t>
            </w:r>
            <w:r>
              <w:rPr>
                <w:sz w:val="20"/>
                <w:szCs w:val="20"/>
              </w:rPr>
              <w:t>del</w:t>
            </w:r>
            <w:r>
              <w:rPr>
                <w:spacing w:val="-2"/>
                <w:sz w:val="20"/>
                <w:szCs w:val="20"/>
              </w:rPr>
              <w:t xml:space="preserve"> </w:t>
            </w:r>
            <w:r>
              <w:rPr>
                <w:sz w:val="20"/>
                <w:szCs w:val="20"/>
              </w:rPr>
              <w:t>Manual</w:t>
            </w:r>
            <w:r>
              <w:rPr>
                <w:spacing w:val="-6"/>
                <w:sz w:val="20"/>
                <w:szCs w:val="20"/>
              </w:rPr>
              <w:t xml:space="preserve"> </w:t>
            </w:r>
            <w:r>
              <w:rPr>
                <w:sz w:val="20"/>
                <w:szCs w:val="20"/>
              </w:rPr>
              <w:t>de</w:t>
            </w:r>
            <w:r>
              <w:rPr>
                <w:spacing w:val="-5"/>
                <w:sz w:val="20"/>
                <w:szCs w:val="20"/>
              </w:rPr>
              <w:t xml:space="preserve"> </w:t>
            </w:r>
            <w:r>
              <w:rPr>
                <w:sz w:val="20"/>
                <w:szCs w:val="20"/>
              </w:rPr>
              <w:t>Contabilidad se</w:t>
            </w:r>
            <w:r>
              <w:rPr>
                <w:spacing w:val="-5"/>
                <w:sz w:val="20"/>
                <w:szCs w:val="20"/>
              </w:rPr>
              <w:t xml:space="preserve"> </w:t>
            </w:r>
            <w:r>
              <w:rPr>
                <w:sz w:val="20"/>
                <w:szCs w:val="20"/>
              </w:rPr>
              <w:t>realizaron</w:t>
            </w:r>
            <w:r>
              <w:rPr>
                <w:spacing w:val="-5"/>
                <w:sz w:val="20"/>
                <w:szCs w:val="20"/>
              </w:rPr>
              <w:t xml:space="preserve"> </w:t>
            </w:r>
            <w:r>
              <w:rPr>
                <w:sz w:val="20"/>
                <w:szCs w:val="20"/>
              </w:rPr>
              <w:t>las</w:t>
            </w:r>
            <w:r>
              <w:rPr>
                <w:spacing w:val="-4"/>
                <w:sz w:val="20"/>
                <w:szCs w:val="20"/>
              </w:rPr>
              <w:t xml:space="preserve"> </w:t>
            </w:r>
            <w:r>
              <w:rPr>
                <w:sz w:val="20"/>
                <w:szCs w:val="20"/>
              </w:rPr>
              <w:t>siguientes</w:t>
            </w:r>
            <w:r>
              <w:rPr>
                <w:spacing w:val="-3"/>
                <w:sz w:val="20"/>
                <w:szCs w:val="20"/>
              </w:rPr>
              <w:t xml:space="preserve"> </w:t>
            </w:r>
            <w:r>
              <w:rPr>
                <w:sz w:val="20"/>
                <w:szCs w:val="20"/>
              </w:rPr>
              <w:t>modificaciones:</w:t>
            </w:r>
          </w:p>
          <w:p w14:paraId="40FE1720" w14:textId="77777777" w:rsidR="008C20EB" w:rsidRDefault="008D25BE">
            <w:pPr>
              <w:pStyle w:val="TableParagraph"/>
              <w:ind w:left="792" w:right="57"/>
              <w:jc w:val="both"/>
              <w:rPr>
                <w:sz w:val="20"/>
                <w:szCs w:val="20"/>
              </w:rPr>
            </w:pPr>
            <w:r>
              <w:rPr>
                <w:sz w:val="20"/>
                <w:szCs w:val="20"/>
              </w:rPr>
              <w:t>Se sustituyeron los Anexos 15 – A “Reporte de Tesorería y Posición Diaria de Liquidez”, N° 15 – B “Ratio de Cobertura de Liquidez” y N° 15 – C “Posición Mensual de Liquidez”, así como sus notas</w:t>
            </w:r>
            <w:r>
              <w:rPr>
                <w:spacing w:val="-8"/>
                <w:sz w:val="20"/>
                <w:szCs w:val="20"/>
              </w:rPr>
              <w:t xml:space="preserve"> </w:t>
            </w:r>
            <w:r>
              <w:rPr>
                <w:sz w:val="20"/>
                <w:szCs w:val="20"/>
              </w:rPr>
              <w:t>metodológicas.</w:t>
            </w:r>
          </w:p>
        </w:tc>
      </w:tr>
    </w:tbl>
    <w:p w14:paraId="40FE1722" w14:textId="77777777" w:rsidR="008C20EB" w:rsidRDefault="008C20EB">
      <w:pPr>
        <w:jc w:val="both"/>
        <w:sectPr w:rsidR="008C20EB">
          <w:footerReference w:type="default" r:id="rId12"/>
          <w:type w:val="continuous"/>
          <w:pgSz w:w="16840" w:h="11910" w:orient="landscape"/>
          <w:pgMar w:top="820" w:right="840" w:bottom="1120" w:left="920" w:header="720" w:footer="924" w:gutter="0"/>
          <w:pgNumType w:start="1"/>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27" w14:textId="77777777">
        <w:trPr>
          <w:trHeight w:val="254"/>
        </w:trPr>
        <w:tc>
          <w:tcPr>
            <w:tcW w:w="1445" w:type="dxa"/>
            <w:vAlign w:val="bottom"/>
          </w:tcPr>
          <w:p w14:paraId="40FE172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24" w14:textId="77777777" w:rsidR="008C20EB" w:rsidRDefault="008D25BE">
            <w:pPr>
              <w:pStyle w:val="TableParagraph"/>
              <w:spacing w:line="234" w:lineRule="exact"/>
              <w:ind w:left="556"/>
              <w:jc w:val="both"/>
              <w:rPr>
                <w:b/>
              </w:rPr>
            </w:pPr>
            <w:r>
              <w:rPr>
                <w:b/>
              </w:rPr>
              <w:t>FECHA</w:t>
            </w:r>
          </w:p>
        </w:tc>
        <w:tc>
          <w:tcPr>
            <w:tcW w:w="3500" w:type="dxa"/>
            <w:vAlign w:val="bottom"/>
          </w:tcPr>
          <w:p w14:paraId="40FE172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26" w14:textId="77777777" w:rsidR="008C20EB" w:rsidRDefault="008D25BE">
            <w:pPr>
              <w:pStyle w:val="TableParagraph"/>
              <w:spacing w:line="234" w:lineRule="exact"/>
              <w:ind w:left="3271" w:right="3265"/>
              <w:jc w:val="both"/>
              <w:rPr>
                <w:b/>
              </w:rPr>
            </w:pPr>
            <w:r>
              <w:rPr>
                <w:b/>
              </w:rPr>
              <w:t>MODIFICATORIAS</w:t>
            </w:r>
          </w:p>
        </w:tc>
      </w:tr>
      <w:tr w:rsidR="008C20EB" w14:paraId="40FE172F" w14:textId="77777777">
        <w:trPr>
          <w:trHeight w:val="1766"/>
        </w:trPr>
        <w:tc>
          <w:tcPr>
            <w:tcW w:w="1445" w:type="dxa"/>
          </w:tcPr>
          <w:p w14:paraId="40FE1728" w14:textId="77777777" w:rsidR="008C20EB" w:rsidRDefault="008D25BE">
            <w:pPr>
              <w:pStyle w:val="TableParagraph"/>
              <w:spacing w:line="237" w:lineRule="auto"/>
              <w:ind w:left="71" w:right="42"/>
              <w:jc w:val="both"/>
              <w:rPr>
                <w:b/>
              </w:rPr>
            </w:pPr>
            <w:r>
              <w:rPr>
                <w:b/>
              </w:rPr>
              <w:t>Resolución SBS N° 4279-</w:t>
            </w:r>
          </w:p>
          <w:p w14:paraId="40FE1729" w14:textId="77777777" w:rsidR="008C20EB" w:rsidRDefault="008D25BE">
            <w:pPr>
              <w:pStyle w:val="TableParagraph"/>
              <w:ind w:left="71"/>
              <w:jc w:val="both"/>
              <w:rPr>
                <w:b/>
              </w:rPr>
            </w:pPr>
            <w:r>
              <w:rPr>
                <w:b/>
              </w:rPr>
              <w:t>2018</w:t>
            </w:r>
          </w:p>
        </w:tc>
        <w:tc>
          <w:tcPr>
            <w:tcW w:w="1733" w:type="dxa"/>
          </w:tcPr>
          <w:p w14:paraId="40FE172A" w14:textId="77777777" w:rsidR="008C20EB" w:rsidRDefault="008D25BE">
            <w:pPr>
              <w:pStyle w:val="TableParagraph"/>
              <w:spacing w:line="240" w:lineRule="exact"/>
              <w:jc w:val="both"/>
              <w:rPr>
                <w:b/>
              </w:rPr>
            </w:pPr>
            <w:r>
              <w:rPr>
                <w:b/>
              </w:rPr>
              <w:t>(Pr. 31.10.2018 /</w:t>
            </w:r>
          </w:p>
          <w:p w14:paraId="40FE172B" w14:textId="77777777" w:rsidR="008C20EB" w:rsidRDefault="008D25BE">
            <w:pPr>
              <w:pStyle w:val="TableParagraph"/>
              <w:spacing w:line="251" w:lineRule="exact"/>
              <w:jc w:val="both"/>
              <w:rPr>
                <w:b/>
              </w:rPr>
            </w:pPr>
            <w:r>
              <w:rPr>
                <w:b/>
              </w:rPr>
              <w:t>Pub. 05.11.2018)</w:t>
            </w:r>
          </w:p>
        </w:tc>
        <w:tc>
          <w:tcPr>
            <w:tcW w:w="3500" w:type="dxa"/>
          </w:tcPr>
          <w:p w14:paraId="40FE172C" w14:textId="77777777" w:rsidR="008C20EB" w:rsidRDefault="008D25BE">
            <w:pPr>
              <w:pStyle w:val="TableParagraph"/>
              <w:ind w:left="67" w:right="58"/>
              <w:jc w:val="both"/>
            </w:pPr>
            <w:r>
              <w:t>Modificar el Reporte N° 30 “Cajeros Automáticos, Establecimientos de Operaciones Básicas y Cajeros Corresponsales” del Manual de Contabilidad.</w:t>
            </w:r>
          </w:p>
          <w:p w14:paraId="40FE172D" w14:textId="77777777" w:rsidR="008C20EB" w:rsidRDefault="008D25BE">
            <w:pPr>
              <w:pStyle w:val="TableParagraph"/>
              <w:spacing w:line="250" w:lineRule="exact"/>
              <w:ind w:left="67" w:right="60"/>
              <w:jc w:val="both"/>
              <w:rPr>
                <w:b/>
              </w:rPr>
            </w:pPr>
            <w:r>
              <w:t>La vigencia es a partir de</w:t>
            </w:r>
            <w:r>
              <w:rPr>
                <w:b/>
              </w:rPr>
              <w:t>l último trimestre de 2018.</w:t>
            </w:r>
          </w:p>
        </w:tc>
        <w:tc>
          <w:tcPr>
            <w:tcW w:w="8162" w:type="dxa"/>
          </w:tcPr>
          <w:p w14:paraId="40FE172E" w14:textId="77777777" w:rsidR="008C20EB" w:rsidRDefault="008D25BE">
            <w:pPr>
              <w:pStyle w:val="TableParagraph"/>
              <w:numPr>
                <w:ilvl w:val="0"/>
                <w:numId w:val="45"/>
              </w:numPr>
              <w:tabs>
                <w:tab w:val="left" w:pos="778"/>
                <w:tab w:val="left" w:pos="779"/>
              </w:tabs>
              <w:ind w:right="56" w:hanging="706"/>
              <w:jc w:val="both"/>
            </w:pPr>
            <w:r>
              <w:t>En el Capítulo V “Información Complementaria” del Manual de Contabilidad, se sustituye el Reporte 30 Cajeros Automáticos, Establecimientos de Operaciones Básicas y Cajeros Corresponsales”</w:t>
            </w:r>
          </w:p>
        </w:tc>
      </w:tr>
      <w:tr w:rsidR="008C20EB" w14:paraId="40FE1738" w14:textId="77777777">
        <w:trPr>
          <w:trHeight w:val="2275"/>
        </w:trPr>
        <w:tc>
          <w:tcPr>
            <w:tcW w:w="1445" w:type="dxa"/>
          </w:tcPr>
          <w:p w14:paraId="40FE1730" w14:textId="77777777" w:rsidR="008C20EB" w:rsidRDefault="008D25BE">
            <w:pPr>
              <w:pStyle w:val="TableParagraph"/>
              <w:spacing w:line="237" w:lineRule="auto"/>
              <w:ind w:left="71" w:right="42"/>
              <w:jc w:val="both"/>
              <w:rPr>
                <w:b/>
              </w:rPr>
            </w:pPr>
            <w:r>
              <w:rPr>
                <w:b/>
              </w:rPr>
              <w:t>Resolución SBS N° 3966-</w:t>
            </w:r>
          </w:p>
          <w:p w14:paraId="40FE1731" w14:textId="77777777" w:rsidR="008C20EB" w:rsidRDefault="008D25BE">
            <w:pPr>
              <w:pStyle w:val="TableParagraph"/>
              <w:ind w:left="71"/>
              <w:jc w:val="both"/>
              <w:rPr>
                <w:b/>
              </w:rPr>
            </w:pPr>
            <w:r>
              <w:rPr>
                <w:b/>
              </w:rPr>
              <w:t>2018</w:t>
            </w:r>
          </w:p>
        </w:tc>
        <w:tc>
          <w:tcPr>
            <w:tcW w:w="1733" w:type="dxa"/>
          </w:tcPr>
          <w:p w14:paraId="40FE1732" w14:textId="77777777" w:rsidR="008C20EB" w:rsidRDefault="008D25BE">
            <w:pPr>
              <w:pStyle w:val="TableParagraph"/>
              <w:spacing w:line="241" w:lineRule="exact"/>
              <w:jc w:val="both"/>
              <w:rPr>
                <w:b/>
              </w:rPr>
            </w:pPr>
            <w:r>
              <w:rPr>
                <w:b/>
              </w:rPr>
              <w:t>(Pr. 11.10.2018 /</w:t>
            </w:r>
          </w:p>
          <w:p w14:paraId="40FE1733" w14:textId="77777777" w:rsidR="008C20EB" w:rsidRDefault="008D25BE">
            <w:pPr>
              <w:pStyle w:val="TableParagraph"/>
              <w:spacing w:line="251" w:lineRule="exact"/>
              <w:jc w:val="both"/>
              <w:rPr>
                <w:b/>
              </w:rPr>
            </w:pPr>
            <w:r>
              <w:rPr>
                <w:b/>
              </w:rPr>
              <w:t>Pub. 15.10.2018)</w:t>
            </w:r>
          </w:p>
        </w:tc>
        <w:tc>
          <w:tcPr>
            <w:tcW w:w="3500" w:type="dxa"/>
          </w:tcPr>
          <w:p w14:paraId="40FE1734" w14:textId="77777777" w:rsidR="008C20EB" w:rsidRDefault="008D25BE">
            <w:pPr>
              <w:pStyle w:val="TableParagraph"/>
              <w:ind w:left="67" w:right="60"/>
              <w:jc w:val="both"/>
            </w:pPr>
            <w:r>
              <w:t>Se sustituye la denominación de la subcuenta 5202.30 del Manual de Contabilidad, a efectos de uniformizar el registro contable de las comisiones por tarjetas de créditos.</w:t>
            </w:r>
          </w:p>
          <w:p w14:paraId="40FE1735" w14:textId="77777777" w:rsidR="008C20EB" w:rsidRDefault="008D25BE">
            <w:pPr>
              <w:pStyle w:val="TableParagraph"/>
              <w:ind w:left="67" w:right="60"/>
              <w:jc w:val="both"/>
              <w:rPr>
                <w:b/>
              </w:rPr>
            </w:pPr>
            <w:r>
              <w:t xml:space="preserve">La vigencia es a partir del </w:t>
            </w:r>
            <w:r>
              <w:rPr>
                <w:b/>
              </w:rPr>
              <w:t>16 de octubre 2018, contando con un plazo de adecuación de 180 días desde la</w:t>
            </w:r>
          </w:p>
          <w:p w14:paraId="40FE1736" w14:textId="77777777" w:rsidR="008C20EB" w:rsidRDefault="008D25BE">
            <w:pPr>
              <w:pStyle w:val="TableParagraph"/>
              <w:spacing w:line="245" w:lineRule="exact"/>
              <w:ind w:left="67"/>
              <w:jc w:val="both"/>
              <w:rPr>
                <w:b/>
              </w:rPr>
            </w:pPr>
            <w:r>
              <w:rPr>
                <w:b/>
              </w:rPr>
              <w:t>vigencia.</w:t>
            </w:r>
          </w:p>
        </w:tc>
        <w:tc>
          <w:tcPr>
            <w:tcW w:w="8162" w:type="dxa"/>
          </w:tcPr>
          <w:p w14:paraId="40FE1737" w14:textId="77777777" w:rsidR="008C20EB" w:rsidRDefault="008D25BE">
            <w:pPr>
              <w:pStyle w:val="TableParagraph"/>
              <w:numPr>
                <w:ilvl w:val="0"/>
                <w:numId w:val="46"/>
              </w:numPr>
              <w:tabs>
                <w:tab w:val="left" w:pos="779"/>
              </w:tabs>
              <w:spacing w:line="237" w:lineRule="auto"/>
              <w:ind w:right="57" w:hanging="360"/>
              <w:jc w:val="both"/>
            </w:pPr>
            <w:r>
              <w:t xml:space="preserve">En los Capítulos III “Catálogo de Cuentas” y IV “Descripción y Dinámica de Cuentas” </w:t>
            </w:r>
            <w:r>
              <w:rPr>
                <w:spacing w:val="2"/>
              </w:rPr>
              <w:t xml:space="preserve">del </w:t>
            </w:r>
            <w:r>
              <w:t>Manual de Contabilidad, sustituir la denominación de la subcuenta 5202.30 por “</w:t>
            </w:r>
            <w:r>
              <w:rPr>
                <w:i/>
              </w:rPr>
              <w:t>Comisiones</w:t>
            </w:r>
            <w:r>
              <w:rPr>
                <w:i/>
                <w:spacing w:val="-4"/>
              </w:rPr>
              <w:t xml:space="preserve"> </w:t>
            </w:r>
            <w:r>
              <w:rPr>
                <w:i/>
              </w:rPr>
              <w:t>por</w:t>
            </w:r>
            <w:r>
              <w:rPr>
                <w:i/>
                <w:spacing w:val="-3"/>
              </w:rPr>
              <w:t xml:space="preserve"> </w:t>
            </w:r>
            <w:r>
              <w:rPr>
                <w:i/>
              </w:rPr>
              <w:t>servicios</w:t>
            </w:r>
            <w:r>
              <w:rPr>
                <w:i/>
                <w:spacing w:val="-5"/>
              </w:rPr>
              <w:t xml:space="preserve"> </w:t>
            </w:r>
            <w:r>
              <w:rPr>
                <w:i/>
              </w:rPr>
              <w:t>adicionales</w:t>
            </w:r>
            <w:r>
              <w:rPr>
                <w:i/>
                <w:spacing w:val="-4"/>
              </w:rPr>
              <w:t xml:space="preserve"> </w:t>
            </w:r>
            <w:r>
              <w:rPr>
                <w:i/>
              </w:rPr>
              <w:t>de</w:t>
            </w:r>
            <w:r>
              <w:rPr>
                <w:i/>
                <w:spacing w:val="-1"/>
              </w:rPr>
              <w:t xml:space="preserve"> </w:t>
            </w:r>
            <w:r>
              <w:rPr>
                <w:i/>
              </w:rPr>
              <w:t>tarjetas</w:t>
            </w:r>
            <w:r>
              <w:rPr>
                <w:i/>
                <w:spacing w:val="-4"/>
              </w:rPr>
              <w:t xml:space="preserve"> </w:t>
            </w:r>
            <w:r>
              <w:rPr>
                <w:i/>
              </w:rPr>
              <w:t>de</w:t>
            </w:r>
            <w:r>
              <w:rPr>
                <w:i/>
                <w:spacing w:val="-6"/>
              </w:rPr>
              <w:t xml:space="preserve"> </w:t>
            </w:r>
            <w:r>
              <w:rPr>
                <w:i/>
              </w:rPr>
              <w:t>crédito</w:t>
            </w:r>
            <w:r>
              <w:t>”,</w:t>
            </w:r>
            <w:r>
              <w:rPr>
                <w:spacing w:val="-3"/>
              </w:rPr>
              <w:t xml:space="preserve"> </w:t>
            </w:r>
            <w:r>
              <w:t>e</w:t>
            </w:r>
            <w:r>
              <w:rPr>
                <w:spacing w:val="-5"/>
              </w:rPr>
              <w:t xml:space="preserve"> </w:t>
            </w:r>
            <w:r>
              <w:t>incorporar</w:t>
            </w:r>
            <w:r>
              <w:rPr>
                <w:spacing w:val="-4"/>
              </w:rPr>
              <w:t xml:space="preserve"> </w:t>
            </w:r>
            <w:r>
              <w:t>su</w:t>
            </w:r>
            <w:r>
              <w:rPr>
                <w:spacing w:val="-5"/>
              </w:rPr>
              <w:t xml:space="preserve"> </w:t>
            </w:r>
            <w:r>
              <w:t>descripción.</w:t>
            </w:r>
          </w:p>
        </w:tc>
      </w:tr>
      <w:tr w:rsidR="008C20EB" w14:paraId="40FE1743" w14:textId="77777777">
        <w:trPr>
          <w:trHeight w:val="3029"/>
        </w:trPr>
        <w:tc>
          <w:tcPr>
            <w:tcW w:w="1445" w:type="dxa"/>
          </w:tcPr>
          <w:p w14:paraId="40FE1739" w14:textId="77777777" w:rsidR="008C20EB" w:rsidRDefault="008D25BE">
            <w:pPr>
              <w:pStyle w:val="TableParagraph"/>
              <w:spacing w:line="237" w:lineRule="exact"/>
              <w:ind w:left="71"/>
              <w:jc w:val="both"/>
              <w:rPr>
                <w:b/>
              </w:rPr>
            </w:pPr>
            <w:r>
              <w:rPr>
                <w:b/>
              </w:rPr>
              <w:t>Resolución</w:t>
            </w:r>
          </w:p>
          <w:p w14:paraId="40FE173A" w14:textId="77777777" w:rsidR="008C20EB" w:rsidRDefault="008D25BE">
            <w:pPr>
              <w:pStyle w:val="TableParagraph"/>
              <w:spacing w:before="2" w:line="251" w:lineRule="exact"/>
              <w:ind w:left="71"/>
              <w:jc w:val="both"/>
              <w:rPr>
                <w:b/>
              </w:rPr>
            </w:pPr>
            <w:r>
              <w:rPr>
                <w:b/>
              </w:rPr>
              <w:t>SBS N° 2610-</w:t>
            </w:r>
          </w:p>
          <w:p w14:paraId="40FE173B" w14:textId="77777777" w:rsidR="008C20EB" w:rsidRDefault="008D25BE">
            <w:pPr>
              <w:pStyle w:val="TableParagraph"/>
              <w:spacing w:line="251" w:lineRule="exact"/>
              <w:ind w:left="71"/>
              <w:jc w:val="both"/>
              <w:rPr>
                <w:b/>
              </w:rPr>
            </w:pPr>
            <w:r>
              <w:rPr>
                <w:b/>
              </w:rPr>
              <w:t>2018</w:t>
            </w:r>
          </w:p>
        </w:tc>
        <w:tc>
          <w:tcPr>
            <w:tcW w:w="1733" w:type="dxa"/>
          </w:tcPr>
          <w:p w14:paraId="40FE173C" w14:textId="77777777" w:rsidR="008C20EB" w:rsidRDefault="008D25BE">
            <w:pPr>
              <w:pStyle w:val="TableParagraph"/>
              <w:spacing w:line="237" w:lineRule="exact"/>
              <w:jc w:val="both"/>
              <w:rPr>
                <w:b/>
              </w:rPr>
            </w:pPr>
            <w:r>
              <w:rPr>
                <w:b/>
              </w:rPr>
              <w:t>(Pr. 04.07.2018 /</w:t>
            </w:r>
          </w:p>
          <w:p w14:paraId="40FE173D" w14:textId="77777777" w:rsidR="008C20EB" w:rsidRDefault="008D25BE">
            <w:pPr>
              <w:pStyle w:val="TableParagraph"/>
              <w:spacing w:before="2"/>
              <w:jc w:val="both"/>
              <w:rPr>
                <w:b/>
              </w:rPr>
            </w:pPr>
            <w:r>
              <w:rPr>
                <w:b/>
              </w:rPr>
              <w:t>Pub. 09.07.2018)</w:t>
            </w:r>
          </w:p>
        </w:tc>
        <w:tc>
          <w:tcPr>
            <w:tcW w:w="3500" w:type="dxa"/>
          </w:tcPr>
          <w:p w14:paraId="40FE173E" w14:textId="77777777" w:rsidR="008C20EB" w:rsidRDefault="008D25BE">
            <w:pPr>
              <w:pStyle w:val="TableParagraph"/>
              <w:spacing w:line="237" w:lineRule="exact"/>
              <w:ind w:left="67"/>
              <w:jc w:val="both"/>
            </w:pPr>
            <w:r>
              <w:t>Se modifica el Manual de Contabilidad,</w:t>
            </w:r>
          </w:p>
          <w:p w14:paraId="40FE173F" w14:textId="77777777" w:rsidR="008C20EB" w:rsidRDefault="008D25BE">
            <w:pPr>
              <w:pStyle w:val="TableParagraph"/>
              <w:spacing w:before="2"/>
              <w:ind w:left="67" w:right="60"/>
              <w:jc w:val="both"/>
            </w:pPr>
            <w:r>
              <w:t>con la finalidad de recoger los lineamientos específicos para la evaluación de deterioro, así como para el tratamiento de la diferencia de cambio establecida en el Reglamento de Clasificación y Valorización de las Inversiones de las Empresas del Sistema Financiero, aprobado por la Resolución SBS N° 7033-2012 y sus normas modificatorias.</w:t>
            </w:r>
          </w:p>
          <w:p w14:paraId="40FE1740" w14:textId="77777777" w:rsidR="008C20EB" w:rsidRDefault="008D25BE">
            <w:pPr>
              <w:pStyle w:val="TableParagraph"/>
              <w:spacing w:before="1" w:line="245" w:lineRule="exact"/>
              <w:ind w:left="67"/>
              <w:jc w:val="both"/>
              <w:rPr>
                <w:b/>
              </w:rPr>
            </w:pPr>
            <w:r>
              <w:t xml:space="preserve">La vigencia es a partir de </w:t>
            </w:r>
            <w:r>
              <w:rPr>
                <w:b/>
              </w:rPr>
              <w:t>octubre 2018.</w:t>
            </w:r>
          </w:p>
        </w:tc>
        <w:tc>
          <w:tcPr>
            <w:tcW w:w="8162" w:type="dxa"/>
          </w:tcPr>
          <w:p w14:paraId="40FE1741" w14:textId="77777777" w:rsidR="008C20EB" w:rsidRDefault="008D25BE">
            <w:pPr>
              <w:pStyle w:val="TableParagraph"/>
              <w:numPr>
                <w:ilvl w:val="0"/>
                <w:numId w:val="47"/>
              </w:numPr>
              <w:tabs>
                <w:tab w:val="left" w:pos="778"/>
                <w:tab w:val="left" w:pos="779"/>
              </w:tabs>
              <w:spacing w:before="2" w:line="254" w:lineRule="exact"/>
              <w:ind w:right="52" w:hanging="706"/>
              <w:jc w:val="both"/>
            </w:pPr>
            <w:r>
              <w:t>En el Capítulo IV “Descripción y Dinámica de Cuentas” se sustituye la descripción del rubro 13</w:t>
            </w:r>
            <w:r>
              <w:rPr>
                <w:spacing w:val="28"/>
              </w:rPr>
              <w:t xml:space="preserve"> </w:t>
            </w:r>
            <w:r>
              <w:t>“Inversiones</w:t>
            </w:r>
            <w:r>
              <w:rPr>
                <w:spacing w:val="25"/>
              </w:rPr>
              <w:t xml:space="preserve"> </w:t>
            </w:r>
            <w:r>
              <w:t>Negociables</w:t>
            </w:r>
            <w:r>
              <w:rPr>
                <w:spacing w:val="24"/>
              </w:rPr>
              <w:t xml:space="preserve"> </w:t>
            </w:r>
            <w:r>
              <w:t>y</w:t>
            </w:r>
            <w:r>
              <w:rPr>
                <w:spacing w:val="24"/>
              </w:rPr>
              <w:t xml:space="preserve"> </w:t>
            </w:r>
            <w:r>
              <w:t>a</w:t>
            </w:r>
            <w:r>
              <w:rPr>
                <w:spacing w:val="24"/>
              </w:rPr>
              <w:t xml:space="preserve"> </w:t>
            </w:r>
            <w:r>
              <w:t>Vencimiento”</w:t>
            </w:r>
            <w:r>
              <w:rPr>
                <w:spacing w:val="25"/>
              </w:rPr>
              <w:t xml:space="preserve"> </w:t>
            </w:r>
            <w:r>
              <w:t>y</w:t>
            </w:r>
            <w:r>
              <w:rPr>
                <w:spacing w:val="24"/>
              </w:rPr>
              <w:t xml:space="preserve"> </w:t>
            </w:r>
            <w:r>
              <w:t>se</w:t>
            </w:r>
            <w:r>
              <w:rPr>
                <w:spacing w:val="24"/>
              </w:rPr>
              <w:t xml:space="preserve"> </w:t>
            </w:r>
            <w:r>
              <w:t>modifica</w:t>
            </w:r>
            <w:r>
              <w:rPr>
                <w:spacing w:val="24"/>
              </w:rPr>
              <w:t xml:space="preserve"> </w:t>
            </w:r>
            <w:r>
              <w:t>la</w:t>
            </w:r>
            <w:r>
              <w:rPr>
                <w:spacing w:val="24"/>
              </w:rPr>
              <w:t xml:space="preserve"> </w:t>
            </w:r>
            <w:r>
              <w:t>descripción</w:t>
            </w:r>
            <w:r>
              <w:rPr>
                <w:spacing w:val="24"/>
              </w:rPr>
              <w:t xml:space="preserve"> </w:t>
            </w:r>
            <w:r>
              <w:t>del</w:t>
            </w:r>
            <w:r>
              <w:rPr>
                <w:spacing w:val="22"/>
              </w:rPr>
              <w:t xml:space="preserve"> </w:t>
            </w:r>
            <w:r>
              <w:t>rubro</w:t>
            </w:r>
            <w:r>
              <w:rPr>
                <w:spacing w:val="24"/>
              </w:rPr>
              <w:t xml:space="preserve"> </w:t>
            </w:r>
            <w:r>
              <w:t>17</w:t>
            </w:r>
          </w:p>
          <w:p w14:paraId="40FE1742" w14:textId="77777777" w:rsidR="008C20EB" w:rsidRDefault="008D25BE">
            <w:pPr>
              <w:pStyle w:val="TableParagraph"/>
              <w:spacing w:line="237" w:lineRule="auto"/>
              <w:ind w:left="792" w:right="207"/>
              <w:jc w:val="both"/>
            </w:pPr>
            <w:r>
              <w:t>“Inversiones en Subsidiarias, Asociadas y Participaciones en Negocios Conjuntos”, asimismo, se modifica la dinámica de la cuenta 1309.</w:t>
            </w:r>
          </w:p>
        </w:tc>
      </w:tr>
      <w:tr w:rsidR="008C20EB" w14:paraId="40FE174D" w14:textId="77777777">
        <w:trPr>
          <w:trHeight w:val="1766"/>
        </w:trPr>
        <w:tc>
          <w:tcPr>
            <w:tcW w:w="1445" w:type="dxa"/>
          </w:tcPr>
          <w:p w14:paraId="40FE1744" w14:textId="77777777" w:rsidR="008C20EB" w:rsidRDefault="008D25BE">
            <w:pPr>
              <w:pStyle w:val="TableParagraph"/>
              <w:spacing w:line="237" w:lineRule="exact"/>
              <w:ind w:left="71"/>
              <w:jc w:val="both"/>
              <w:rPr>
                <w:b/>
              </w:rPr>
            </w:pPr>
            <w:r>
              <w:rPr>
                <w:b/>
              </w:rPr>
              <w:t>Resolución</w:t>
            </w:r>
          </w:p>
          <w:p w14:paraId="40FE1745" w14:textId="77777777" w:rsidR="008C20EB" w:rsidRDefault="008D25BE">
            <w:pPr>
              <w:pStyle w:val="TableParagraph"/>
              <w:spacing w:before="2"/>
              <w:ind w:left="71"/>
              <w:jc w:val="both"/>
              <w:rPr>
                <w:b/>
              </w:rPr>
            </w:pPr>
            <w:r>
              <w:rPr>
                <w:b/>
              </w:rPr>
              <w:t>SBS N° 2237-</w:t>
            </w:r>
          </w:p>
          <w:p w14:paraId="40FE1746" w14:textId="77777777" w:rsidR="008C20EB" w:rsidRDefault="008D25BE">
            <w:pPr>
              <w:pStyle w:val="TableParagraph"/>
              <w:spacing w:before="2"/>
              <w:ind w:left="71"/>
              <w:jc w:val="both"/>
              <w:rPr>
                <w:b/>
              </w:rPr>
            </w:pPr>
            <w:r>
              <w:rPr>
                <w:b/>
              </w:rPr>
              <w:t>2018</w:t>
            </w:r>
          </w:p>
        </w:tc>
        <w:tc>
          <w:tcPr>
            <w:tcW w:w="1733" w:type="dxa"/>
          </w:tcPr>
          <w:p w14:paraId="40FE1747" w14:textId="77777777" w:rsidR="008C20EB" w:rsidRDefault="008D25BE">
            <w:pPr>
              <w:pStyle w:val="TableParagraph"/>
              <w:spacing w:line="237" w:lineRule="exact"/>
              <w:jc w:val="both"/>
              <w:rPr>
                <w:b/>
              </w:rPr>
            </w:pPr>
            <w:r>
              <w:rPr>
                <w:b/>
              </w:rPr>
              <w:t>(Pr. 06.06.2018 /</w:t>
            </w:r>
          </w:p>
          <w:p w14:paraId="40FE1748" w14:textId="77777777" w:rsidR="008C20EB" w:rsidRDefault="008D25BE">
            <w:pPr>
              <w:pStyle w:val="TableParagraph"/>
              <w:spacing w:before="2"/>
              <w:jc w:val="both"/>
              <w:rPr>
                <w:b/>
              </w:rPr>
            </w:pPr>
            <w:r>
              <w:rPr>
                <w:b/>
              </w:rPr>
              <w:t>Pub. 09.06.2018)</w:t>
            </w:r>
          </w:p>
        </w:tc>
        <w:tc>
          <w:tcPr>
            <w:tcW w:w="3500" w:type="dxa"/>
          </w:tcPr>
          <w:p w14:paraId="40FE1749" w14:textId="77777777" w:rsidR="008C20EB" w:rsidRDefault="008D25BE">
            <w:pPr>
              <w:pStyle w:val="TableParagraph"/>
              <w:spacing w:line="237" w:lineRule="exact"/>
              <w:ind w:left="67"/>
              <w:jc w:val="both"/>
            </w:pPr>
            <w:r>
              <w:t>Se modifica el Anexo N° 9 “Resultados</w:t>
            </w:r>
          </w:p>
          <w:p w14:paraId="40FE174A" w14:textId="77777777" w:rsidR="008C20EB" w:rsidRDefault="008D25BE">
            <w:pPr>
              <w:pStyle w:val="TableParagraph"/>
              <w:spacing w:before="2"/>
              <w:ind w:left="67"/>
              <w:jc w:val="both"/>
            </w:pPr>
            <w:r>
              <w:t>de Modelos de Medición del Riesgo de Mercado” del Manual de Contabilidad.</w:t>
            </w:r>
          </w:p>
          <w:p w14:paraId="40FE174B" w14:textId="77777777" w:rsidR="008C20EB" w:rsidRDefault="008D25BE">
            <w:pPr>
              <w:pStyle w:val="TableParagraph"/>
              <w:spacing w:line="242" w:lineRule="auto"/>
              <w:ind w:left="67" w:right="98"/>
              <w:jc w:val="both"/>
              <w:rPr>
                <w:b/>
              </w:rPr>
            </w:pPr>
            <w:r>
              <w:t xml:space="preserve">La vigencia es a partir de  </w:t>
            </w:r>
            <w:r>
              <w:rPr>
                <w:b/>
              </w:rPr>
              <w:t>setiembre 2018</w:t>
            </w:r>
          </w:p>
        </w:tc>
        <w:tc>
          <w:tcPr>
            <w:tcW w:w="8162" w:type="dxa"/>
          </w:tcPr>
          <w:p w14:paraId="40FE174C" w14:textId="77777777" w:rsidR="008C20EB" w:rsidRDefault="008D25BE">
            <w:pPr>
              <w:pStyle w:val="TableParagraph"/>
              <w:numPr>
                <w:ilvl w:val="0"/>
                <w:numId w:val="48"/>
              </w:numPr>
              <w:tabs>
                <w:tab w:val="left" w:pos="778"/>
                <w:tab w:val="left" w:pos="779"/>
              </w:tabs>
              <w:spacing w:line="237" w:lineRule="auto"/>
              <w:ind w:right="57" w:hanging="706"/>
              <w:jc w:val="both"/>
            </w:pPr>
            <w:r>
              <w:t>En el Capítulo V “Información Complementaria” se realizan las siguientes modificaciones: Se modifica el Anexo N° 9 “Resultados de Modelos de Medición del Riesgo de Mercado”, así como sus notas</w:t>
            </w:r>
            <w:r>
              <w:rPr>
                <w:spacing w:val="-8"/>
              </w:rPr>
              <w:t xml:space="preserve"> </w:t>
            </w:r>
            <w:r>
              <w:t>metodológicas.</w:t>
            </w:r>
          </w:p>
        </w:tc>
      </w:tr>
    </w:tbl>
    <w:p w14:paraId="40FE174E" w14:textId="77777777" w:rsidR="008C20EB" w:rsidRDefault="008C20EB">
      <w:pPr>
        <w:spacing w:line="237"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53" w14:textId="77777777">
        <w:trPr>
          <w:trHeight w:val="254"/>
        </w:trPr>
        <w:tc>
          <w:tcPr>
            <w:tcW w:w="1445" w:type="dxa"/>
            <w:vAlign w:val="bottom"/>
          </w:tcPr>
          <w:p w14:paraId="40FE174F"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50" w14:textId="77777777" w:rsidR="008C20EB" w:rsidRDefault="008D25BE">
            <w:pPr>
              <w:pStyle w:val="TableParagraph"/>
              <w:spacing w:line="234" w:lineRule="exact"/>
              <w:ind w:left="556"/>
              <w:jc w:val="both"/>
              <w:rPr>
                <w:b/>
              </w:rPr>
            </w:pPr>
            <w:r>
              <w:rPr>
                <w:b/>
              </w:rPr>
              <w:t>FECHA</w:t>
            </w:r>
          </w:p>
        </w:tc>
        <w:tc>
          <w:tcPr>
            <w:tcW w:w="3500" w:type="dxa"/>
            <w:vAlign w:val="bottom"/>
          </w:tcPr>
          <w:p w14:paraId="40FE175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52" w14:textId="77777777" w:rsidR="008C20EB" w:rsidRDefault="008D25BE">
            <w:pPr>
              <w:pStyle w:val="TableParagraph"/>
              <w:spacing w:line="234" w:lineRule="exact"/>
              <w:ind w:left="3271" w:right="3265"/>
              <w:jc w:val="both"/>
              <w:rPr>
                <w:b/>
              </w:rPr>
            </w:pPr>
            <w:r>
              <w:rPr>
                <w:b/>
              </w:rPr>
              <w:t>MODIFICATORIAS</w:t>
            </w:r>
          </w:p>
        </w:tc>
      </w:tr>
      <w:tr w:rsidR="008C20EB" w14:paraId="40FE175C" w14:textId="77777777">
        <w:trPr>
          <w:trHeight w:val="4042"/>
        </w:trPr>
        <w:tc>
          <w:tcPr>
            <w:tcW w:w="1445" w:type="dxa"/>
          </w:tcPr>
          <w:p w14:paraId="40FE1754" w14:textId="77777777" w:rsidR="008C20EB" w:rsidRDefault="008D25BE">
            <w:pPr>
              <w:pStyle w:val="TableParagraph"/>
              <w:spacing w:line="237" w:lineRule="auto"/>
              <w:ind w:left="71" w:right="42"/>
              <w:jc w:val="both"/>
              <w:rPr>
                <w:b/>
              </w:rPr>
            </w:pPr>
            <w:r>
              <w:rPr>
                <w:b/>
              </w:rPr>
              <w:t>Resolución SBS N° 681-</w:t>
            </w:r>
          </w:p>
          <w:p w14:paraId="40FE1755" w14:textId="77777777" w:rsidR="008C20EB" w:rsidRDefault="008D25BE">
            <w:pPr>
              <w:pStyle w:val="TableParagraph"/>
              <w:ind w:left="71"/>
              <w:jc w:val="both"/>
              <w:rPr>
                <w:b/>
              </w:rPr>
            </w:pPr>
            <w:r>
              <w:rPr>
                <w:b/>
              </w:rPr>
              <w:t>2018</w:t>
            </w:r>
          </w:p>
        </w:tc>
        <w:tc>
          <w:tcPr>
            <w:tcW w:w="1733" w:type="dxa"/>
          </w:tcPr>
          <w:p w14:paraId="40FE1756" w14:textId="77777777" w:rsidR="008C20EB" w:rsidRDefault="008D25BE">
            <w:pPr>
              <w:pStyle w:val="TableParagraph"/>
              <w:spacing w:line="240" w:lineRule="exact"/>
              <w:jc w:val="both"/>
              <w:rPr>
                <w:b/>
              </w:rPr>
            </w:pPr>
            <w:r>
              <w:rPr>
                <w:b/>
              </w:rPr>
              <w:t>(Pr. 21.02.2018 /</w:t>
            </w:r>
          </w:p>
          <w:p w14:paraId="40FE1757" w14:textId="77777777" w:rsidR="008C20EB" w:rsidRDefault="008D25BE">
            <w:pPr>
              <w:pStyle w:val="TableParagraph"/>
              <w:spacing w:line="251" w:lineRule="exact"/>
              <w:jc w:val="both"/>
              <w:rPr>
                <w:b/>
              </w:rPr>
            </w:pPr>
            <w:r>
              <w:rPr>
                <w:b/>
              </w:rPr>
              <w:t>Pub. 24.02.2018)</w:t>
            </w:r>
          </w:p>
        </w:tc>
        <w:tc>
          <w:tcPr>
            <w:tcW w:w="3500" w:type="dxa"/>
          </w:tcPr>
          <w:p w14:paraId="40FE1758" w14:textId="77777777" w:rsidR="008C20EB" w:rsidRDefault="008D25BE">
            <w:pPr>
              <w:pStyle w:val="TableParagraph"/>
              <w:ind w:left="67" w:right="51"/>
              <w:jc w:val="both"/>
            </w:pPr>
            <w:r>
              <w:t>Se modifica el Reporte 3 “Patrimonio Efectivo”, Anexo 12-I “Control de Instrumentos Representativos de Capital” y Reporte N° 34 “Patrimonio Efectivo Ajustado – Activos y Contingentes Ponderados por Riesgo Totales Ajustados” del Manual de Contabilidad para adecuarlo a las disposiciones del marco regulatorio de la Superintendencia referido a los requisitos que deben reunir los instrumentos representativos de capital para ser considerados en el cálculo del patrimonio</w:t>
            </w:r>
            <w:r>
              <w:rPr>
                <w:spacing w:val="-12"/>
              </w:rPr>
              <w:t xml:space="preserve"> </w:t>
            </w:r>
            <w:r>
              <w:t>efectivo.</w:t>
            </w:r>
          </w:p>
          <w:p w14:paraId="40FE1759" w14:textId="77777777" w:rsidR="008C20EB" w:rsidRDefault="008C20EB">
            <w:pPr>
              <w:pStyle w:val="TableParagraph"/>
              <w:jc w:val="both"/>
              <w:rPr>
                <w:rFonts w:ascii="Arial"/>
                <w:b/>
                <w:sz w:val="21"/>
              </w:rPr>
            </w:pPr>
          </w:p>
          <w:p w14:paraId="40FE175A" w14:textId="77777777" w:rsidR="008C20EB" w:rsidRDefault="008D25BE">
            <w:pPr>
              <w:pStyle w:val="TableParagraph"/>
              <w:ind w:left="67"/>
              <w:jc w:val="both"/>
              <w:rPr>
                <w:b/>
              </w:rPr>
            </w:pPr>
            <w:r>
              <w:t xml:space="preserve">La vigencia es a partir de </w:t>
            </w:r>
            <w:r>
              <w:rPr>
                <w:b/>
              </w:rPr>
              <w:t>abril 2018</w:t>
            </w:r>
          </w:p>
        </w:tc>
        <w:tc>
          <w:tcPr>
            <w:tcW w:w="8162" w:type="dxa"/>
          </w:tcPr>
          <w:p w14:paraId="40FE175B" w14:textId="77777777" w:rsidR="008C20EB" w:rsidRDefault="008D25BE">
            <w:pPr>
              <w:pStyle w:val="TableParagraph"/>
              <w:numPr>
                <w:ilvl w:val="0"/>
                <w:numId w:val="49"/>
              </w:numPr>
              <w:tabs>
                <w:tab w:val="left" w:pos="778"/>
                <w:tab w:val="left" w:pos="779"/>
              </w:tabs>
              <w:ind w:right="56" w:hanging="706"/>
              <w:jc w:val="both"/>
            </w:pPr>
            <w:r>
              <w:t>En el Capítulo V “Información Complementaria” se realizan las siguientes modificaciones: Se modifica el Reporte 3 “Patrimonio Efectivo”, Anexo 12-I “Control de Instrumentos Representativos de Capital” y Reporte N° 34 “Patrimonio Efectivo Ajustado – Activos y Contingentes Ponderados por Riesgo Totales</w:t>
            </w:r>
            <w:r>
              <w:rPr>
                <w:spacing w:val="-13"/>
              </w:rPr>
              <w:t xml:space="preserve"> </w:t>
            </w:r>
            <w:r>
              <w:t>Ajustados”</w:t>
            </w:r>
          </w:p>
        </w:tc>
      </w:tr>
      <w:tr w:rsidR="008C20EB" w14:paraId="40FE1768" w14:textId="77777777">
        <w:trPr>
          <w:trHeight w:val="2774"/>
        </w:trPr>
        <w:tc>
          <w:tcPr>
            <w:tcW w:w="1445" w:type="dxa"/>
          </w:tcPr>
          <w:p w14:paraId="40FE175D" w14:textId="77777777" w:rsidR="008C20EB" w:rsidRDefault="008D25BE">
            <w:pPr>
              <w:pStyle w:val="TableParagraph"/>
              <w:spacing w:line="237" w:lineRule="exact"/>
              <w:ind w:left="71"/>
              <w:jc w:val="both"/>
              <w:rPr>
                <w:b/>
              </w:rPr>
            </w:pPr>
            <w:r>
              <w:rPr>
                <w:b/>
              </w:rPr>
              <w:t>Resolución</w:t>
            </w:r>
          </w:p>
          <w:p w14:paraId="40FE175E" w14:textId="77777777" w:rsidR="008C20EB" w:rsidRDefault="008D25BE">
            <w:pPr>
              <w:pStyle w:val="TableParagraph"/>
              <w:spacing w:before="2" w:line="251" w:lineRule="exact"/>
              <w:ind w:left="71"/>
              <w:jc w:val="both"/>
              <w:rPr>
                <w:b/>
              </w:rPr>
            </w:pPr>
            <w:r>
              <w:rPr>
                <w:b/>
              </w:rPr>
              <w:t>SBS N° 4906-</w:t>
            </w:r>
          </w:p>
          <w:p w14:paraId="40FE175F" w14:textId="77777777" w:rsidR="008C20EB" w:rsidRDefault="008D25BE">
            <w:pPr>
              <w:pStyle w:val="TableParagraph"/>
              <w:spacing w:line="251" w:lineRule="exact"/>
              <w:ind w:left="71"/>
              <w:jc w:val="both"/>
              <w:rPr>
                <w:b/>
              </w:rPr>
            </w:pPr>
            <w:r>
              <w:rPr>
                <w:b/>
              </w:rPr>
              <w:t>2017</w:t>
            </w:r>
          </w:p>
        </w:tc>
        <w:tc>
          <w:tcPr>
            <w:tcW w:w="1733" w:type="dxa"/>
          </w:tcPr>
          <w:p w14:paraId="40FE1760" w14:textId="77777777" w:rsidR="008C20EB" w:rsidRDefault="008D25BE">
            <w:pPr>
              <w:pStyle w:val="TableParagraph"/>
              <w:spacing w:line="237" w:lineRule="exact"/>
              <w:jc w:val="both"/>
              <w:rPr>
                <w:b/>
              </w:rPr>
            </w:pPr>
            <w:r>
              <w:rPr>
                <w:b/>
              </w:rPr>
              <w:t>(Pr. 20.12.2017 /</w:t>
            </w:r>
          </w:p>
          <w:p w14:paraId="40FE1761" w14:textId="77777777" w:rsidR="008C20EB" w:rsidRDefault="008D25BE">
            <w:pPr>
              <w:pStyle w:val="TableParagraph"/>
              <w:spacing w:before="2"/>
              <w:jc w:val="both"/>
              <w:rPr>
                <w:b/>
              </w:rPr>
            </w:pPr>
            <w:r>
              <w:rPr>
                <w:b/>
              </w:rPr>
              <w:t>Pub. 26.12.2017)</w:t>
            </w:r>
          </w:p>
        </w:tc>
        <w:tc>
          <w:tcPr>
            <w:tcW w:w="3500" w:type="dxa"/>
          </w:tcPr>
          <w:p w14:paraId="40FE1762" w14:textId="77777777" w:rsidR="008C20EB" w:rsidRDefault="008D25BE">
            <w:pPr>
              <w:pStyle w:val="TableParagraph"/>
              <w:spacing w:line="237" w:lineRule="exact"/>
              <w:ind w:left="177"/>
              <w:jc w:val="both"/>
            </w:pPr>
            <w:r>
              <w:t xml:space="preserve">Como  resultado  de  la  aprobación </w:t>
            </w:r>
            <w:r>
              <w:rPr>
                <w:spacing w:val="38"/>
              </w:rPr>
              <w:t xml:space="preserve"> </w:t>
            </w:r>
            <w:r>
              <w:t>del</w:t>
            </w:r>
          </w:p>
          <w:p w14:paraId="40FE1763" w14:textId="77777777" w:rsidR="008C20EB" w:rsidRDefault="008D25BE">
            <w:pPr>
              <w:pStyle w:val="TableParagraph"/>
              <w:spacing w:before="2"/>
              <w:ind w:left="177" w:right="60"/>
              <w:jc w:val="both"/>
            </w:pPr>
            <w:r>
              <w:t xml:space="preserve">nuevo Reglamento para la Gestión del Riesgo de Mercado se sustituye el Anexo 9 y sus notas metodológicas, y se modifica la denominación de la sección IX y la nota metodológica n° 33 del Anexo 15-A correspondientes al Capítulo V del Manual de Contabilidad para Empresas del Sistema Financiero. Vigente  a  partir  de  la  información </w:t>
            </w:r>
            <w:r>
              <w:rPr>
                <w:spacing w:val="23"/>
              </w:rPr>
              <w:t xml:space="preserve"> </w:t>
            </w:r>
            <w:r>
              <w:t>de</w:t>
            </w:r>
          </w:p>
          <w:p w14:paraId="40FE1764" w14:textId="77777777" w:rsidR="008C20EB" w:rsidRDefault="008D25BE">
            <w:pPr>
              <w:pStyle w:val="TableParagraph"/>
              <w:spacing w:line="244" w:lineRule="exact"/>
              <w:ind w:left="177"/>
              <w:jc w:val="both"/>
              <w:rPr>
                <w:b/>
              </w:rPr>
            </w:pPr>
            <w:r>
              <w:rPr>
                <w:b/>
              </w:rPr>
              <w:t>junio 2018.</w:t>
            </w:r>
          </w:p>
        </w:tc>
        <w:tc>
          <w:tcPr>
            <w:tcW w:w="8162" w:type="dxa"/>
          </w:tcPr>
          <w:p w14:paraId="40FE1765" w14:textId="77777777" w:rsidR="008C20EB" w:rsidRDefault="008D25BE">
            <w:pPr>
              <w:pStyle w:val="TableParagraph"/>
              <w:numPr>
                <w:ilvl w:val="0"/>
                <w:numId w:val="50"/>
              </w:numPr>
              <w:tabs>
                <w:tab w:val="left" w:pos="778"/>
                <w:tab w:val="left" w:pos="779"/>
              </w:tabs>
              <w:spacing w:line="253" w:lineRule="exact"/>
              <w:ind w:hanging="693"/>
              <w:jc w:val="both"/>
            </w:pPr>
            <w:r>
              <w:t>En</w:t>
            </w:r>
            <w:r>
              <w:rPr>
                <w:spacing w:val="-6"/>
              </w:rPr>
              <w:t xml:space="preserve"> </w:t>
            </w:r>
            <w:r>
              <w:t>el</w:t>
            </w:r>
            <w:r>
              <w:rPr>
                <w:spacing w:val="-8"/>
              </w:rPr>
              <w:t xml:space="preserve"> </w:t>
            </w:r>
            <w:r>
              <w:t>Capítulo</w:t>
            </w:r>
            <w:r>
              <w:rPr>
                <w:spacing w:val="-1"/>
              </w:rPr>
              <w:t xml:space="preserve"> </w:t>
            </w:r>
            <w:r>
              <w:t>V</w:t>
            </w:r>
            <w:r>
              <w:rPr>
                <w:spacing w:val="-2"/>
              </w:rPr>
              <w:t xml:space="preserve"> </w:t>
            </w:r>
            <w:r>
              <w:t>“Información</w:t>
            </w:r>
            <w:r>
              <w:rPr>
                <w:spacing w:val="-6"/>
              </w:rPr>
              <w:t xml:space="preserve"> </w:t>
            </w:r>
            <w:r>
              <w:t>Complementaria”</w:t>
            </w:r>
            <w:r>
              <w:rPr>
                <w:spacing w:val="-8"/>
              </w:rPr>
              <w:t xml:space="preserve"> </w:t>
            </w:r>
            <w:r>
              <w:t>se</w:t>
            </w:r>
            <w:r>
              <w:rPr>
                <w:spacing w:val="-5"/>
              </w:rPr>
              <w:t xml:space="preserve"> </w:t>
            </w:r>
            <w:r>
              <w:t>realizan</w:t>
            </w:r>
            <w:r>
              <w:rPr>
                <w:spacing w:val="-1"/>
              </w:rPr>
              <w:t xml:space="preserve"> </w:t>
            </w:r>
            <w:r>
              <w:t>las</w:t>
            </w:r>
            <w:r>
              <w:rPr>
                <w:spacing w:val="-5"/>
              </w:rPr>
              <w:t xml:space="preserve"> </w:t>
            </w:r>
            <w:r>
              <w:t>siguientes</w:t>
            </w:r>
            <w:r>
              <w:rPr>
                <w:spacing w:val="-5"/>
              </w:rPr>
              <w:t xml:space="preserve"> </w:t>
            </w:r>
            <w:r>
              <w:t>modificaciones:</w:t>
            </w:r>
          </w:p>
          <w:p w14:paraId="40FE1766" w14:textId="77777777" w:rsidR="008C20EB" w:rsidRDefault="008D25BE">
            <w:pPr>
              <w:pStyle w:val="TableParagraph"/>
              <w:numPr>
                <w:ilvl w:val="1"/>
                <w:numId w:val="50"/>
              </w:numPr>
              <w:tabs>
                <w:tab w:val="left" w:pos="1489"/>
              </w:tabs>
              <w:spacing w:before="7" w:line="230" w:lineRule="auto"/>
              <w:ind w:right="57" w:hanging="361"/>
              <w:jc w:val="both"/>
            </w:pPr>
            <w:r>
              <w:t>Se sustituye la denominación del Anexo N° 9 “Posiciones afectas a riesgo cambiario” por “Resultados de modelos de Medición del Riesgo de Mercado”, así como el formato y notas</w:t>
            </w:r>
            <w:r>
              <w:rPr>
                <w:spacing w:val="-9"/>
              </w:rPr>
              <w:t xml:space="preserve"> </w:t>
            </w:r>
            <w:r>
              <w:t>metodológicas..</w:t>
            </w:r>
          </w:p>
          <w:p w14:paraId="40FE1767" w14:textId="77777777" w:rsidR="008C20EB" w:rsidRDefault="008D25BE">
            <w:pPr>
              <w:pStyle w:val="TableParagraph"/>
              <w:numPr>
                <w:ilvl w:val="1"/>
                <w:numId w:val="50"/>
              </w:numPr>
              <w:tabs>
                <w:tab w:val="left" w:pos="1489"/>
              </w:tabs>
              <w:spacing w:before="12" w:line="230" w:lineRule="auto"/>
              <w:ind w:right="53" w:hanging="361"/>
              <w:jc w:val="both"/>
            </w:pPr>
            <w:r>
              <w:t>Se sustituye la denominación de la sección IX del Anexo 15-A por el texto: Posición Contable Neta en Productos Financieros Derivados (Moneda Extranjera / PEN). Asimismo, se modifica la Nota Metodológica N° 33 del Anexo</w:t>
            </w:r>
            <w:r>
              <w:rPr>
                <w:spacing w:val="-22"/>
              </w:rPr>
              <w:t xml:space="preserve"> </w:t>
            </w:r>
            <w:r>
              <w:t>15-A.</w:t>
            </w:r>
          </w:p>
        </w:tc>
      </w:tr>
      <w:tr w:rsidR="008C20EB" w14:paraId="40FE1771" w14:textId="77777777">
        <w:trPr>
          <w:trHeight w:val="2021"/>
        </w:trPr>
        <w:tc>
          <w:tcPr>
            <w:tcW w:w="1445" w:type="dxa"/>
          </w:tcPr>
          <w:p w14:paraId="40FE1769" w14:textId="77777777" w:rsidR="008C20EB" w:rsidRDefault="008D25BE">
            <w:pPr>
              <w:pStyle w:val="TableParagraph"/>
              <w:spacing w:line="237" w:lineRule="auto"/>
              <w:ind w:left="71" w:right="42"/>
              <w:jc w:val="both"/>
              <w:rPr>
                <w:b/>
              </w:rPr>
            </w:pPr>
            <w:r>
              <w:rPr>
                <w:b/>
              </w:rPr>
              <w:t>Resolución SBS N° 3593-</w:t>
            </w:r>
          </w:p>
          <w:p w14:paraId="40FE176A" w14:textId="77777777" w:rsidR="008C20EB" w:rsidRDefault="008D25BE">
            <w:pPr>
              <w:pStyle w:val="TableParagraph"/>
              <w:ind w:left="71"/>
              <w:jc w:val="both"/>
              <w:rPr>
                <w:b/>
              </w:rPr>
            </w:pPr>
            <w:r>
              <w:rPr>
                <w:b/>
              </w:rPr>
              <w:t>2017</w:t>
            </w:r>
          </w:p>
        </w:tc>
        <w:tc>
          <w:tcPr>
            <w:tcW w:w="1733" w:type="dxa"/>
          </w:tcPr>
          <w:p w14:paraId="40FE176B" w14:textId="77777777" w:rsidR="008C20EB" w:rsidRDefault="008D25BE">
            <w:pPr>
              <w:pStyle w:val="TableParagraph"/>
              <w:spacing w:line="241" w:lineRule="exact"/>
              <w:jc w:val="both"/>
              <w:rPr>
                <w:b/>
              </w:rPr>
            </w:pPr>
            <w:r>
              <w:rPr>
                <w:b/>
              </w:rPr>
              <w:t>(Pr. 13.09.2017 /</w:t>
            </w:r>
          </w:p>
          <w:p w14:paraId="40FE176C" w14:textId="77777777" w:rsidR="008C20EB" w:rsidRDefault="008D25BE">
            <w:pPr>
              <w:pStyle w:val="TableParagraph"/>
              <w:spacing w:line="251" w:lineRule="exact"/>
              <w:jc w:val="both"/>
              <w:rPr>
                <w:b/>
              </w:rPr>
            </w:pPr>
            <w:r>
              <w:rPr>
                <w:b/>
              </w:rPr>
              <w:t>Pub. 16.09.2017)</w:t>
            </w:r>
          </w:p>
        </w:tc>
        <w:tc>
          <w:tcPr>
            <w:tcW w:w="3500" w:type="dxa"/>
          </w:tcPr>
          <w:p w14:paraId="40FE176D" w14:textId="77777777" w:rsidR="008C20EB" w:rsidRDefault="008D25BE">
            <w:pPr>
              <w:pStyle w:val="TableParagraph"/>
              <w:ind w:left="177" w:right="65"/>
              <w:jc w:val="both"/>
            </w:pPr>
            <w:r>
              <w:t xml:space="preserve">Como resultado de la modificación del Reglamento para el Requerimiento de Patrimonio Efectivo por Riesgo de Crédito, el artículo segundo modificó el Reporte N° 2-A1 Activos y Contingentes Ponderados por Riesgo de Crédito - Método     Estándar     del     Capítulo </w:t>
            </w:r>
            <w:r>
              <w:rPr>
                <w:spacing w:val="16"/>
              </w:rPr>
              <w:t xml:space="preserve"> </w:t>
            </w:r>
            <w:r>
              <w:t>V</w:t>
            </w:r>
          </w:p>
          <w:p w14:paraId="40FE176E" w14:textId="77777777" w:rsidR="008C20EB" w:rsidRDefault="008D25BE">
            <w:pPr>
              <w:pStyle w:val="TableParagraph"/>
              <w:spacing w:line="244" w:lineRule="exact"/>
              <w:ind w:left="177"/>
              <w:jc w:val="both"/>
            </w:pPr>
            <w:r>
              <w:t>Información Complementaria del</w:t>
            </w:r>
            <w:r>
              <w:rPr>
                <w:spacing w:val="-33"/>
              </w:rPr>
              <w:t xml:space="preserve"> </w:t>
            </w:r>
            <w:r>
              <w:t>Manual</w:t>
            </w:r>
          </w:p>
        </w:tc>
        <w:tc>
          <w:tcPr>
            <w:tcW w:w="8162" w:type="dxa"/>
          </w:tcPr>
          <w:p w14:paraId="40FE176F" w14:textId="77777777" w:rsidR="008C20EB" w:rsidRDefault="008D25BE">
            <w:pPr>
              <w:pStyle w:val="TableParagraph"/>
              <w:numPr>
                <w:ilvl w:val="0"/>
                <w:numId w:val="51"/>
              </w:numPr>
              <w:tabs>
                <w:tab w:val="left" w:pos="778"/>
                <w:tab w:val="left" w:pos="779"/>
              </w:tabs>
              <w:spacing w:line="259" w:lineRule="exact"/>
              <w:ind w:hanging="693"/>
              <w:jc w:val="both"/>
            </w:pPr>
            <w:r>
              <w:t>En el Capítulo V “Información Complementaria” se realiza la siguiente</w:t>
            </w:r>
            <w:r>
              <w:rPr>
                <w:spacing w:val="-33"/>
              </w:rPr>
              <w:t xml:space="preserve"> </w:t>
            </w:r>
            <w:r>
              <w:t>modificación:</w:t>
            </w:r>
          </w:p>
          <w:p w14:paraId="40FE1770" w14:textId="77777777" w:rsidR="008C20EB" w:rsidRDefault="008D25BE">
            <w:pPr>
              <w:pStyle w:val="TableParagraph"/>
              <w:tabs>
                <w:tab w:val="left" w:pos="1488"/>
              </w:tabs>
              <w:spacing w:before="15" w:line="220" w:lineRule="auto"/>
              <w:ind w:left="1512" w:right="207" w:hanging="361"/>
              <w:jc w:val="both"/>
            </w:pPr>
            <w:r>
              <w:rPr>
                <w:rFonts w:ascii="Courier New" w:hAnsi="Courier New"/>
              </w:rPr>
              <w:t>o</w:t>
            </w:r>
            <w:r>
              <w:rPr>
                <w:rFonts w:ascii="Courier New" w:hAnsi="Courier New"/>
              </w:rPr>
              <w:tab/>
            </w:r>
            <w:r>
              <w:t>Modificar</w:t>
            </w:r>
            <w:r>
              <w:rPr>
                <w:spacing w:val="-4"/>
              </w:rPr>
              <w:t xml:space="preserve"> </w:t>
            </w:r>
            <w:r>
              <w:t>el</w:t>
            </w:r>
            <w:r>
              <w:rPr>
                <w:spacing w:val="-3"/>
              </w:rPr>
              <w:t xml:space="preserve"> </w:t>
            </w:r>
            <w:r>
              <w:t>Reporte</w:t>
            </w:r>
            <w:r>
              <w:rPr>
                <w:spacing w:val="-6"/>
              </w:rPr>
              <w:t xml:space="preserve"> </w:t>
            </w:r>
            <w:r>
              <w:t>N°</w:t>
            </w:r>
            <w:r>
              <w:rPr>
                <w:spacing w:val="-3"/>
              </w:rPr>
              <w:t xml:space="preserve"> </w:t>
            </w:r>
            <w:r>
              <w:t>2-A1</w:t>
            </w:r>
            <w:r>
              <w:rPr>
                <w:spacing w:val="-1"/>
              </w:rPr>
              <w:t xml:space="preserve"> </w:t>
            </w:r>
            <w:r>
              <w:t>“Activos</w:t>
            </w:r>
            <w:r>
              <w:rPr>
                <w:spacing w:val="-5"/>
              </w:rPr>
              <w:t xml:space="preserve"> </w:t>
            </w:r>
            <w:r>
              <w:t>y</w:t>
            </w:r>
            <w:r>
              <w:rPr>
                <w:spacing w:val="-5"/>
              </w:rPr>
              <w:t xml:space="preserve"> </w:t>
            </w:r>
            <w:r>
              <w:t>Contingentes</w:t>
            </w:r>
            <w:r>
              <w:rPr>
                <w:spacing w:val="-5"/>
              </w:rPr>
              <w:t xml:space="preserve"> </w:t>
            </w:r>
            <w:r>
              <w:t>Ponderados</w:t>
            </w:r>
            <w:r>
              <w:rPr>
                <w:spacing w:val="-4"/>
              </w:rPr>
              <w:t xml:space="preserve"> </w:t>
            </w:r>
            <w:r>
              <w:t>por</w:t>
            </w:r>
            <w:r>
              <w:rPr>
                <w:spacing w:val="-4"/>
              </w:rPr>
              <w:t xml:space="preserve"> </w:t>
            </w:r>
            <w:r>
              <w:t>Riesgo</w:t>
            </w:r>
            <w:r>
              <w:rPr>
                <w:spacing w:val="-6"/>
              </w:rPr>
              <w:t xml:space="preserve"> </w:t>
            </w:r>
            <w:r>
              <w:t>de Crédito – Método</w:t>
            </w:r>
            <w:r>
              <w:rPr>
                <w:spacing w:val="-8"/>
              </w:rPr>
              <w:t xml:space="preserve"> </w:t>
            </w:r>
            <w:r>
              <w:t>Estándar</w:t>
            </w:r>
          </w:p>
        </w:tc>
      </w:tr>
    </w:tbl>
    <w:p w14:paraId="40FE1772" w14:textId="77777777" w:rsidR="008C20EB" w:rsidRDefault="008C20EB">
      <w:pPr>
        <w:spacing w:line="220"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77" w14:textId="77777777">
        <w:trPr>
          <w:trHeight w:val="254"/>
        </w:trPr>
        <w:tc>
          <w:tcPr>
            <w:tcW w:w="1445" w:type="dxa"/>
            <w:vAlign w:val="bottom"/>
          </w:tcPr>
          <w:p w14:paraId="40FE177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74" w14:textId="77777777" w:rsidR="008C20EB" w:rsidRDefault="008D25BE">
            <w:pPr>
              <w:pStyle w:val="TableParagraph"/>
              <w:spacing w:line="234" w:lineRule="exact"/>
              <w:ind w:left="556"/>
              <w:jc w:val="both"/>
              <w:rPr>
                <w:b/>
              </w:rPr>
            </w:pPr>
            <w:r>
              <w:rPr>
                <w:b/>
              </w:rPr>
              <w:t>FECHA</w:t>
            </w:r>
          </w:p>
        </w:tc>
        <w:tc>
          <w:tcPr>
            <w:tcW w:w="3500" w:type="dxa"/>
            <w:vAlign w:val="bottom"/>
          </w:tcPr>
          <w:p w14:paraId="40FE177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76" w14:textId="77777777" w:rsidR="008C20EB" w:rsidRDefault="008D25BE">
            <w:pPr>
              <w:pStyle w:val="TableParagraph"/>
              <w:spacing w:line="234" w:lineRule="exact"/>
              <w:ind w:left="3271" w:right="3265"/>
              <w:jc w:val="both"/>
              <w:rPr>
                <w:b/>
              </w:rPr>
            </w:pPr>
            <w:r>
              <w:rPr>
                <w:b/>
              </w:rPr>
              <w:t>MODIFICATORIAS</w:t>
            </w:r>
          </w:p>
        </w:tc>
      </w:tr>
      <w:tr w:rsidR="008C20EB" w14:paraId="40FE177C" w14:textId="77777777">
        <w:trPr>
          <w:trHeight w:val="1041"/>
        </w:trPr>
        <w:tc>
          <w:tcPr>
            <w:tcW w:w="1445" w:type="dxa"/>
          </w:tcPr>
          <w:p w14:paraId="40FE1778" w14:textId="77777777" w:rsidR="008C20EB" w:rsidRDefault="008C20EB">
            <w:pPr>
              <w:pStyle w:val="TableParagraph"/>
              <w:jc w:val="both"/>
              <w:rPr>
                <w:rFonts w:ascii="Times New Roman"/>
              </w:rPr>
            </w:pPr>
          </w:p>
        </w:tc>
        <w:tc>
          <w:tcPr>
            <w:tcW w:w="1733" w:type="dxa"/>
          </w:tcPr>
          <w:p w14:paraId="40FE1779" w14:textId="77777777" w:rsidR="008C20EB" w:rsidRDefault="008C20EB">
            <w:pPr>
              <w:pStyle w:val="TableParagraph"/>
              <w:jc w:val="both"/>
              <w:rPr>
                <w:rFonts w:ascii="Times New Roman"/>
              </w:rPr>
            </w:pPr>
          </w:p>
        </w:tc>
        <w:tc>
          <w:tcPr>
            <w:tcW w:w="3500" w:type="dxa"/>
          </w:tcPr>
          <w:p w14:paraId="40FE177A" w14:textId="77777777" w:rsidR="008C20EB" w:rsidRDefault="008D25BE">
            <w:pPr>
              <w:pStyle w:val="TableParagraph"/>
              <w:ind w:left="177" w:right="65"/>
              <w:jc w:val="both"/>
              <w:rPr>
                <w:b/>
              </w:rPr>
            </w:pPr>
            <w:r>
              <w:t xml:space="preserve">de Contabilidad para las Empresas del Sistema Financiero. Vigente a partir de la información de </w:t>
            </w:r>
            <w:r>
              <w:rPr>
                <w:b/>
              </w:rPr>
              <w:t>octubre 2017.</w:t>
            </w:r>
          </w:p>
        </w:tc>
        <w:tc>
          <w:tcPr>
            <w:tcW w:w="8162" w:type="dxa"/>
          </w:tcPr>
          <w:p w14:paraId="40FE177B" w14:textId="77777777" w:rsidR="008C20EB" w:rsidRDefault="008C20EB">
            <w:pPr>
              <w:pStyle w:val="TableParagraph"/>
              <w:jc w:val="both"/>
              <w:rPr>
                <w:rFonts w:ascii="Times New Roman"/>
              </w:rPr>
            </w:pPr>
          </w:p>
        </w:tc>
      </w:tr>
      <w:tr w:rsidR="008C20EB" w14:paraId="40FE1787" w14:textId="77777777">
        <w:trPr>
          <w:trHeight w:val="2270"/>
        </w:trPr>
        <w:tc>
          <w:tcPr>
            <w:tcW w:w="1445" w:type="dxa"/>
          </w:tcPr>
          <w:p w14:paraId="40FE177D" w14:textId="77777777" w:rsidR="008C20EB" w:rsidRDefault="008D25BE">
            <w:pPr>
              <w:pStyle w:val="TableParagraph"/>
              <w:spacing w:line="237" w:lineRule="exact"/>
              <w:ind w:left="71"/>
              <w:jc w:val="both"/>
              <w:rPr>
                <w:b/>
              </w:rPr>
            </w:pPr>
            <w:r>
              <w:rPr>
                <w:b/>
              </w:rPr>
              <w:t>Resolución</w:t>
            </w:r>
          </w:p>
          <w:p w14:paraId="40FE177E" w14:textId="77777777" w:rsidR="008C20EB" w:rsidRDefault="008D25BE">
            <w:pPr>
              <w:pStyle w:val="TableParagraph"/>
              <w:spacing w:before="2"/>
              <w:ind w:left="71"/>
              <w:jc w:val="both"/>
              <w:rPr>
                <w:b/>
              </w:rPr>
            </w:pPr>
            <w:r>
              <w:rPr>
                <w:b/>
              </w:rPr>
              <w:t>SBS N° 3274-</w:t>
            </w:r>
          </w:p>
          <w:p w14:paraId="40FE177F" w14:textId="77777777" w:rsidR="008C20EB" w:rsidRDefault="008D25BE">
            <w:pPr>
              <w:pStyle w:val="TableParagraph"/>
              <w:spacing w:before="2"/>
              <w:ind w:left="71"/>
              <w:jc w:val="both"/>
              <w:rPr>
                <w:b/>
              </w:rPr>
            </w:pPr>
            <w:r>
              <w:rPr>
                <w:b/>
              </w:rPr>
              <w:t>2017</w:t>
            </w:r>
          </w:p>
        </w:tc>
        <w:tc>
          <w:tcPr>
            <w:tcW w:w="1733" w:type="dxa"/>
          </w:tcPr>
          <w:p w14:paraId="40FE1780" w14:textId="77777777" w:rsidR="008C20EB" w:rsidRDefault="008D25BE">
            <w:pPr>
              <w:pStyle w:val="TableParagraph"/>
              <w:spacing w:line="237" w:lineRule="exact"/>
              <w:jc w:val="both"/>
              <w:rPr>
                <w:b/>
              </w:rPr>
            </w:pPr>
            <w:r>
              <w:rPr>
                <w:b/>
              </w:rPr>
              <w:t>(Pr. 18.08.2017 /</w:t>
            </w:r>
          </w:p>
          <w:p w14:paraId="40FE1781" w14:textId="77777777" w:rsidR="008C20EB" w:rsidRDefault="008D25BE">
            <w:pPr>
              <w:pStyle w:val="TableParagraph"/>
              <w:spacing w:before="2"/>
              <w:jc w:val="both"/>
              <w:rPr>
                <w:b/>
              </w:rPr>
            </w:pPr>
            <w:r>
              <w:rPr>
                <w:b/>
              </w:rPr>
              <w:t>Pub. 21.08.2017)</w:t>
            </w:r>
          </w:p>
        </w:tc>
        <w:tc>
          <w:tcPr>
            <w:tcW w:w="3500" w:type="dxa"/>
          </w:tcPr>
          <w:p w14:paraId="40FE1782" w14:textId="77777777" w:rsidR="008C20EB" w:rsidRDefault="008D25BE">
            <w:pPr>
              <w:pStyle w:val="TableParagraph"/>
              <w:spacing w:line="237" w:lineRule="exact"/>
              <w:ind w:left="177"/>
              <w:jc w:val="both"/>
            </w:pPr>
            <w:r>
              <w:t xml:space="preserve">Como   resultado   de   la   emisión  </w:t>
            </w:r>
            <w:r>
              <w:rPr>
                <w:spacing w:val="46"/>
              </w:rPr>
              <w:t xml:space="preserve"> </w:t>
            </w:r>
            <w:r>
              <w:t>del</w:t>
            </w:r>
          </w:p>
          <w:p w14:paraId="40FE1783" w14:textId="77777777" w:rsidR="008C20EB" w:rsidRDefault="008D25BE">
            <w:pPr>
              <w:pStyle w:val="TableParagraph"/>
              <w:spacing w:before="2"/>
              <w:ind w:left="177" w:right="62"/>
              <w:jc w:val="both"/>
            </w:pPr>
            <w:r>
              <w:t xml:space="preserve">“Reglamento de Conducta de Mercado del Sistema Financiero”, el Artículo Cuarto de la Resolución modifica el Capítulo III y el Capítulo IV del Manual de Contabilidad para las Empresas del Sistema Financiero. Vigente a partir de la     información     correspondiente  </w:t>
            </w:r>
            <w:r>
              <w:rPr>
                <w:spacing w:val="4"/>
              </w:rPr>
              <w:t xml:space="preserve"> </w:t>
            </w:r>
            <w:r>
              <w:t>de</w:t>
            </w:r>
          </w:p>
          <w:p w14:paraId="40FE1784" w14:textId="77777777" w:rsidR="008C20EB" w:rsidRDefault="008D25BE">
            <w:pPr>
              <w:pStyle w:val="TableParagraph"/>
              <w:spacing w:line="245" w:lineRule="exact"/>
              <w:ind w:left="177"/>
              <w:jc w:val="both"/>
              <w:rPr>
                <w:b/>
              </w:rPr>
            </w:pPr>
            <w:r>
              <w:rPr>
                <w:b/>
              </w:rPr>
              <w:t>noviembre 2017.</w:t>
            </w:r>
          </w:p>
        </w:tc>
        <w:tc>
          <w:tcPr>
            <w:tcW w:w="8162" w:type="dxa"/>
          </w:tcPr>
          <w:p w14:paraId="40FE1785" w14:textId="77777777" w:rsidR="008C20EB" w:rsidRDefault="008D25BE">
            <w:pPr>
              <w:pStyle w:val="TableParagraph"/>
              <w:numPr>
                <w:ilvl w:val="0"/>
                <w:numId w:val="52"/>
              </w:numPr>
              <w:tabs>
                <w:tab w:val="left" w:pos="371"/>
              </w:tabs>
              <w:spacing w:line="235" w:lineRule="auto"/>
              <w:ind w:right="187"/>
              <w:jc w:val="both"/>
            </w:pPr>
            <w:r>
              <w:t>En</w:t>
            </w:r>
            <w:r>
              <w:rPr>
                <w:spacing w:val="-5"/>
              </w:rPr>
              <w:t xml:space="preserve"> </w:t>
            </w:r>
            <w:r>
              <w:t>el</w:t>
            </w:r>
            <w:r>
              <w:rPr>
                <w:spacing w:val="-7"/>
              </w:rPr>
              <w:t xml:space="preserve"> </w:t>
            </w:r>
            <w:r>
              <w:t>Capítulo</w:t>
            </w:r>
            <w:r>
              <w:rPr>
                <w:spacing w:val="1"/>
              </w:rPr>
              <w:t xml:space="preserve"> </w:t>
            </w:r>
            <w:r>
              <w:t>III</w:t>
            </w:r>
            <w:r>
              <w:rPr>
                <w:spacing w:val="-3"/>
              </w:rPr>
              <w:t xml:space="preserve"> </w:t>
            </w:r>
            <w:r>
              <w:t>“Catálogo</w:t>
            </w:r>
            <w:r>
              <w:rPr>
                <w:spacing w:val="-4"/>
              </w:rPr>
              <w:t xml:space="preserve"> </w:t>
            </w:r>
            <w:r>
              <w:t>de</w:t>
            </w:r>
            <w:r>
              <w:rPr>
                <w:spacing w:val="-4"/>
              </w:rPr>
              <w:t xml:space="preserve"> </w:t>
            </w:r>
            <w:r>
              <w:t>Cuentas”</w:t>
            </w:r>
            <w:r>
              <w:rPr>
                <w:spacing w:val="-7"/>
              </w:rPr>
              <w:t xml:space="preserve"> </w:t>
            </w:r>
            <w:r>
              <w:t>y IV “Descripción</w:t>
            </w:r>
            <w:r>
              <w:rPr>
                <w:spacing w:val="-5"/>
              </w:rPr>
              <w:t xml:space="preserve"> </w:t>
            </w:r>
            <w:r>
              <w:t>y Dinámica</w:t>
            </w:r>
            <w:r>
              <w:rPr>
                <w:spacing w:val="-4"/>
              </w:rPr>
              <w:t xml:space="preserve"> </w:t>
            </w:r>
            <w:r>
              <w:t>de</w:t>
            </w:r>
            <w:r>
              <w:rPr>
                <w:spacing w:val="-5"/>
              </w:rPr>
              <w:t xml:space="preserve"> </w:t>
            </w:r>
            <w:r>
              <w:t>Cuentas”</w:t>
            </w:r>
            <w:r>
              <w:rPr>
                <w:spacing w:val="-11"/>
              </w:rPr>
              <w:t xml:space="preserve"> </w:t>
            </w:r>
            <w:r>
              <w:t>se</w:t>
            </w:r>
            <w:r>
              <w:rPr>
                <w:spacing w:val="-5"/>
              </w:rPr>
              <w:t xml:space="preserve"> </w:t>
            </w:r>
            <w:r>
              <w:t>realiza la siguiente</w:t>
            </w:r>
            <w:r>
              <w:rPr>
                <w:spacing w:val="-4"/>
              </w:rPr>
              <w:t xml:space="preserve"> </w:t>
            </w:r>
            <w:r>
              <w:t>modificación:</w:t>
            </w:r>
          </w:p>
          <w:p w14:paraId="40FE1786" w14:textId="77777777" w:rsidR="008C20EB" w:rsidRDefault="008D25BE">
            <w:pPr>
              <w:pStyle w:val="TableParagraph"/>
              <w:tabs>
                <w:tab w:val="left" w:pos="1488"/>
              </w:tabs>
              <w:ind w:left="1152"/>
              <w:jc w:val="both"/>
            </w:pPr>
            <w:r>
              <w:rPr>
                <w:rFonts w:ascii="Courier New" w:hAnsi="Courier New"/>
              </w:rPr>
              <w:t>o</w:t>
            </w:r>
            <w:r>
              <w:rPr>
                <w:rFonts w:ascii="Courier New" w:hAnsi="Courier New"/>
              </w:rPr>
              <w:tab/>
            </w:r>
            <w:r>
              <w:t>Se incorpora la subcuenta analítica 5202.30 “Tarjetas de</w:t>
            </w:r>
            <w:r>
              <w:rPr>
                <w:spacing w:val="-15"/>
              </w:rPr>
              <w:t xml:space="preserve"> </w:t>
            </w:r>
            <w:r>
              <w:t>Crédito”</w:t>
            </w:r>
          </w:p>
        </w:tc>
      </w:tr>
      <w:tr w:rsidR="008C20EB" w14:paraId="40FE1791" w14:textId="77777777">
        <w:trPr>
          <w:trHeight w:val="2779"/>
        </w:trPr>
        <w:tc>
          <w:tcPr>
            <w:tcW w:w="1445" w:type="dxa"/>
          </w:tcPr>
          <w:p w14:paraId="40FE1788" w14:textId="77777777" w:rsidR="008C20EB" w:rsidRDefault="008D25BE">
            <w:pPr>
              <w:pStyle w:val="TableParagraph"/>
              <w:spacing w:line="237" w:lineRule="auto"/>
              <w:ind w:left="71" w:right="42"/>
              <w:jc w:val="both"/>
              <w:rPr>
                <w:b/>
              </w:rPr>
            </w:pPr>
            <w:r>
              <w:rPr>
                <w:b/>
              </w:rPr>
              <w:t>Resolución SBS N° 465-</w:t>
            </w:r>
          </w:p>
          <w:p w14:paraId="40FE1789" w14:textId="77777777" w:rsidR="008C20EB" w:rsidRDefault="008D25BE">
            <w:pPr>
              <w:pStyle w:val="TableParagraph"/>
              <w:ind w:left="71"/>
              <w:jc w:val="both"/>
              <w:rPr>
                <w:b/>
              </w:rPr>
            </w:pPr>
            <w:r>
              <w:rPr>
                <w:b/>
              </w:rPr>
              <w:t>2017</w:t>
            </w:r>
          </w:p>
        </w:tc>
        <w:tc>
          <w:tcPr>
            <w:tcW w:w="1733" w:type="dxa"/>
          </w:tcPr>
          <w:p w14:paraId="40FE178A" w14:textId="77777777" w:rsidR="008C20EB" w:rsidRDefault="008D25BE">
            <w:pPr>
              <w:pStyle w:val="TableParagraph"/>
              <w:spacing w:line="240" w:lineRule="exact"/>
              <w:jc w:val="both"/>
              <w:rPr>
                <w:b/>
              </w:rPr>
            </w:pPr>
            <w:r>
              <w:rPr>
                <w:b/>
              </w:rPr>
              <w:t>(Pr. 18.08.2017 /</w:t>
            </w:r>
          </w:p>
          <w:p w14:paraId="40FE178B" w14:textId="77777777" w:rsidR="008C20EB" w:rsidRDefault="008D25BE">
            <w:pPr>
              <w:pStyle w:val="TableParagraph"/>
              <w:spacing w:line="251" w:lineRule="exact"/>
              <w:jc w:val="both"/>
              <w:rPr>
                <w:b/>
              </w:rPr>
            </w:pPr>
            <w:r>
              <w:rPr>
                <w:b/>
              </w:rPr>
              <w:t>Pub. 21.08.2017)</w:t>
            </w:r>
          </w:p>
        </w:tc>
        <w:tc>
          <w:tcPr>
            <w:tcW w:w="3500" w:type="dxa"/>
          </w:tcPr>
          <w:p w14:paraId="40FE178C" w14:textId="77777777" w:rsidR="008C20EB" w:rsidRDefault="008D25BE">
            <w:pPr>
              <w:pStyle w:val="TableParagraph"/>
              <w:ind w:left="177" w:right="57"/>
              <w:jc w:val="both"/>
            </w:pPr>
            <w:r>
              <w:t>Como resultado de la modificación del Reglamento de Operaciones con Dinero Electrónico y del Reglamento de las Empresas Emisoras de Dinero Electrónico, se sustituye los Reportes 32-A “Reporte diario de dinero electrónico” y 32-B “Reporte mensual de dinero electrónico” del Capítulo V del Manual de Contabilidad. Vigente a partir de la información correspondiente de</w:t>
            </w:r>
          </w:p>
          <w:p w14:paraId="40FE178D" w14:textId="77777777" w:rsidR="008C20EB" w:rsidRDefault="008D25BE">
            <w:pPr>
              <w:pStyle w:val="TableParagraph"/>
              <w:spacing w:line="245" w:lineRule="exact"/>
              <w:ind w:left="177"/>
              <w:jc w:val="both"/>
              <w:rPr>
                <w:b/>
              </w:rPr>
            </w:pPr>
            <w:r>
              <w:rPr>
                <w:b/>
              </w:rPr>
              <w:t>abril 2017.</w:t>
            </w:r>
          </w:p>
        </w:tc>
        <w:tc>
          <w:tcPr>
            <w:tcW w:w="8162" w:type="dxa"/>
          </w:tcPr>
          <w:p w14:paraId="40FE178E" w14:textId="77777777" w:rsidR="008C20EB" w:rsidRDefault="008D25BE">
            <w:pPr>
              <w:pStyle w:val="TableParagraph"/>
              <w:numPr>
                <w:ilvl w:val="0"/>
                <w:numId w:val="53"/>
              </w:numPr>
              <w:tabs>
                <w:tab w:val="left" w:pos="371"/>
              </w:tabs>
              <w:spacing w:line="258" w:lineRule="exact"/>
              <w:ind w:hanging="285"/>
              <w:jc w:val="both"/>
            </w:pPr>
            <w:r>
              <w:t>En el Capítulo V “Información Complementaria” se sustituyen los siguientes</w:t>
            </w:r>
            <w:r>
              <w:rPr>
                <w:spacing w:val="-30"/>
              </w:rPr>
              <w:t xml:space="preserve"> </w:t>
            </w:r>
            <w:r>
              <w:t>reportes:</w:t>
            </w:r>
          </w:p>
          <w:p w14:paraId="40FE178F" w14:textId="77777777" w:rsidR="008C20EB" w:rsidRDefault="008D25BE">
            <w:pPr>
              <w:pStyle w:val="TableParagraph"/>
              <w:numPr>
                <w:ilvl w:val="1"/>
                <w:numId w:val="53"/>
              </w:numPr>
              <w:tabs>
                <w:tab w:val="left" w:pos="1488"/>
                <w:tab w:val="left" w:pos="1489"/>
              </w:tabs>
              <w:spacing w:line="261" w:lineRule="exact"/>
              <w:ind w:hanging="337"/>
              <w:jc w:val="both"/>
            </w:pPr>
            <w:r>
              <w:t>32-A “Reporte diario de dinero</w:t>
            </w:r>
            <w:r>
              <w:rPr>
                <w:spacing w:val="-17"/>
              </w:rPr>
              <w:t xml:space="preserve"> </w:t>
            </w:r>
            <w:r>
              <w:t>electrónico”</w:t>
            </w:r>
          </w:p>
          <w:p w14:paraId="40FE1790" w14:textId="77777777" w:rsidR="008C20EB" w:rsidRDefault="008D25BE">
            <w:pPr>
              <w:pStyle w:val="TableParagraph"/>
              <w:numPr>
                <w:ilvl w:val="1"/>
                <w:numId w:val="53"/>
              </w:numPr>
              <w:tabs>
                <w:tab w:val="left" w:pos="1488"/>
                <w:tab w:val="left" w:pos="1489"/>
              </w:tabs>
              <w:spacing w:line="261" w:lineRule="exact"/>
              <w:ind w:hanging="337"/>
              <w:jc w:val="both"/>
            </w:pPr>
            <w:r>
              <w:t>32-B “Reporte mensual de dinero</w:t>
            </w:r>
            <w:r>
              <w:rPr>
                <w:spacing w:val="-14"/>
              </w:rPr>
              <w:t xml:space="preserve"> </w:t>
            </w:r>
            <w:r>
              <w:t>electrónico”</w:t>
            </w:r>
          </w:p>
        </w:tc>
      </w:tr>
      <w:tr w:rsidR="008C20EB" w14:paraId="40FE179D" w14:textId="77777777">
        <w:trPr>
          <w:trHeight w:val="2794"/>
        </w:trPr>
        <w:tc>
          <w:tcPr>
            <w:tcW w:w="1445" w:type="dxa"/>
          </w:tcPr>
          <w:p w14:paraId="40FE1792" w14:textId="77777777" w:rsidR="008C20EB" w:rsidRDefault="008D25BE">
            <w:pPr>
              <w:pStyle w:val="TableParagraph"/>
              <w:spacing w:line="237" w:lineRule="exact"/>
              <w:ind w:left="71"/>
              <w:jc w:val="both"/>
              <w:rPr>
                <w:b/>
              </w:rPr>
            </w:pPr>
            <w:r>
              <w:rPr>
                <w:b/>
              </w:rPr>
              <w:t>Resolución</w:t>
            </w:r>
          </w:p>
          <w:p w14:paraId="40FE1793" w14:textId="77777777" w:rsidR="008C20EB" w:rsidRDefault="008D25BE">
            <w:pPr>
              <w:pStyle w:val="TableParagraph"/>
              <w:spacing w:before="2"/>
              <w:ind w:left="71" w:right="42"/>
              <w:jc w:val="both"/>
              <w:rPr>
                <w:b/>
              </w:rPr>
            </w:pPr>
            <w:r>
              <w:rPr>
                <w:b/>
              </w:rPr>
              <w:t>S.B.S. N° 3716- 2016</w:t>
            </w:r>
          </w:p>
        </w:tc>
        <w:tc>
          <w:tcPr>
            <w:tcW w:w="1733" w:type="dxa"/>
          </w:tcPr>
          <w:p w14:paraId="40FE1794" w14:textId="77777777" w:rsidR="008C20EB" w:rsidRDefault="008D25BE">
            <w:pPr>
              <w:pStyle w:val="TableParagraph"/>
              <w:spacing w:line="237" w:lineRule="exact"/>
              <w:jc w:val="both"/>
              <w:rPr>
                <w:b/>
              </w:rPr>
            </w:pPr>
            <w:r>
              <w:rPr>
                <w:b/>
              </w:rPr>
              <w:t>(Pr. 06.07.2016 /</w:t>
            </w:r>
          </w:p>
          <w:p w14:paraId="40FE1795" w14:textId="77777777" w:rsidR="008C20EB" w:rsidRDefault="008D25BE">
            <w:pPr>
              <w:pStyle w:val="TableParagraph"/>
              <w:spacing w:before="2"/>
              <w:jc w:val="both"/>
              <w:rPr>
                <w:b/>
              </w:rPr>
            </w:pPr>
            <w:r>
              <w:rPr>
                <w:b/>
              </w:rPr>
              <w:t>Pub. 09.07.2016)</w:t>
            </w:r>
          </w:p>
        </w:tc>
        <w:tc>
          <w:tcPr>
            <w:tcW w:w="3500" w:type="dxa"/>
          </w:tcPr>
          <w:p w14:paraId="40FE1796" w14:textId="77777777" w:rsidR="008C20EB" w:rsidRDefault="008D25BE">
            <w:pPr>
              <w:pStyle w:val="TableParagraph"/>
              <w:spacing w:line="237" w:lineRule="exact"/>
              <w:ind w:left="177"/>
              <w:jc w:val="both"/>
            </w:pPr>
            <w:r>
              <w:t>Como resultado de la emisión del</w:t>
            </w:r>
          </w:p>
          <w:p w14:paraId="40FE1797" w14:textId="77777777" w:rsidR="008C20EB" w:rsidRDefault="008D25BE">
            <w:pPr>
              <w:pStyle w:val="TableParagraph"/>
              <w:spacing w:before="2"/>
              <w:ind w:left="177" w:right="62"/>
              <w:jc w:val="both"/>
            </w:pPr>
            <w:r>
              <w:t>Reglamento de Capitalización Inmobiliaria y Empresas de Capitalización Inmobiliaria, se modifica el Capítulo III, Capítulo IV y Capítulo V del Manual de Contabilidad para las empresas del sistema</w:t>
            </w:r>
            <w:r>
              <w:rPr>
                <w:spacing w:val="-12"/>
              </w:rPr>
              <w:t xml:space="preserve"> </w:t>
            </w:r>
            <w:r>
              <w:t>Financiero.</w:t>
            </w:r>
          </w:p>
        </w:tc>
        <w:tc>
          <w:tcPr>
            <w:tcW w:w="8162" w:type="dxa"/>
          </w:tcPr>
          <w:p w14:paraId="40FE1798" w14:textId="77777777" w:rsidR="008C20EB" w:rsidRDefault="008D25BE">
            <w:pPr>
              <w:pStyle w:val="TableParagraph"/>
              <w:numPr>
                <w:ilvl w:val="0"/>
                <w:numId w:val="54"/>
              </w:numPr>
              <w:tabs>
                <w:tab w:val="left" w:pos="371"/>
              </w:tabs>
              <w:spacing w:line="235" w:lineRule="auto"/>
              <w:ind w:right="182"/>
              <w:jc w:val="both"/>
            </w:pPr>
            <w:r>
              <w:t>En</w:t>
            </w:r>
            <w:r>
              <w:rPr>
                <w:spacing w:val="-5"/>
              </w:rPr>
              <w:t xml:space="preserve"> </w:t>
            </w:r>
            <w:r>
              <w:t>el</w:t>
            </w:r>
            <w:r>
              <w:rPr>
                <w:spacing w:val="-7"/>
              </w:rPr>
              <w:t xml:space="preserve"> </w:t>
            </w:r>
            <w:r>
              <w:t>Capítulo</w:t>
            </w:r>
            <w:r>
              <w:rPr>
                <w:spacing w:val="1"/>
              </w:rPr>
              <w:t xml:space="preserve"> </w:t>
            </w:r>
            <w:r>
              <w:t>III</w:t>
            </w:r>
            <w:r>
              <w:rPr>
                <w:spacing w:val="-3"/>
              </w:rPr>
              <w:t xml:space="preserve"> </w:t>
            </w:r>
            <w:r>
              <w:t>“Catálogo</w:t>
            </w:r>
            <w:r>
              <w:rPr>
                <w:spacing w:val="-4"/>
              </w:rPr>
              <w:t xml:space="preserve"> </w:t>
            </w:r>
            <w:r>
              <w:t>de</w:t>
            </w:r>
            <w:r>
              <w:rPr>
                <w:spacing w:val="-4"/>
              </w:rPr>
              <w:t xml:space="preserve"> </w:t>
            </w:r>
            <w:r>
              <w:t>Cuentas”</w:t>
            </w:r>
            <w:r>
              <w:rPr>
                <w:spacing w:val="-7"/>
              </w:rPr>
              <w:t xml:space="preserve"> </w:t>
            </w:r>
            <w:r>
              <w:t>y IV “Descripción</w:t>
            </w:r>
            <w:r>
              <w:rPr>
                <w:spacing w:val="-5"/>
              </w:rPr>
              <w:t xml:space="preserve"> </w:t>
            </w:r>
            <w:r>
              <w:t>y</w:t>
            </w:r>
            <w:r>
              <w:rPr>
                <w:spacing w:val="6"/>
              </w:rPr>
              <w:t xml:space="preserve"> </w:t>
            </w:r>
            <w:r>
              <w:t>Dinámica</w:t>
            </w:r>
            <w:r>
              <w:rPr>
                <w:spacing w:val="-5"/>
              </w:rPr>
              <w:t xml:space="preserve"> </w:t>
            </w:r>
            <w:r>
              <w:t>de</w:t>
            </w:r>
            <w:r>
              <w:rPr>
                <w:spacing w:val="-4"/>
              </w:rPr>
              <w:t xml:space="preserve"> </w:t>
            </w:r>
            <w:r>
              <w:t>Cuentas”</w:t>
            </w:r>
            <w:r>
              <w:rPr>
                <w:spacing w:val="-12"/>
              </w:rPr>
              <w:t xml:space="preserve"> </w:t>
            </w:r>
            <w:r>
              <w:t>se</w:t>
            </w:r>
            <w:r>
              <w:rPr>
                <w:spacing w:val="-4"/>
              </w:rPr>
              <w:t xml:space="preserve"> </w:t>
            </w:r>
            <w:r>
              <w:t>realiza lo siguiente:</w:t>
            </w:r>
          </w:p>
          <w:p w14:paraId="40FE1799" w14:textId="77777777" w:rsidR="008C20EB" w:rsidRDefault="008D25BE">
            <w:pPr>
              <w:pStyle w:val="TableParagraph"/>
              <w:numPr>
                <w:ilvl w:val="1"/>
                <w:numId w:val="54"/>
              </w:numPr>
              <w:tabs>
                <w:tab w:val="left" w:pos="1488"/>
                <w:tab w:val="left" w:pos="1489"/>
              </w:tabs>
              <w:spacing w:before="11" w:line="220" w:lineRule="auto"/>
              <w:ind w:right="451" w:hanging="361"/>
              <w:jc w:val="both"/>
            </w:pPr>
            <w:r>
              <w:t>Se</w:t>
            </w:r>
            <w:r>
              <w:rPr>
                <w:spacing w:val="-7"/>
              </w:rPr>
              <w:t xml:space="preserve"> </w:t>
            </w:r>
            <w:r>
              <w:t>modifican</w:t>
            </w:r>
            <w:r>
              <w:rPr>
                <w:spacing w:val="-6"/>
              </w:rPr>
              <w:t xml:space="preserve"> </w:t>
            </w:r>
            <w:r>
              <w:t>cuentas,</w:t>
            </w:r>
            <w:r>
              <w:rPr>
                <w:spacing w:val="-8"/>
              </w:rPr>
              <w:t xml:space="preserve"> </w:t>
            </w:r>
            <w:r>
              <w:t>subcuentas,</w:t>
            </w:r>
            <w:r>
              <w:rPr>
                <w:spacing w:val="-8"/>
              </w:rPr>
              <w:t xml:space="preserve"> </w:t>
            </w:r>
            <w:r>
              <w:t>cuentas</w:t>
            </w:r>
            <w:r>
              <w:rPr>
                <w:spacing w:val="-6"/>
              </w:rPr>
              <w:t xml:space="preserve"> </w:t>
            </w:r>
            <w:r>
              <w:t>analíticas</w:t>
            </w:r>
            <w:r>
              <w:rPr>
                <w:spacing w:val="-5"/>
              </w:rPr>
              <w:t xml:space="preserve"> </w:t>
            </w:r>
            <w:r>
              <w:t>y</w:t>
            </w:r>
            <w:r>
              <w:rPr>
                <w:spacing w:val="-6"/>
              </w:rPr>
              <w:t xml:space="preserve"> </w:t>
            </w:r>
            <w:r>
              <w:t>subcuentas</w:t>
            </w:r>
            <w:r>
              <w:rPr>
                <w:spacing w:val="-5"/>
              </w:rPr>
              <w:t xml:space="preserve"> </w:t>
            </w:r>
            <w:r>
              <w:t>analíticas dentro del rubro 14</w:t>
            </w:r>
            <w:r>
              <w:rPr>
                <w:spacing w:val="-9"/>
              </w:rPr>
              <w:t xml:space="preserve"> </w:t>
            </w:r>
            <w:r>
              <w:t>“Créditos”</w:t>
            </w:r>
          </w:p>
          <w:p w14:paraId="40FE179A" w14:textId="77777777" w:rsidR="008C20EB" w:rsidRDefault="008D25BE">
            <w:pPr>
              <w:pStyle w:val="TableParagraph"/>
              <w:numPr>
                <w:ilvl w:val="1"/>
                <w:numId w:val="54"/>
              </w:numPr>
              <w:tabs>
                <w:tab w:val="left" w:pos="1488"/>
                <w:tab w:val="left" w:pos="1489"/>
              </w:tabs>
              <w:spacing w:before="13" w:line="230" w:lineRule="auto"/>
              <w:ind w:right="256" w:hanging="361"/>
              <w:jc w:val="both"/>
            </w:pPr>
            <w:r>
              <w:t>Se modifican cuentas, subcuentas, cuentas analíticas y subcuentas analíticas dentro</w:t>
            </w:r>
            <w:r>
              <w:rPr>
                <w:spacing w:val="-6"/>
              </w:rPr>
              <w:t xml:space="preserve"> </w:t>
            </w:r>
            <w:r>
              <w:t>del</w:t>
            </w:r>
            <w:r>
              <w:rPr>
                <w:spacing w:val="-7"/>
              </w:rPr>
              <w:t xml:space="preserve"> </w:t>
            </w:r>
            <w:r>
              <w:t>rubro16</w:t>
            </w:r>
            <w:r>
              <w:rPr>
                <w:spacing w:val="-4"/>
              </w:rPr>
              <w:t xml:space="preserve"> </w:t>
            </w:r>
            <w:r>
              <w:t>“Bienes</w:t>
            </w:r>
            <w:r>
              <w:rPr>
                <w:spacing w:val="-5"/>
              </w:rPr>
              <w:t xml:space="preserve"> </w:t>
            </w:r>
            <w:r>
              <w:t>realizables,</w:t>
            </w:r>
            <w:r>
              <w:rPr>
                <w:spacing w:val="-8"/>
              </w:rPr>
              <w:t xml:space="preserve"> </w:t>
            </w:r>
            <w:r>
              <w:t>recibidos</w:t>
            </w:r>
            <w:r>
              <w:rPr>
                <w:spacing w:val="-4"/>
              </w:rPr>
              <w:t xml:space="preserve"> </w:t>
            </w:r>
            <w:r>
              <w:t>en</w:t>
            </w:r>
            <w:r>
              <w:rPr>
                <w:spacing w:val="-6"/>
              </w:rPr>
              <w:t xml:space="preserve"> </w:t>
            </w:r>
            <w:r>
              <w:t>pago,</w:t>
            </w:r>
            <w:r>
              <w:rPr>
                <w:spacing w:val="-3"/>
              </w:rPr>
              <w:t xml:space="preserve"> </w:t>
            </w:r>
            <w:r>
              <w:t>adjudicados</w:t>
            </w:r>
            <w:r>
              <w:rPr>
                <w:spacing w:val="-5"/>
              </w:rPr>
              <w:t xml:space="preserve"> </w:t>
            </w:r>
            <w:r>
              <w:t>y</w:t>
            </w:r>
            <w:r>
              <w:rPr>
                <w:spacing w:val="-4"/>
              </w:rPr>
              <w:t xml:space="preserve"> </w:t>
            </w:r>
            <w:r>
              <w:t>activos no corrientes mantenidos para la</w:t>
            </w:r>
            <w:r>
              <w:rPr>
                <w:spacing w:val="-14"/>
              </w:rPr>
              <w:t xml:space="preserve"> </w:t>
            </w:r>
            <w:r>
              <w:t>venta”</w:t>
            </w:r>
          </w:p>
          <w:p w14:paraId="40FE179B" w14:textId="77777777" w:rsidR="008C20EB" w:rsidRDefault="008D25BE">
            <w:pPr>
              <w:pStyle w:val="TableParagraph"/>
              <w:numPr>
                <w:ilvl w:val="1"/>
                <w:numId w:val="54"/>
              </w:numPr>
              <w:tabs>
                <w:tab w:val="left" w:pos="1488"/>
                <w:tab w:val="left" w:pos="1489"/>
              </w:tabs>
              <w:spacing w:before="19" w:line="220" w:lineRule="auto"/>
              <w:ind w:right="451" w:hanging="361"/>
              <w:jc w:val="both"/>
            </w:pPr>
            <w:r>
              <w:t>Se</w:t>
            </w:r>
            <w:r>
              <w:rPr>
                <w:spacing w:val="-7"/>
              </w:rPr>
              <w:t xml:space="preserve"> </w:t>
            </w:r>
            <w:r>
              <w:t>modifican</w:t>
            </w:r>
            <w:r>
              <w:rPr>
                <w:spacing w:val="-6"/>
              </w:rPr>
              <w:t xml:space="preserve"> </w:t>
            </w:r>
            <w:r>
              <w:t>cuentas,</w:t>
            </w:r>
            <w:r>
              <w:rPr>
                <w:spacing w:val="-8"/>
              </w:rPr>
              <w:t xml:space="preserve"> </w:t>
            </w:r>
            <w:r>
              <w:t>subcuentas,</w:t>
            </w:r>
            <w:r>
              <w:rPr>
                <w:spacing w:val="-8"/>
              </w:rPr>
              <w:t xml:space="preserve"> </w:t>
            </w:r>
            <w:r>
              <w:t>cuentas</w:t>
            </w:r>
            <w:r>
              <w:rPr>
                <w:spacing w:val="-6"/>
              </w:rPr>
              <w:t xml:space="preserve"> </w:t>
            </w:r>
            <w:r>
              <w:t>analíticas</w:t>
            </w:r>
            <w:r>
              <w:rPr>
                <w:spacing w:val="-5"/>
              </w:rPr>
              <w:t xml:space="preserve"> </w:t>
            </w:r>
            <w:r>
              <w:t>y</w:t>
            </w:r>
            <w:r>
              <w:rPr>
                <w:spacing w:val="-6"/>
              </w:rPr>
              <w:t xml:space="preserve"> </w:t>
            </w:r>
            <w:r>
              <w:t>subcuentas</w:t>
            </w:r>
            <w:r>
              <w:rPr>
                <w:spacing w:val="-5"/>
              </w:rPr>
              <w:t xml:space="preserve"> </w:t>
            </w:r>
            <w:r>
              <w:t>analíticas dentro del rubro 18 “Inmueble, mobiliario y</w:t>
            </w:r>
            <w:r>
              <w:rPr>
                <w:spacing w:val="-17"/>
              </w:rPr>
              <w:t xml:space="preserve"> </w:t>
            </w:r>
            <w:r>
              <w:t>equipo”.</w:t>
            </w:r>
          </w:p>
          <w:p w14:paraId="40FE179C" w14:textId="77777777" w:rsidR="008C20EB" w:rsidRDefault="008D25BE">
            <w:pPr>
              <w:pStyle w:val="TableParagraph"/>
              <w:numPr>
                <w:ilvl w:val="1"/>
                <w:numId w:val="54"/>
              </w:numPr>
              <w:tabs>
                <w:tab w:val="left" w:pos="1488"/>
                <w:tab w:val="left" w:pos="1489"/>
              </w:tabs>
              <w:spacing w:before="20" w:line="220" w:lineRule="auto"/>
              <w:ind w:right="946" w:hanging="361"/>
              <w:jc w:val="both"/>
            </w:pPr>
            <w:r>
              <w:t>Se</w:t>
            </w:r>
            <w:r>
              <w:rPr>
                <w:spacing w:val="-6"/>
              </w:rPr>
              <w:t xml:space="preserve"> </w:t>
            </w:r>
            <w:r>
              <w:t>elimina</w:t>
            </w:r>
            <w:r>
              <w:rPr>
                <w:spacing w:val="-5"/>
              </w:rPr>
              <w:t xml:space="preserve"> </w:t>
            </w:r>
            <w:r>
              <w:t>la subcuenta</w:t>
            </w:r>
            <w:r>
              <w:rPr>
                <w:spacing w:val="-6"/>
              </w:rPr>
              <w:t xml:space="preserve"> </w:t>
            </w:r>
            <w:r>
              <w:t>2403.05</w:t>
            </w:r>
            <w:r>
              <w:rPr>
                <w:spacing w:val="-5"/>
              </w:rPr>
              <w:t xml:space="preserve"> </w:t>
            </w:r>
            <w:r>
              <w:t>del</w:t>
            </w:r>
            <w:r>
              <w:rPr>
                <w:spacing w:val="-6"/>
              </w:rPr>
              <w:t xml:space="preserve"> </w:t>
            </w:r>
            <w:r>
              <w:t>Rubro</w:t>
            </w:r>
            <w:r>
              <w:rPr>
                <w:spacing w:val="-5"/>
              </w:rPr>
              <w:t xml:space="preserve"> </w:t>
            </w:r>
            <w:r>
              <w:t>24</w:t>
            </w:r>
            <w:r>
              <w:rPr>
                <w:spacing w:val="-1"/>
              </w:rPr>
              <w:t xml:space="preserve"> </w:t>
            </w:r>
            <w:r>
              <w:t>“Adeudos</w:t>
            </w:r>
            <w:r>
              <w:rPr>
                <w:spacing w:val="-4"/>
              </w:rPr>
              <w:t xml:space="preserve"> </w:t>
            </w:r>
            <w:r>
              <w:t>y</w:t>
            </w:r>
            <w:r>
              <w:rPr>
                <w:spacing w:val="-4"/>
              </w:rPr>
              <w:t xml:space="preserve"> </w:t>
            </w:r>
            <w:r>
              <w:t>obligaciones financieras”</w:t>
            </w:r>
          </w:p>
        </w:tc>
      </w:tr>
    </w:tbl>
    <w:p w14:paraId="40FE179E" w14:textId="77777777" w:rsidR="008C20EB" w:rsidRDefault="008C20EB">
      <w:pPr>
        <w:spacing w:line="220"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A3" w14:textId="77777777">
        <w:trPr>
          <w:trHeight w:val="254"/>
        </w:trPr>
        <w:tc>
          <w:tcPr>
            <w:tcW w:w="1445" w:type="dxa"/>
            <w:vAlign w:val="bottom"/>
          </w:tcPr>
          <w:p w14:paraId="40FE179F"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A0" w14:textId="77777777" w:rsidR="008C20EB" w:rsidRDefault="008D25BE">
            <w:pPr>
              <w:pStyle w:val="TableParagraph"/>
              <w:spacing w:line="234" w:lineRule="exact"/>
              <w:ind w:left="556"/>
              <w:jc w:val="both"/>
              <w:rPr>
                <w:b/>
              </w:rPr>
            </w:pPr>
            <w:r>
              <w:rPr>
                <w:b/>
              </w:rPr>
              <w:t>FECHA</w:t>
            </w:r>
          </w:p>
        </w:tc>
        <w:tc>
          <w:tcPr>
            <w:tcW w:w="3500" w:type="dxa"/>
            <w:vAlign w:val="bottom"/>
          </w:tcPr>
          <w:p w14:paraId="40FE17A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A2" w14:textId="77777777" w:rsidR="008C20EB" w:rsidRDefault="008D25BE">
            <w:pPr>
              <w:pStyle w:val="TableParagraph"/>
              <w:spacing w:line="234" w:lineRule="exact"/>
              <w:ind w:left="3271" w:right="3265"/>
              <w:jc w:val="both"/>
              <w:rPr>
                <w:b/>
              </w:rPr>
            </w:pPr>
            <w:r>
              <w:rPr>
                <w:b/>
              </w:rPr>
              <w:t>MODIFICATORIAS</w:t>
            </w:r>
          </w:p>
        </w:tc>
      </w:tr>
      <w:tr w:rsidR="008C20EB" w14:paraId="40FE17BD" w14:textId="77777777">
        <w:trPr>
          <w:trHeight w:val="8350"/>
        </w:trPr>
        <w:tc>
          <w:tcPr>
            <w:tcW w:w="1445" w:type="dxa"/>
          </w:tcPr>
          <w:p w14:paraId="40FE17A4" w14:textId="77777777" w:rsidR="008C20EB" w:rsidRDefault="008C20EB">
            <w:pPr>
              <w:pStyle w:val="TableParagraph"/>
              <w:jc w:val="both"/>
              <w:rPr>
                <w:rFonts w:ascii="Times New Roman"/>
              </w:rPr>
            </w:pPr>
          </w:p>
        </w:tc>
        <w:tc>
          <w:tcPr>
            <w:tcW w:w="1733" w:type="dxa"/>
          </w:tcPr>
          <w:p w14:paraId="40FE17A5" w14:textId="77777777" w:rsidR="008C20EB" w:rsidRDefault="008C20EB">
            <w:pPr>
              <w:pStyle w:val="TableParagraph"/>
              <w:jc w:val="both"/>
              <w:rPr>
                <w:rFonts w:ascii="Times New Roman"/>
              </w:rPr>
            </w:pPr>
          </w:p>
        </w:tc>
        <w:tc>
          <w:tcPr>
            <w:tcW w:w="3500" w:type="dxa"/>
          </w:tcPr>
          <w:p w14:paraId="40FE17A6" w14:textId="77777777" w:rsidR="008C20EB" w:rsidRDefault="008C20EB">
            <w:pPr>
              <w:pStyle w:val="TableParagraph"/>
              <w:jc w:val="both"/>
              <w:rPr>
                <w:rFonts w:ascii="Times New Roman"/>
              </w:rPr>
            </w:pPr>
          </w:p>
        </w:tc>
        <w:tc>
          <w:tcPr>
            <w:tcW w:w="8162" w:type="dxa"/>
          </w:tcPr>
          <w:p w14:paraId="40FE17A7" w14:textId="77777777" w:rsidR="008C20EB" w:rsidRDefault="008D25BE">
            <w:pPr>
              <w:pStyle w:val="TableParagraph"/>
              <w:numPr>
                <w:ilvl w:val="0"/>
                <w:numId w:val="55"/>
              </w:numPr>
              <w:tabs>
                <w:tab w:val="left" w:pos="1488"/>
                <w:tab w:val="left" w:pos="1489"/>
              </w:tabs>
              <w:spacing w:before="4" w:line="220" w:lineRule="auto"/>
              <w:ind w:right="451" w:hanging="361"/>
              <w:jc w:val="both"/>
            </w:pPr>
            <w:r>
              <w:t>Se</w:t>
            </w:r>
            <w:r>
              <w:rPr>
                <w:spacing w:val="-7"/>
              </w:rPr>
              <w:t xml:space="preserve"> </w:t>
            </w:r>
            <w:r>
              <w:t>modifican</w:t>
            </w:r>
            <w:r>
              <w:rPr>
                <w:spacing w:val="-6"/>
              </w:rPr>
              <w:t xml:space="preserve"> </w:t>
            </w:r>
            <w:r>
              <w:t>cuentas,</w:t>
            </w:r>
            <w:r>
              <w:rPr>
                <w:spacing w:val="-8"/>
              </w:rPr>
              <w:t xml:space="preserve"> </w:t>
            </w:r>
            <w:r>
              <w:t>subcuentas,</w:t>
            </w:r>
            <w:r>
              <w:rPr>
                <w:spacing w:val="-8"/>
              </w:rPr>
              <w:t xml:space="preserve"> </w:t>
            </w:r>
            <w:r>
              <w:t>cuentas</w:t>
            </w:r>
            <w:r>
              <w:rPr>
                <w:spacing w:val="-6"/>
              </w:rPr>
              <w:t xml:space="preserve"> </w:t>
            </w:r>
            <w:r>
              <w:t>analíticas</w:t>
            </w:r>
            <w:r>
              <w:rPr>
                <w:spacing w:val="-5"/>
              </w:rPr>
              <w:t xml:space="preserve"> </w:t>
            </w:r>
            <w:r>
              <w:t>y</w:t>
            </w:r>
            <w:r>
              <w:rPr>
                <w:spacing w:val="-6"/>
              </w:rPr>
              <w:t xml:space="preserve"> </w:t>
            </w:r>
            <w:r>
              <w:t>subcuentas</w:t>
            </w:r>
            <w:r>
              <w:rPr>
                <w:spacing w:val="-5"/>
              </w:rPr>
              <w:t xml:space="preserve"> </w:t>
            </w:r>
            <w:r>
              <w:t>analíticas dentro del Rubro 25 “Cuentas por</w:t>
            </w:r>
            <w:r>
              <w:rPr>
                <w:spacing w:val="-8"/>
              </w:rPr>
              <w:t xml:space="preserve"> </w:t>
            </w:r>
            <w:r>
              <w:t>Pagar”</w:t>
            </w:r>
          </w:p>
          <w:p w14:paraId="40FE17A8" w14:textId="77777777" w:rsidR="008C20EB" w:rsidRDefault="008D25BE">
            <w:pPr>
              <w:pStyle w:val="TableParagraph"/>
              <w:numPr>
                <w:ilvl w:val="0"/>
                <w:numId w:val="55"/>
              </w:numPr>
              <w:tabs>
                <w:tab w:val="left" w:pos="1488"/>
                <w:tab w:val="left" w:pos="1489"/>
              </w:tabs>
              <w:spacing w:before="20" w:line="220" w:lineRule="auto"/>
              <w:ind w:right="948" w:hanging="361"/>
              <w:jc w:val="both"/>
            </w:pPr>
            <w:r>
              <w:t>Se</w:t>
            </w:r>
            <w:r>
              <w:rPr>
                <w:spacing w:val="-6"/>
              </w:rPr>
              <w:t xml:space="preserve"> </w:t>
            </w:r>
            <w:r>
              <w:t>elimina</w:t>
            </w:r>
            <w:r>
              <w:rPr>
                <w:spacing w:val="-5"/>
              </w:rPr>
              <w:t xml:space="preserve"> </w:t>
            </w:r>
            <w:r>
              <w:t>la</w:t>
            </w:r>
            <w:r>
              <w:rPr>
                <w:spacing w:val="-1"/>
              </w:rPr>
              <w:t xml:space="preserve"> </w:t>
            </w:r>
            <w:r>
              <w:t>subcuenta</w:t>
            </w:r>
            <w:r>
              <w:rPr>
                <w:spacing w:val="-5"/>
              </w:rPr>
              <w:t xml:space="preserve"> </w:t>
            </w:r>
            <w:r>
              <w:t>2603.05</w:t>
            </w:r>
            <w:r>
              <w:rPr>
                <w:spacing w:val="-6"/>
              </w:rPr>
              <w:t xml:space="preserve"> </w:t>
            </w:r>
            <w:r>
              <w:t>del</w:t>
            </w:r>
            <w:r>
              <w:rPr>
                <w:spacing w:val="-6"/>
              </w:rPr>
              <w:t xml:space="preserve"> </w:t>
            </w:r>
            <w:r>
              <w:t>Rubro</w:t>
            </w:r>
            <w:r>
              <w:rPr>
                <w:spacing w:val="-6"/>
              </w:rPr>
              <w:t xml:space="preserve"> </w:t>
            </w:r>
            <w:r>
              <w:t>26 “Adeudos</w:t>
            </w:r>
            <w:r>
              <w:rPr>
                <w:spacing w:val="-5"/>
              </w:rPr>
              <w:t xml:space="preserve"> </w:t>
            </w:r>
            <w:r>
              <w:t>y</w:t>
            </w:r>
            <w:r>
              <w:rPr>
                <w:spacing w:val="-4"/>
              </w:rPr>
              <w:t xml:space="preserve"> </w:t>
            </w:r>
            <w:r>
              <w:t>obligaciones financieras”</w:t>
            </w:r>
          </w:p>
          <w:p w14:paraId="40FE17A9" w14:textId="77777777" w:rsidR="008C20EB" w:rsidRDefault="008D25BE">
            <w:pPr>
              <w:pStyle w:val="TableParagraph"/>
              <w:numPr>
                <w:ilvl w:val="0"/>
                <w:numId w:val="55"/>
              </w:numPr>
              <w:tabs>
                <w:tab w:val="left" w:pos="1488"/>
                <w:tab w:val="left" w:pos="1489"/>
              </w:tabs>
              <w:spacing w:before="18" w:line="223" w:lineRule="auto"/>
              <w:ind w:right="450" w:hanging="361"/>
              <w:jc w:val="both"/>
            </w:pPr>
            <w:r>
              <w:t>Se</w:t>
            </w:r>
            <w:r>
              <w:rPr>
                <w:spacing w:val="-7"/>
              </w:rPr>
              <w:t xml:space="preserve"> </w:t>
            </w:r>
            <w:r>
              <w:t>modifican</w:t>
            </w:r>
            <w:r>
              <w:rPr>
                <w:spacing w:val="-6"/>
              </w:rPr>
              <w:t xml:space="preserve"> </w:t>
            </w:r>
            <w:r>
              <w:t>cuentas,</w:t>
            </w:r>
            <w:r>
              <w:rPr>
                <w:spacing w:val="-8"/>
              </w:rPr>
              <w:t xml:space="preserve"> </w:t>
            </w:r>
            <w:r>
              <w:t>subcuentas,</w:t>
            </w:r>
            <w:r>
              <w:rPr>
                <w:spacing w:val="-8"/>
              </w:rPr>
              <w:t xml:space="preserve"> </w:t>
            </w:r>
            <w:r>
              <w:t>cuentas</w:t>
            </w:r>
            <w:r>
              <w:rPr>
                <w:spacing w:val="-5"/>
              </w:rPr>
              <w:t xml:space="preserve"> </w:t>
            </w:r>
            <w:r>
              <w:t>analíticas</w:t>
            </w:r>
            <w:r>
              <w:rPr>
                <w:spacing w:val="-6"/>
              </w:rPr>
              <w:t xml:space="preserve"> </w:t>
            </w:r>
            <w:r>
              <w:t>y</w:t>
            </w:r>
            <w:r>
              <w:rPr>
                <w:spacing w:val="-5"/>
              </w:rPr>
              <w:t xml:space="preserve"> </w:t>
            </w:r>
            <w:r>
              <w:t>subcuentas</w:t>
            </w:r>
            <w:r>
              <w:rPr>
                <w:spacing w:val="-5"/>
              </w:rPr>
              <w:t xml:space="preserve"> </w:t>
            </w:r>
            <w:r>
              <w:t>analíticas dentro del Rubro 27</w:t>
            </w:r>
            <w:r>
              <w:rPr>
                <w:spacing w:val="-9"/>
              </w:rPr>
              <w:t xml:space="preserve"> </w:t>
            </w:r>
            <w:r>
              <w:t>“Provisiones”</w:t>
            </w:r>
          </w:p>
          <w:p w14:paraId="40FE17AA" w14:textId="77777777" w:rsidR="008C20EB" w:rsidRDefault="008D25BE">
            <w:pPr>
              <w:pStyle w:val="TableParagraph"/>
              <w:numPr>
                <w:ilvl w:val="0"/>
                <w:numId w:val="55"/>
              </w:numPr>
              <w:tabs>
                <w:tab w:val="left" w:pos="1488"/>
                <w:tab w:val="left" w:pos="1489"/>
              </w:tabs>
              <w:spacing w:before="2" w:line="264" w:lineRule="exact"/>
              <w:ind w:left="1488" w:hanging="337"/>
              <w:jc w:val="both"/>
            </w:pPr>
            <w:r>
              <w:t>Modifican la descripción del rubro 29 “Otros</w:t>
            </w:r>
            <w:r>
              <w:rPr>
                <w:spacing w:val="-14"/>
              </w:rPr>
              <w:t xml:space="preserve"> </w:t>
            </w:r>
            <w:r>
              <w:t>pasivos”</w:t>
            </w:r>
          </w:p>
          <w:p w14:paraId="40FE17AB" w14:textId="77777777" w:rsidR="008C20EB" w:rsidRDefault="008D25BE">
            <w:pPr>
              <w:pStyle w:val="TableParagraph"/>
              <w:numPr>
                <w:ilvl w:val="0"/>
                <w:numId w:val="55"/>
              </w:numPr>
              <w:tabs>
                <w:tab w:val="left" w:pos="1488"/>
                <w:tab w:val="left" w:pos="1489"/>
              </w:tabs>
              <w:spacing w:line="230" w:lineRule="auto"/>
              <w:ind w:right="392" w:hanging="361"/>
              <w:jc w:val="both"/>
            </w:pPr>
            <w:r>
              <w:t>Modifican la descripción de la cuenta 3802, eliminan la subcuenta 3802.03, sustituyen</w:t>
            </w:r>
            <w:r>
              <w:rPr>
                <w:spacing w:val="-5"/>
              </w:rPr>
              <w:t xml:space="preserve"> </w:t>
            </w:r>
            <w:r>
              <w:t>la</w:t>
            </w:r>
            <w:r>
              <w:rPr>
                <w:spacing w:val="-4"/>
              </w:rPr>
              <w:t xml:space="preserve"> </w:t>
            </w:r>
            <w:r>
              <w:t>dinámica</w:t>
            </w:r>
            <w:r>
              <w:rPr>
                <w:spacing w:val="-5"/>
              </w:rPr>
              <w:t xml:space="preserve"> </w:t>
            </w:r>
            <w:r>
              <w:t>contable</w:t>
            </w:r>
            <w:r>
              <w:rPr>
                <w:spacing w:val="1"/>
              </w:rPr>
              <w:t xml:space="preserve"> </w:t>
            </w:r>
            <w:r>
              <w:t>de</w:t>
            </w:r>
            <w:r>
              <w:rPr>
                <w:spacing w:val="-5"/>
              </w:rPr>
              <w:t xml:space="preserve"> </w:t>
            </w:r>
            <w:r>
              <w:t>las</w:t>
            </w:r>
            <w:r>
              <w:rPr>
                <w:spacing w:val="-3"/>
              </w:rPr>
              <w:t xml:space="preserve"> </w:t>
            </w:r>
            <w:r>
              <w:t>cuenta 3801</w:t>
            </w:r>
            <w:r>
              <w:rPr>
                <w:spacing w:val="-3"/>
              </w:rPr>
              <w:t xml:space="preserve"> </w:t>
            </w:r>
            <w:r>
              <w:t>y</w:t>
            </w:r>
            <w:r>
              <w:rPr>
                <w:spacing w:val="-4"/>
              </w:rPr>
              <w:t xml:space="preserve"> </w:t>
            </w:r>
            <w:r>
              <w:t>3802</w:t>
            </w:r>
            <w:r>
              <w:rPr>
                <w:spacing w:val="-3"/>
              </w:rPr>
              <w:t xml:space="preserve"> </w:t>
            </w:r>
            <w:r>
              <w:t>dentro</w:t>
            </w:r>
            <w:r>
              <w:rPr>
                <w:spacing w:val="-5"/>
              </w:rPr>
              <w:t xml:space="preserve"> </w:t>
            </w:r>
            <w:r>
              <w:t>del</w:t>
            </w:r>
            <w:r>
              <w:rPr>
                <w:spacing w:val="-5"/>
              </w:rPr>
              <w:t xml:space="preserve"> </w:t>
            </w:r>
            <w:r>
              <w:t>rubro</w:t>
            </w:r>
            <w:r>
              <w:rPr>
                <w:spacing w:val="-5"/>
              </w:rPr>
              <w:t xml:space="preserve"> </w:t>
            </w:r>
            <w:r>
              <w:t>38 “Resultados</w:t>
            </w:r>
            <w:r>
              <w:rPr>
                <w:spacing w:val="-3"/>
              </w:rPr>
              <w:t xml:space="preserve"> </w:t>
            </w:r>
            <w:r>
              <w:t>Acumulados”</w:t>
            </w:r>
          </w:p>
          <w:p w14:paraId="40FE17AC" w14:textId="77777777" w:rsidR="008C20EB" w:rsidRDefault="008D25BE">
            <w:pPr>
              <w:pStyle w:val="TableParagraph"/>
              <w:numPr>
                <w:ilvl w:val="0"/>
                <w:numId w:val="55"/>
              </w:numPr>
              <w:tabs>
                <w:tab w:val="left" w:pos="1488"/>
                <w:tab w:val="left" w:pos="1489"/>
              </w:tabs>
              <w:spacing w:before="8" w:line="232" w:lineRule="auto"/>
              <w:ind w:right="125" w:hanging="361"/>
              <w:jc w:val="both"/>
            </w:pPr>
            <w:r>
              <w:t>Sustituye la denominación del Rubro 43 por “previsiones para desvalorización, provisiones</w:t>
            </w:r>
            <w:r>
              <w:rPr>
                <w:spacing w:val="-5"/>
              </w:rPr>
              <w:t xml:space="preserve"> </w:t>
            </w:r>
            <w:r>
              <w:t>para</w:t>
            </w:r>
            <w:r>
              <w:rPr>
                <w:spacing w:val="-6"/>
              </w:rPr>
              <w:t xml:space="preserve"> </w:t>
            </w:r>
            <w:r>
              <w:t>incobrabilidad</w:t>
            </w:r>
            <w:r>
              <w:rPr>
                <w:spacing w:val="-5"/>
              </w:rPr>
              <w:t xml:space="preserve"> </w:t>
            </w:r>
            <w:r>
              <w:t>y</w:t>
            </w:r>
            <w:r>
              <w:rPr>
                <w:spacing w:val="-5"/>
              </w:rPr>
              <w:t xml:space="preserve"> </w:t>
            </w:r>
            <w:r>
              <w:t>activos</w:t>
            </w:r>
            <w:r>
              <w:rPr>
                <w:spacing w:val="-5"/>
              </w:rPr>
              <w:t xml:space="preserve"> </w:t>
            </w:r>
            <w:r>
              <w:t>no</w:t>
            </w:r>
            <w:r>
              <w:rPr>
                <w:spacing w:val="-6"/>
              </w:rPr>
              <w:t xml:space="preserve"> </w:t>
            </w:r>
            <w:r>
              <w:t>corrientes</w:t>
            </w:r>
            <w:r>
              <w:rPr>
                <w:spacing w:val="-5"/>
              </w:rPr>
              <w:t xml:space="preserve"> </w:t>
            </w:r>
            <w:r>
              <w:t>mantenidos</w:t>
            </w:r>
            <w:r>
              <w:rPr>
                <w:spacing w:val="-5"/>
              </w:rPr>
              <w:t xml:space="preserve"> </w:t>
            </w:r>
            <w:r>
              <w:t>para</w:t>
            </w:r>
            <w:r>
              <w:rPr>
                <w:spacing w:val="-6"/>
              </w:rPr>
              <w:t xml:space="preserve"> </w:t>
            </w:r>
            <w:r>
              <w:t>la</w:t>
            </w:r>
            <w:r>
              <w:rPr>
                <w:spacing w:val="-6"/>
              </w:rPr>
              <w:t xml:space="preserve"> </w:t>
            </w:r>
            <w:r>
              <w:t>venta”; además, se modifica la descripción del mismo. También se modifican cuentas y subcuentas dentro del</w:t>
            </w:r>
            <w:r>
              <w:rPr>
                <w:spacing w:val="-10"/>
              </w:rPr>
              <w:t xml:space="preserve"> </w:t>
            </w:r>
            <w:r>
              <w:t>rubro.</w:t>
            </w:r>
          </w:p>
          <w:p w14:paraId="40FE17AD" w14:textId="77777777" w:rsidR="008C20EB" w:rsidRDefault="008D25BE">
            <w:pPr>
              <w:pStyle w:val="TableParagraph"/>
              <w:numPr>
                <w:ilvl w:val="0"/>
                <w:numId w:val="55"/>
              </w:numPr>
              <w:tabs>
                <w:tab w:val="left" w:pos="1488"/>
                <w:tab w:val="left" w:pos="1489"/>
              </w:tabs>
              <w:spacing w:before="4" w:line="263" w:lineRule="exact"/>
              <w:ind w:left="1488" w:hanging="337"/>
              <w:jc w:val="both"/>
            </w:pPr>
            <w:r>
              <w:t>Se</w:t>
            </w:r>
            <w:r>
              <w:rPr>
                <w:spacing w:val="-5"/>
              </w:rPr>
              <w:t xml:space="preserve"> </w:t>
            </w:r>
            <w:r>
              <w:t>realizan</w:t>
            </w:r>
            <w:r>
              <w:rPr>
                <w:spacing w:val="-5"/>
              </w:rPr>
              <w:t xml:space="preserve"> </w:t>
            </w:r>
            <w:r>
              <w:t>modificaciones</w:t>
            </w:r>
            <w:r>
              <w:rPr>
                <w:spacing w:val="-4"/>
              </w:rPr>
              <w:t xml:space="preserve"> </w:t>
            </w:r>
            <w:r>
              <w:t>al</w:t>
            </w:r>
            <w:r>
              <w:rPr>
                <w:spacing w:val="-7"/>
              </w:rPr>
              <w:t xml:space="preserve"> </w:t>
            </w:r>
            <w:r>
              <w:t>rubro</w:t>
            </w:r>
            <w:r>
              <w:rPr>
                <w:spacing w:val="-5"/>
              </w:rPr>
              <w:t xml:space="preserve"> </w:t>
            </w:r>
            <w:r>
              <w:t>44 “Depreciación.</w:t>
            </w:r>
            <w:r>
              <w:rPr>
                <w:spacing w:val="-6"/>
              </w:rPr>
              <w:t xml:space="preserve"> </w:t>
            </w:r>
            <w:r>
              <w:t>Amortización</w:t>
            </w:r>
            <w:r>
              <w:rPr>
                <w:spacing w:val="-5"/>
              </w:rPr>
              <w:t xml:space="preserve"> </w:t>
            </w:r>
            <w:r>
              <w:t>y</w:t>
            </w:r>
            <w:r>
              <w:rPr>
                <w:spacing w:val="-4"/>
              </w:rPr>
              <w:t xml:space="preserve"> </w:t>
            </w:r>
            <w:r>
              <w:t>Deterioro”</w:t>
            </w:r>
          </w:p>
          <w:p w14:paraId="40FE17AE" w14:textId="77777777" w:rsidR="008C20EB" w:rsidRDefault="008D25BE">
            <w:pPr>
              <w:pStyle w:val="TableParagraph"/>
              <w:numPr>
                <w:ilvl w:val="0"/>
                <w:numId w:val="55"/>
              </w:numPr>
              <w:tabs>
                <w:tab w:val="left" w:pos="1488"/>
                <w:tab w:val="left" w:pos="1489"/>
              </w:tabs>
              <w:spacing w:line="252" w:lineRule="exact"/>
              <w:ind w:left="1488" w:hanging="337"/>
              <w:jc w:val="both"/>
            </w:pPr>
            <w:r>
              <w:t>Se realizan modificaciones al Rubro 51 “Ingresos</w:t>
            </w:r>
            <w:r>
              <w:rPr>
                <w:spacing w:val="-20"/>
              </w:rPr>
              <w:t xml:space="preserve"> </w:t>
            </w:r>
            <w:r>
              <w:t>Financieros”</w:t>
            </w:r>
          </w:p>
          <w:p w14:paraId="40FE17AF" w14:textId="77777777" w:rsidR="008C20EB" w:rsidRDefault="008D25BE">
            <w:pPr>
              <w:pStyle w:val="TableParagraph"/>
              <w:numPr>
                <w:ilvl w:val="0"/>
                <w:numId w:val="55"/>
              </w:numPr>
              <w:tabs>
                <w:tab w:val="left" w:pos="1488"/>
                <w:tab w:val="left" w:pos="1489"/>
              </w:tabs>
              <w:spacing w:line="225" w:lineRule="auto"/>
              <w:ind w:right="477" w:hanging="361"/>
              <w:jc w:val="both"/>
            </w:pPr>
            <w:r>
              <w:t>Se</w:t>
            </w:r>
            <w:r>
              <w:rPr>
                <w:spacing w:val="-6"/>
              </w:rPr>
              <w:t xml:space="preserve"> </w:t>
            </w:r>
            <w:r>
              <w:t>realizan</w:t>
            </w:r>
            <w:r>
              <w:rPr>
                <w:spacing w:val="-5"/>
              </w:rPr>
              <w:t xml:space="preserve"> </w:t>
            </w:r>
            <w:r>
              <w:t>modificaciones</w:t>
            </w:r>
            <w:r>
              <w:rPr>
                <w:spacing w:val="-4"/>
              </w:rPr>
              <w:t xml:space="preserve"> </w:t>
            </w:r>
            <w:r>
              <w:t>al</w:t>
            </w:r>
            <w:r>
              <w:rPr>
                <w:spacing w:val="-7"/>
              </w:rPr>
              <w:t xml:space="preserve"> </w:t>
            </w:r>
            <w:r>
              <w:t>Rubro</w:t>
            </w:r>
            <w:r>
              <w:rPr>
                <w:spacing w:val="-5"/>
              </w:rPr>
              <w:t xml:space="preserve"> </w:t>
            </w:r>
            <w:r>
              <w:t>53 “reversión</w:t>
            </w:r>
            <w:r>
              <w:rPr>
                <w:spacing w:val="-5"/>
              </w:rPr>
              <w:t xml:space="preserve"> </w:t>
            </w:r>
            <w:r>
              <w:t>de</w:t>
            </w:r>
            <w:r>
              <w:rPr>
                <w:spacing w:val="-5"/>
              </w:rPr>
              <w:t xml:space="preserve"> </w:t>
            </w:r>
            <w:r>
              <w:t>pérdidas</w:t>
            </w:r>
            <w:r>
              <w:rPr>
                <w:spacing w:val="-4"/>
              </w:rPr>
              <w:t xml:space="preserve"> </w:t>
            </w:r>
            <w:r>
              <w:t>por</w:t>
            </w:r>
            <w:r>
              <w:rPr>
                <w:spacing w:val="-4"/>
              </w:rPr>
              <w:t xml:space="preserve"> </w:t>
            </w:r>
            <w:r>
              <w:t>deterioro</w:t>
            </w:r>
            <w:r>
              <w:rPr>
                <w:spacing w:val="-5"/>
              </w:rPr>
              <w:t xml:space="preserve"> </w:t>
            </w:r>
            <w:r>
              <w:t>y recuperación</w:t>
            </w:r>
            <w:r>
              <w:rPr>
                <w:spacing w:val="-6"/>
              </w:rPr>
              <w:t xml:space="preserve"> </w:t>
            </w:r>
            <w:r>
              <w:t>de</w:t>
            </w:r>
            <w:r>
              <w:rPr>
                <w:spacing w:val="-6"/>
              </w:rPr>
              <w:t xml:space="preserve"> </w:t>
            </w:r>
            <w:r>
              <w:t>deterioro</w:t>
            </w:r>
            <w:r>
              <w:rPr>
                <w:spacing w:val="-5"/>
              </w:rPr>
              <w:t xml:space="preserve"> </w:t>
            </w:r>
            <w:r>
              <w:t>en</w:t>
            </w:r>
            <w:r>
              <w:rPr>
                <w:spacing w:val="-6"/>
              </w:rPr>
              <w:t xml:space="preserve"> </w:t>
            </w:r>
            <w:r>
              <w:t>inmuebles,</w:t>
            </w:r>
            <w:r>
              <w:rPr>
                <w:spacing w:val="-7"/>
              </w:rPr>
              <w:t xml:space="preserve"> </w:t>
            </w:r>
            <w:r>
              <w:t>mobiliario</w:t>
            </w:r>
            <w:r>
              <w:rPr>
                <w:spacing w:val="-6"/>
              </w:rPr>
              <w:t xml:space="preserve"> </w:t>
            </w:r>
            <w:r>
              <w:t>y equipos,</w:t>
            </w:r>
            <w:r>
              <w:rPr>
                <w:spacing w:val="-7"/>
              </w:rPr>
              <w:t xml:space="preserve"> </w:t>
            </w:r>
            <w:r>
              <w:t>e</w:t>
            </w:r>
            <w:r>
              <w:rPr>
                <w:spacing w:val="-1"/>
              </w:rPr>
              <w:t xml:space="preserve"> </w:t>
            </w:r>
            <w:r>
              <w:t>intangibles”</w:t>
            </w:r>
          </w:p>
          <w:p w14:paraId="40FE17B0" w14:textId="77777777" w:rsidR="008C20EB" w:rsidRDefault="008D25BE">
            <w:pPr>
              <w:pStyle w:val="TableParagraph"/>
              <w:numPr>
                <w:ilvl w:val="0"/>
                <w:numId w:val="55"/>
              </w:numPr>
              <w:tabs>
                <w:tab w:val="left" w:pos="1488"/>
                <w:tab w:val="left" w:pos="1489"/>
              </w:tabs>
              <w:spacing w:line="262" w:lineRule="exact"/>
              <w:ind w:left="1488" w:hanging="337"/>
              <w:jc w:val="both"/>
            </w:pPr>
            <w:r>
              <w:t>Se realizan modificaciones dentro del rubro 84 “cuentas de orden</w:t>
            </w:r>
            <w:r>
              <w:rPr>
                <w:spacing w:val="-34"/>
              </w:rPr>
              <w:t xml:space="preserve"> </w:t>
            </w:r>
            <w:r>
              <w:t>acreedoras”</w:t>
            </w:r>
          </w:p>
          <w:p w14:paraId="40FE17B1" w14:textId="77777777" w:rsidR="008C20EB" w:rsidRDefault="008D25BE">
            <w:pPr>
              <w:pStyle w:val="TableParagraph"/>
              <w:numPr>
                <w:ilvl w:val="0"/>
                <w:numId w:val="56"/>
              </w:numPr>
              <w:tabs>
                <w:tab w:val="left" w:pos="371"/>
              </w:tabs>
              <w:ind w:right="744"/>
              <w:jc w:val="both"/>
            </w:pPr>
            <w:r>
              <w:t>En</w:t>
            </w:r>
            <w:r>
              <w:rPr>
                <w:spacing w:val="-6"/>
              </w:rPr>
              <w:t xml:space="preserve"> </w:t>
            </w:r>
            <w:r>
              <w:t>el</w:t>
            </w:r>
            <w:r>
              <w:rPr>
                <w:spacing w:val="-7"/>
              </w:rPr>
              <w:t xml:space="preserve"> </w:t>
            </w:r>
            <w:r>
              <w:t>Capítulo</w:t>
            </w:r>
            <w:r>
              <w:rPr>
                <w:spacing w:val="-1"/>
              </w:rPr>
              <w:t xml:space="preserve"> </w:t>
            </w:r>
            <w:r>
              <w:t>V</w:t>
            </w:r>
            <w:r>
              <w:rPr>
                <w:spacing w:val="-2"/>
              </w:rPr>
              <w:t xml:space="preserve"> </w:t>
            </w:r>
            <w:r>
              <w:t>“Información</w:t>
            </w:r>
            <w:r>
              <w:rPr>
                <w:spacing w:val="-5"/>
              </w:rPr>
              <w:t xml:space="preserve"> </w:t>
            </w:r>
            <w:r>
              <w:t>Complementaria</w:t>
            </w:r>
            <w:r>
              <w:rPr>
                <w:spacing w:val="-2"/>
              </w:rPr>
              <w:t xml:space="preserve"> </w:t>
            </w:r>
            <w:r>
              <w:t>del</w:t>
            </w:r>
            <w:r>
              <w:rPr>
                <w:spacing w:val="-7"/>
              </w:rPr>
              <w:t xml:space="preserve"> </w:t>
            </w:r>
            <w:r>
              <w:t>Manual</w:t>
            </w:r>
            <w:r>
              <w:rPr>
                <w:spacing w:val="-2"/>
              </w:rPr>
              <w:t xml:space="preserve"> </w:t>
            </w:r>
            <w:r>
              <w:t>de</w:t>
            </w:r>
            <w:r>
              <w:rPr>
                <w:spacing w:val="-5"/>
              </w:rPr>
              <w:t xml:space="preserve"> </w:t>
            </w:r>
            <w:r>
              <w:t>Contabilidad”</w:t>
            </w:r>
            <w:r>
              <w:rPr>
                <w:spacing w:val="-12"/>
              </w:rPr>
              <w:t xml:space="preserve"> </w:t>
            </w:r>
            <w:r>
              <w:t>se</w:t>
            </w:r>
            <w:r>
              <w:rPr>
                <w:spacing w:val="-6"/>
              </w:rPr>
              <w:t xml:space="preserve"> </w:t>
            </w:r>
            <w:r>
              <w:t>realiza lo siguiente:</w:t>
            </w:r>
          </w:p>
          <w:p w14:paraId="40FE17B2" w14:textId="77777777" w:rsidR="008C20EB" w:rsidRDefault="008D25BE">
            <w:pPr>
              <w:pStyle w:val="TableParagraph"/>
              <w:numPr>
                <w:ilvl w:val="1"/>
                <w:numId w:val="56"/>
              </w:numPr>
              <w:tabs>
                <w:tab w:val="left" w:pos="1488"/>
                <w:tab w:val="left" w:pos="1489"/>
              </w:tabs>
              <w:spacing w:line="261" w:lineRule="exact"/>
              <w:ind w:left="1488" w:hanging="337"/>
              <w:jc w:val="both"/>
            </w:pPr>
            <w:r>
              <w:t>Se modifica el Anexo N° 2 “Créditos Según tipo de</w:t>
            </w:r>
            <w:r>
              <w:rPr>
                <w:spacing w:val="-18"/>
              </w:rPr>
              <w:t xml:space="preserve"> </w:t>
            </w:r>
            <w:r>
              <w:t>Garantía”</w:t>
            </w:r>
          </w:p>
          <w:p w14:paraId="40FE17B3" w14:textId="77777777" w:rsidR="008C20EB" w:rsidRDefault="008D25BE">
            <w:pPr>
              <w:pStyle w:val="TableParagraph"/>
              <w:numPr>
                <w:ilvl w:val="1"/>
                <w:numId w:val="56"/>
              </w:numPr>
              <w:tabs>
                <w:tab w:val="left" w:pos="1488"/>
                <w:tab w:val="left" w:pos="1489"/>
              </w:tabs>
              <w:spacing w:line="252" w:lineRule="exact"/>
              <w:ind w:left="1488" w:hanging="337"/>
              <w:jc w:val="both"/>
            </w:pPr>
            <w:r>
              <w:t>Se</w:t>
            </w:r>
            <w:r>
              <w:rPr>
                <w:spacing w:val="-5"/>
              </w:rPr>
              <w:t xml:space="preserve"> </w:t>
            </w:r>
            <w:r>
              <w:t>sustituye</w:t>
            </w:r>
            <w:r>
              <w:rPr>
                <w:spacing w:val="-1"/>
              </w:rPr>
              <w:t xml:space="preserve"> </w:t>
            </w:r>
            <w:r>
              <w:t>la</w:t>
            </w:r>
            <w:r>
              <w:rPr>
                <w:spacing w:val="-5"/>
              </w:rPr>
              <w:t xml:space="preserve"> </w:t>
            </w:r>
            <w:r>
              <w:t>denominación,</w:t>
            </w:r>
            <w:r>
              <w:rPr>
                <w:spacing w:val="-2"/>
              </w:rPr>
              <w:t xml:space="preserve"> </w:t>
            </w:r>
            <w:r>
              <w:t>el</w:t>
            </w:r>
            <w:r>
              <w:rPr>
                <w:spacing w:val="-2"/>
              </w:rPr>
              <w:t xml:space="preserve"> </w:t>
            </w:r>
            <w:r>
              <w:t>formato</w:t>
            </w:r>
            <w:r>
              <w:rPr>
                <w:spacing w:val="-5"/>
              </w:rPr>
              <w:t xml:space="preserve"> </w:t>
            </w:r>
            <w:r>
              <w:t>y</w:t>
            </w:r>
            <w:r>
              <w:rPr>
                <w:spacing w:val="1"/>
              </w:rPr>
              <w:t xml:space="preserve"> </w:t>
            </w:r>
            <w:r>
              <w:t>las</w:t>
            </w:r>
            <w:r>
              <w:rPr>
                <w:spacing w:val="-4"/>
              </w:rPr>
              <w:t xml:space="preserve"> </w:t>
            </w:r>
            <w:r>
              <w:t>notas</w:t>
            </w:r>
            <w:r>
              <w:rPr>
                <w:spacing w:val="-4"/>
              </w:rPr>
              <w:t xml:space="preserve"> </w:t>
            </w:r>
            <w:r>
              <w:t>del</w:t>
            </w:r>
            <w:r>
              <w:rPr>
                <w:spacing w:val="-7"/>
              </w:rPr>
              <w:t xml:space="preserve"> </w:t>
            </w:r>
            <w:r>
              <w:t>Anexo</w:t>
            </w:r>
            <w:r>
              <w:rPr>
                <w:spacing w:val="-5"/>
              </w:rPr>
              <w:t xml:space="preserve"> </w:t>
            </w:r>
            <w:r>
              <w:t>N°</w:t>
            </w:r>
            <w:r>
              <w:rPr>
                <w:spacing w:val="-7"/>
              </w:rPr>
              <w:t xml:space="preserve"> </w:t>
            </w:r>
            <w:r>
              <w:rPr>
                <w:spacing w:val="2"/>
              </w:rPr>
              <w:t>4-A</w:t>
            </w:r>
          </w:p>
          <w:p w14:paraId="40FE17B4" w14:textId="77777777" w:rsidR="008C20EB" w:rsidRDefault="008D25BE">
            <w:pPr>
              <w:pStyle w:val="TableParagraph"/>
              <w:numPr>
                <w:ilvl w:val="1"/>
                <w:numId w:val="56"/>
              </w:numPr>
              <w:tabs>
                <w:tab w:val="left" w:pos="1488"/>
                <w:tab w:val="left" w:pos="1489"/>
              </w:tabs>
              <w:spacing w:line="252" w:lineRule="exact"/>
              <w:ind w:left="1488" w:hanging="337"/>
              <w:jc w:val="both"/>
            </w:pPr>
            <w:r>
              <w:t>Se</w:t>
            </w:r>
            <w:r>
              <w:rPr>
                <w:spacing w:val="-5"/>
              </w:rPr>
              <w:t xml:space="preserve"> </w:t>
            </w:r>
            <w:r>
              <w:t>sustituye</w:t>
            </w:r>
            <w:r>
              <w:rPr>
                <w:spacing w:val="-1"/>
              </w:rPr>
              <w:t xml:space="preserve"> </w:t>
            </w:r>
            <w:r>
              <w:t>la</w:t>
            </w:r>
            <w:r>
              <w:rPr>
                <w:spacing w:val="-5"/>
              </w:rPr>
              <w:t xml:space="preserve"> </w:t>
            </w:r>
            <w:r>
              <w:t>denominación,</w:t>
            </w:r>
            <w:r>
              <w:rPr>
                <w:spacing w:val="-2"/>
              </w:rPr>
              <w:t xml:space="preserve"> </w:t>
            </w:r>
            <w:r>
              <w:t>el</w:t>
            </w:r>
            <w:r>
              <w:rPr>
                <w:spacing w:val="-2"/>
              </w:rPr>
              <w:t xml:space="preserve"> </w:t>
            </w:r>
            <w:r>
              <w:t>formato</w:t>
            </w:r>
            <w:r>
              <w:rPr>
                <w:spacing w:val="-5"/>
              </w:rPr>
              <w:t xml:space="preserve"> </w:t>
            </w:r>
            <w:r>
              <w:t>y</w:t>
            </w:r>
            <w:r>
              <w:rPr>
                <w:spacing w:val="1"/>
              </w:rPr>
              <w:t xml:space="preserve"> </w:t>
            </w:r>
            <w:r>
              <w:t>las</w:t>
            </w:r>
            <w:r>
              <w:rPr>
                <w:spacing w:val="-4"/>
              </w:rPr>
              <w:t xml:space="preserve"> </w:t>
            </w:r>
            <w:r>
              <w:t>notas</w:t>
            </w:r>
            <w:r>
              <w:rPr>
                <w:spacing w:val="-4"/>
              </w:rPr>
              <w:t xml:space="preserve"> </w:t>
            </w:r>
            <w:r>
              <w:t>del</w:t>
            </w:r>
            <w:r>
              <w:rPr>
                <w:spacing w:val="-7"/>
              </w:rPr>
              <w:t xml:space="preserve"> </w:t>
            </w:r>
            <w:r>
              <w:t>Anexo</w:t>
            </w:r>
            <w:r>
              <w:rPr>
                <w:spacing w:val="-5"/>
              </w:rPr>
              <w:t xml:space="preserve"> </w:t>
            </w:r>
            <w:r>
              <w:t>N°</w:t>
            </w:r>
            <w:r>
              <w:rPr>
                <w:spacing w:val="-7"/>
              </w:rPr>
              <w:t xml:space="preserve"> </w:t>
            </w:r>
            <w:r>
              <w:rPr>
                <w:spacing w:val="2"/>
              </w:rPr>
              <w:t>4-B</w:t>
            </w:r>
          </w:p>
          <w:p w14:paraId="40FE17B5" w14:textId="77777777" w:rsidR="008C20EB" w:rsidRDefault="008D25BE">
            <w:pPr>
              <w:pStyle w:val="TableParagraph"/>
              <w:numPr>
                <w:ilvl w:val="1"/>
                <w:numId w:val="56"/>
              </w:numPr>
              <w:tabs>
                <w:tab w:val="left" w:pos="1488"/>
                <w:tab w:val="left" w:pos="1489"/>
              </w:tabs>
              <w:spacing w:line="254" w:lineRule="exact"/>
              <w:ind w:left="1488" w:hanging="337"/>
              <w:jc w:val="both"/>
            </w:pPr>
            <w:r>
              <w:t>Se modifica el Anexo N°</w:t>
            </w:r>
            <w:r>
              <w:rPr>
                <w:spacing w:val="-37"/>
              </w:rPr>
              <w:t xml:space="preserve"> </w:t>
            </w:r>
            <w:r>
              <w:t>5 “Informe de Clasificación de Deudores y Provisiones”</w:t>
            </w:r>
          </w:p>
          <w:p w14:paraId="40FE17B6" w14:textId="77777777" w:rsidR="008C20EB" w:rsidRDefault="008D25BE">
            <w:pPr>
              <w:pStyle w:val="TableParagraph"/>
              <w:numPr>
                <w:ilvl w:val="1"/>
                <w:numId w:val="56"/>
              </w:numPr>
              <w:tabs>
                <w:tab w:val="left" w:pos="1488"/>
                <w:tab w:val="left" w:pos="1489"/>
              </w:tabs>
              <w:spacing w:line="252" w:lineRule="exact"/>
              <w:ind w:left="1488" w:hanging="337"/>
              <w:jc w:val="both"/>
            </w:pPr>
            <w:r>
              <w:t>Se modifica el “Listado de Cuentas Contables Consideradas en el</w:t>
            </w:r>
            <w:r>
              <w:rPr>
                <w:spacing w:val="-31"/>
              </w:rPr>
              <w:t xml:space="preserve"> </w:t>
            </w:r>
            <w:r>
              <w:t>RCD”</w:t>
            </w:r>
          </w:p>
          <w:p w14:paraId="40FE17B7" w14:textId="77777777" w:rsidR="008C20EB" w:rsidRDefault="008D25BE">
            <w:pPr>
              <w:pStyle w:val="TableParagraph"/>
              <w:numPr>
                <w:ilvl w:val="1"/>
                <w:numId w:val="56"/>
              </w:numPr>
              <w:tabs>
                <w:tab w:val="left" w:pos="1488"/>
                <w:tab w:val="left" w:pos="1489"/>
              </w:tabs>
              <w:spacing w:line="252" w:lineRule="exact"/>
              <w:ind w:left="1488" w:hanging="337"/>
              <w:jc w:val="both"/>
            </w:pPr>
            <w:r>
              <w:t>Se elimina el Anexo N° 25 y Anexo N°</w:t>
            </w:r>
            <w:r>
              <w:rPr>
                <w:spacing w:val="-19"/>
              </w:rPr>
              <w:t xml:space="preserve"> </w:t>
            </w:r>
            <w:r>
              <w:t>26</w:t>
            </w:r>
          </w:p>
          <w:p w14:paraId="40FE17B8" w14:textId="77777777" w:rsidR="008C20EB" w:rsidRDefault="008D25BE">
            <w:pPr>
              <w:pStyle w:val="TableParagraph"/>
              <w:numPr>
                <w:ilvl w:val="1"/>
                <w:numId w:val="56"/>
              </w:numPr>
              <w:tabs>
                <w:tab w:val="left" w:pos="1488"/>
                <w:tab w:val="left" w:pos="1489"/>
              </w:tabs>
              <w:spacing w:line="252" w:lineRule="exact"/>
              <w:ind w:left="1488" w:hanging="337"/>
              <w:jc w:val="both"/>
            </w:pPr>
            <w:r>
              <w:t>Se modifica el Reporte N° 3 “Patrimonio</w:t>
            </w:r>
            <w:r>
              <w:rPr>
                <w:spacing w:val="-13"/>
              </w:rPr>
              <w:t xml:space="preserve"> </w:t>
            </w:r>
            <w:r>
              <w:t>Efectivo”</w:t>
            </w:r>
          </w:p>
          <w:p w14:paraId="40FE17B9" w14:textId="77777777" w:rsidR="008C20EB" w:rsidRDefault="008D25BE">
            <w:pPr>
              <w:pStyle w:val="TableParagraph"/>
              <w:numPr>
                <w:ilvl w:val="1"/>
                <w:numId w:val="56"/>
              </w:numPr>
              <w:tabs>
                <w:tab w:val="left" w:pos="1488"/>
                <w:tab w:val="left" w:pos="1489"/>
              </w:tabs>
              <w:spacing w:line="252" w:lineRule="exact"/>
              <w:ind w:left="1488" w:hanging="337"/>
              <w:jc w:val="both"/>
            </w:pPr>
            <w:r>
              <w:t>Se modifica el Reporte N° 34 “Patrimonio Efectivo</w:t>
            </w:r>
            <w:r>
              <w:rPr>
                <w:spacing w:val="-13"/>
              </w:rPr>
              <w:t xml:space="preserve"> </w:t>
            </w:r>
            <w:r>
              <w:t>Ajustado”</w:t>
            </w:r>
          </w:p>
          <w:p w14:paraId="40FE17BA" w14:textId="77777777" w:rsidR="008C20EB" w:rsidRDefault="008D25BE">
            <w:pPr>
              <w:pStyle w:val="TableParagraph"/>
              <w:numPr>
                <w:ilvl w:val="1"/>
                <w:numId w:val="56"/>
              </w:numPr>
              <w:tabs>
                <w:tab w:val="left" w:pos="1488"/>
                <w:tab w:val="left" w:pos="1489"/>
              </w:tabs>
              <w:spacing w:line="223" w:lineRule="auto"/>
              <w:ind w:right="392" w:hanging="361"/>
              <w:jc w:val="both"/>
            </w:pPr>
            <w:r>
              <w:t>Se</w:t>
            </w:r>
            <w:r>
              <w:rPr>
                <w:spacing w:val="-6"/>
              </w:rPr>
              <w:t xml:space="preserve"> </w:t>
            </w:r>
            <w:r>
              <w:t>sustituye</w:t>
            </w:r>
            <w:r>
              <w:rPr>
                <w:spacing w:val="-6"/>
              </w:rPr>
              <w:t xml:space="preserve"> </w:t>
            </w:r>
            <w:r>
              <w:t>el</w:t>
            </w:r>
            <w:r>
              <w:rPr>
                <w:spacing w:val="-2"/>
              </w:rPr>
              <w:t xml:space="preserve"> </w:t>
            </w:r>
            <w:r>
              <w:t>formato</w:t>
            </w:r>
            <w:r>
              <w:rPr>
                <w:spacing w:val="-1"/>
              </w:rPr>
              <w:t xml:space="preserve"> </w:t>
            </w:r>
            <w:r>
              <w:t>y</w:t>
            </w:r>
            <w:r>
              <w:rPr>
                <w:spacing w:val="-5"/>
              </w:rPr>
              <w:t xml:space="preserve"> </w:t>
            </w:r>
            <w:r>
              <w:t>las Notas</w:t>
            </w:r>
            <w:r>
              <w:rPr>
                <w:spacing w:val="-4"/>
              </w:rPr>
              <w:t xml:space="preserve"> </w:t>
            </w:r>
            <w:r>
              <w:t>del</w:t>
            </w:r>
            <w:r>
              <w:rPr>
                <w:spacing w:val="-3"/>
              </w:rPr>
              <w:t xml:space="preserve"> </w:t>
            </w:r>
            <w:r>
              <w:t>Reporte</w:t>
            </w:r>
            <w:r>
              <w:rPr>
                <w:spacing w:val="-5"/>
              </w:rPr>
              <w:t xml:space="preserve"> </w:t>
            </w:r>
            <w:r>
              <w:t>N°</w:t>
            </w:r>
            <w:r>
              <w:rPr>
                <w:spacing w:val="-3"/>
              </w:rPr>
              <w:t xml:space="preserve"> </w:t>
            </w:r>
            <w:r>
              <w:t>14</w:t>
            </w:r>
            <w:r>
              <w:rPr>
                <w:spacing w:val="-1"/>
              </w:rPr>
              <w:t xml:space="preserve"> </w:t>
            </w:r>
            <w:r>
              <w:t>“Créditos</w:t>
            </w:r>
            <w:r>
              <w:rPr>
                <w:spacing w:val="-4"/>
              </w:rPr>
              <w:t xml:space="preserve"> </w:t>
            </w:r>
            <w:r>
              <w:t>Según</w:t>
            </w:r>
            <w:r>
              <w:rPr>
                <w:spacing w:val="-5"/>
              </w:rPr>
              <w:t xml:space="preserve"> </w:t>
            </w:r>
            <w:r>
              <w:t>días</w:t>
            </w:r>
            <w:r>
              <w:rPr>
                <w:spacing w:val="-5"/>
              </w:rPr>
              <w:t xml:space="preserve"> </w:t>
            </w:r>
            <w:r>
              <w:t>de Incumplimiento”.</w:t>
            </w:r>
          </w:p>
          <w:p w14:paraId="40FE17BB" w14:textId="77777777" w:rsidR="008C20EB" w:rsidRDefault="008C20EB">
            <w:pPr>
              <w:pStyle w:val="TableParagraph"/>
              <w:spacing w:before="10"/>
              <w:jc w:val="both"/>
              <w:rPr>
                <w:rFonts w:ascii="Arial"/>
                <w:b/>
                <w:sz w:val="21"/>
              </w:rPr>
            </w:pPr>
          </w:p>
          <w:p w14:paraId="40FE17BC" w14:textId="77777777" w:rsidR="008C20EB" w:rsidRDefault="008D25BE">
            <w:pPr>
              <w:pStyle w:val="TableParagraph"/>
              <w:spacing w:line="245" w:lineRule="exact"/>
              <w:ind w:left="72"/>
              <w:jc w:val="both"/>
            </w:pPr>
            <w:r>
              <w:t>La</w:t>
            </w:r>
            <w:r>
              <w:rPr>
                <w:spacing w:val="-5"/>
              </w:rPr>
              <w:t xml:space="preserve"> </w:t>
            </w:r>
            <w:r>
              <w:t>vigencia</w:t>
            </w:r>
            <w:r>
              <w:rPr>
                <w:spacing w:val="-5"/>
              </w:rPr>
              <w:t xml:space="preserve"> </w:t>
            </w:r>
            <w:r>
              <w:t>es</w:t>
            </w:r>
            <w:r>
              <w:rPr>
                <w:spacing w:val="-4"/>
              </w:rPr>
              <w:t xml:space="preserve"> </w:t>
            </w:r>
            <w:r>
              <w:t>a</w:t>
            </w:r>
            <w:r>
              <w:rPr>
                <w:spacing w:val="-5"/>
              </w:rPr>
              <w:t xml:space="preserve"> </w:t>
            </w:r>
            <w:r>
              <w:t>partir</w:t>
            </w:r>
            <w:r>
              <w:rPr>
                <w:spacing w:val="-3"/>
              </w:rPr>
              <w:t xml:space="preserve"> </w:t>
            </w:r>
            <w:r>
              <w:t>de la</w:t>
            </w:r>
            <w:r>
              <w:rPr>
                <w:spacing w:val="-5"/>
              </w:rPr>
              <w:t xml:space="preserve"> </w:t>
            </w:r>
            <w:r>
              <w:t>información</w:t>
            </w:r>
            <w:r>
              <w:rPr>
                <w:spacing w:val="-5"/>
              </w:rPr>
              <w:t xml:space="preserve"> </w:t>
            </w:r>
            <w:r>
              <w:t>de</w:t>
            </w:r>
            <w:r>
              <w:rPr>
                <w:spacing w:val="-5"/>
              </w:rPr>
              <w:t xml:space="preserve"> </w:t>
            </w:r>
            <w:r>
              <w:t>setiembre</w:t>
            </w:r>
            <w:r>
              <w:rPr>
                <w:spacing w:val="-5"/>
              </w:rPr>
              <w:t xml:space="preserve"> </w:t>
            </w:r>
            <w:r>
              <w:t>2016.</w:t>
            </w:r>
          </w:p>
        </w:tc>
      </w:tr>
    </w:tbl>
    <w:p w14:paraId="40FE17BE" w14:textId="77777777" w:rsidR="008C20EB" w:rsidRDefault="008C20EB">
      <w:pPr>
        <w:spacing w:line="245"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C3" w14:textId="77777777">
        <w:trPr>
          <w:trHeight w:val="254"/>
        </w:trPr>
        <w:tc>
          <w:tcPr>
            <w:tcW w:w="1445" w:type="dxa"/>
            <w:vAlign w:val="bottom"/>
          </w:tcPr>
          <w:p w14:paraId="40FE17BF"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C0" w14:textId="77777777" w:rsidR="008C20EB" w:rsidRDefault="008D25BE">
            <w:pPr>
              <w:pStyle w:val="TableParagraph"/>
              <w:spacing w:line="234" w:lineRule="exact"/>
              <w:ind w:left="556"/>
              <w:jc w:val="both"/>
              <w:rPr>
                <w:b/>
              </w:rPr>
            </w:pPr>
            <w:r>
              <w:rPr>
                <w:b/>
              </w:rPr>
              <w:t>FECHA</w:t>
            </w:r>
          </w:p>
        </w:tc>
        <w:tc>
          <w:tcPr>
            <w:tcW w:w="3500" w:type="dxa"/>
            <w:vAlign w:val="bottom"/>
          </w:tcPr>
          <w:p w14:paraId="40FE17C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C2" w14:textId="77777777" w:rsidR="008C20EB" w:rsidRDefault="008D25BE">
            <w:pPr>
              <w:pStyle w:val="TableParagraph"/>
              <w:spacing w:line="234" w:lineRule="exact"/>
              <w:ind w:left="3271" w:right="3265"/>
              <w:jc w:val="both"/>
              <w:rPr>
                <w:b/>
              </w:rPr>
            </w:pPr>
            <w:r>
              <w:rPr>
                <w:b/>
              </w:rPr>
              <w:t>MODIFICATORIAS</w:t>
            </w:r>
          </w:p>
        </w:tc>
      </w:tr>
      <w:tr w:rsidR="008C20EB" w14:paraId="40FE17CD" w14:textId="77777777">
        <w:trPr>
          <w:trHeight w:val="2064"/>
        </w:trPr>
        <w:tc>
          <w:tcPr>
            <w:tcW w:w="1445" w:type="dxa"/>
          </w:tcPr>
          <w:p w14:paraId="40FE17C4" w14:textId="77777777" w:rsidR="008C20EB" w:rsidRDefault="008D25BE">
            <w:pPr>
              <w:pStyle w:val="TableParagraph"/>
              <w:spacing w:line="240" w:lineRule="exact"/>
              <w:ind w:left="71"/>
              <w:jc w:val="both"/>
              <w:rPr>
                <w:b/>
              </w:rPr>
            </w:pPr>
            <w:r>
              <w:rPr>
                <w:b/>
              </w:rPr>
              <w:t>Resolución</w:t>
            </w:r>
          </w:p>
          <w:p w14:paraId="40FE17C5" w14:textId="77777777" w:rsidR="008C20EB" w:rsidRDefault="008D25BE">
            <w:pPr>
              <w:pStyle w:val="TableParagraph"/>
              <w:spacing w:line="242" w:lineRule="auto"/>
              <w:ind w:left="71"/>
              <w:jc w:val="both"/>
              <w:rPr>
                <w:b/>
              </w:rPr>
            </w:pPr>
            <w:r>
              <w:rPr>
                <w:b/>
              </w:rPr>
              <w:t>S.B.S. N° 975- 2016</w:t>
            </w:r>
          </w:p>
        </w:tc>
        <w:tc>
          <w:tcPr>
            <w:tcW w:w="1733" w:type="dxa"/>
          </w:tcPr>
          <w:p w14:paraId="40FE17C6" w14:textId="77777777" w:rsidR="008C20EB" w:rsidRDefault="008D25BE">
            <w:pPr>
              <w:pStyle w:val="TableParagraph"/>
              <w:spacing w:line="240" w:lineRule="exact"/>
              <w:jc w:val="both"/>
              <w:rPr>
                <w:b/>
              </w:rPr>
            </w:pPr>
            <w:r>
              <w:rPr>
                <w:b/>
              </w:rPr>
              <w:t>(Pr. 24.02.2016 /</w:t>
            </w:r>
          </w:p>
          <w:p w14:paraId="40FE17C7" w14:textId="77777777" w:rsidR="008C20EB" w:rsidRDefault="008D25BE">
            <w:pPr>
              <w:pStyle w:val="TableParagraph"/>
              <w:spacing w:line="251" w:lineRule="exact"/>
              <w:jc w:val="both"/>
              <w:rPr>
                <w:b/>
              </w:rPr>
            </w:pPr>
            <w:r>
              <w:rPr>
                <w:b/>
              </w:rPr>
              <w:t>Pub. 26.02.2016)</w:t>
            </w:r>
          </w:p>
        </w:tc>
        <w:tc>
          <w:tcPr>
            <w:tcW w:w="3500" w:type="dxa"/>
          </w:tcPr>
          <w:p w14:paraId="40FE17C8" w14:textId="77777777" w:rsidR="008C20EB" w:rsidRDefault="008D25BE">
            <w:pPr>
              <w:pStyle w:val="TableParagraph"/>
              <w:ind w:left="177" w:right="60"/>
              <w:jc w:val="both"/>
            </w:pPr>
            <w:r>
              <w:t>Como producto de la emisión del Reglamento de Deuda Subordinada aplicable a las Empresas del Sistema Financiero, se modifica el Capítulo V “Información complementaria” del Manual de Contabilidad.</w:t>
            </w:r>
          </w:p>
        </w:tc>
        <w:tc>
          <w:tcPr>
            <w:tcW w:w="8162" w:type="dxa"/>
          </w:tcPr>
          <w:p w14:paraId="40FE17C9" w14:textId="77777777" w:rsidR="008C20EB" w:rsidRDefault="008D25BE">
            <w:pPr>
              <w:pStyle w:val="TableParagraph"/>
              <w:numPr>
                <w:ilvl w:val="0"/>
                <w:numId w:val="57"/>
              </w:numPr>
              <w:tabs>
                <w:tab w:val="left" w:pos="371"/>
              </w:tabs>
              <w:spacing w:line="235" w:lineRule="auto"/>
              <w:ind w:right="601"/>
              <w:jc w:val="both"/>
              <w:rPr>
                <w:rFonts w:ascii="Symbol" w:hAnsi="Symbol"/>
              </w:rPr>
            </w:pPr>
            <w:r>
              <w:t>Se</w:t>
            </w:r>
            <w:r>
              <w:rPr>
                <w:spacing w:val="-6"/>
              </w:rPr>
              <w:t xml:space="preserve"> </w:t>
            </w:r>
            <w:r>
              <w:t>modifica</w:t>
            </w:r>
            <w:r>
              <w:rPr>
                <w:spacing w:val="-5"/>
              </w:rPr>
              <w:t xml:space="preserve"> </w:t>
            </w:r>
            <w:r>
              <w:t>el</w:t>
            </w:r>
            <w:r>
              <w:rPr>
                <w:spacing w:val="-1"/>
              </w:rPr>
              <w:t xml:space="preserve"> </w:t>
            </w:r>
            <w:r>
              <w:t>Reporte</w:t>
            </w:r>
            <w:r>
              <w:rPr>
                <w:spacing w:val="-5"/>
              </w:rPr>
              <w:t xml:space="preserve"> </w:t>
            </w:r>
            <w:r>
              <w:t>2-A1</w:t>
            </w:r>
            <w:r>
              <w:rPr>
                <w:spacing w:val="-1"/>
              </w:rPr>
              <w:t xml:space="preserve"> </w:t>
            </w:r>
            <w:r>
              <w:t>“Activos</w:t>
            </w:r>
            <w:r>
              <w:rPr>
                <w:spacing w:val="-4"/>
              </w:rPr>
              <w:t xml:space="preserve"> </w:t>
            </w:r>
            <w:r>
              <w:t>y</w:t>
            </w:r>
            <w:r>
              <w:rPr>
                <w:spacing w:val="-4"/>
              </w:rPr>
              <w:t xml:space="preserve"> </w:t>
            </w:r>
            <w:r>
              <w:t>Contingentes</w:t>
            </w:r>
            <w:r>
              <w:rPr>
                <w:spacing w:val="-4"/>
              </w:rPr>
              <w:t xml:space="preserve"> </w:t>
            </w:r>
            <w:r>
              <w:t>Ponderados</w:t>
            </w:r>
            <w:r>
              <w:rPr>
                <w:spacing w:val="-4"/>
              </w:rPr>
              <w:t xml:space="preserve"> </w:t>
            </w:r>
            <w:r>
              <w:t>por</w:t>
            </w:r>
            <w:r>
              <w:rPr>
                <w:spacing w:val="-4"/>
              </w:rPr>
              <w:t xml:space="preserve"> </w:t>
            </w:r>
            <w:r>
              <w:t>Riesgo</w:t>
            </w:r>
            <w:r>
              <w:rPr>
                <w:spacing w:val="-5"/>
              </w:rPr>
              <w:t xml:space="preserve"> </w:t>
            </w:r>
            <w:r>
              <w:t>de</w:t>
            </w:r>
            <w:r>
              <w:rPr>
                <w:spacing w:val="-5"/>
              </w:rPr>
              <w:t xml:space="preserve"> </w:t>
            </w:r>
            <w:r>
              <w:t>Crédito</w:t>
            </w:r>
            <w:r>
              <w:rPr>
                <w:spacing w:val="-2"/>
              </w:rPr>
              <w:t xml:space="preserve"> </w:t>
            </w:r>
            <w:r>
              <w:t>– Método</w:t>
            </w:r>
            <w:r>
              <w:rPr>
                <w:spacing w:val="-3"/>
              </w:rPr>
              <w:t xml:space="preserve"> </w:t>
            </w:r>
            <w:r>
              <w:t>Estándar</w:t>
            </w:r>
          </w:p>
          <w:p w14:paraId="40FE17CA" w14:textId="77777777" w:rsidR="008C20EB" w:rsidRDefault="008D25BE">
            <w:pPr>
              <w:pStyle w:val="TableParagraph"/>
              <w:numPr>
                <w:ilvl w:val="0"/>
                <w:numId w:val="57"/>
              </w:numPr>
              <w:tabs>
                <w:tab w:val="left" w:pos="371"/>
              </w:tabs>
              <w:ind w:right="135"/>
              <w:jc w:val="both"/>
              <w:rPr>
                <w:rFonts w:ascii="Symbol" w:hAnsi="Symbol"/>
              </w:rPr>
            </w:pPr>
            <w:r>
              <w:t>Se incorpora el Reporte N° 34 “Patrimonio Efectivo Ajustado - Activos y Contingentes Ponderados</w:t>
            </w:r>
            <w:r>
              <w:rPr>
                <w:spacing w:val="-5"/>
              </w:rPr>
              <w:t xml:space="preserve"> </w:t>
            </w:r>
            <w:r>
              <w:t>por</w:t>
            </w:r>
            <w:r>
              <w:rPr>
                <w:spacing w:val="-4"/>
              </w:rPr>
              <w:t xml:space="preserve"> </w:t>
            </w:r>
            <w:r>
              <w:t>Riesgo</w:t>
            </w:r>
            <w:r>
              <w:rPr>
                <w:spacing w:val="-6"/>
              </w:rPr>
              <w:t xml:space="preserve"> </w:t>
            </w:r>
            <w:r>
              <w:t>Totales</w:t>
            </w:r>
            <w:r>
              <w:rPr>
                <w:spacing w:val="-4"/>
              </w:rPr>
              <w:t xml:space="preserve"> </w:t>
            </w:r>
            <w:r>
              <w:t>Ajustados”.</w:t>
            </w:r>
            <w:r>
              <w:rPr>
                <w:spacing w:val="-8"/>
              </w:rPr>
              <w:t xml:space="preserve"> </w:t>
            </w:r>
            <w:r>
              <w:t>Este</w:t>
            </w:r>
            <w:r>
              <w:rPr>
                <w:spacing w:val="-5"/>
              </w:rPr>
              <w:t xml:space="preserve"> </w:t>
            </w:r>
            <w:r>
              <w:t>reporte</w:t>
            </w:r>
            <w:r>
              <w:rPr>
                <w:spacing w:val="-6"/>
              </w:rPr>
              <w:t xml:space="preserve"> </w:t>
            </w:r>
            <w:r>
              <w:t>deberá</w:t>
            </w:r>
            <w:r>
              <w:rPr>
                <w:spacing w:val="-6"/>
              </w:rPr>
              <w:t xml:space="preserve"> </w:t>
            </w:r>
            <w:r>
              <w:t>ser</w:t>
            </w:r>
            <w:r>
              <w:rPr>
                <w:spacing w:val="-3"/>
              </w:rPr>
              <w:t xml:space="preserve"> </w:t>
            </w:r>
            <w:r>
              <w:t>remitido</w:t>
            </w:r>
            <w:r>
              <w:rPr>
                <w:spacing w:val="-6"/>
              </w:rPr>
              <w:t xml:space="preserve"> </w:t>
            </w:r>
            <w:r>
              <w:t>mensualmente</w:t>
            </w:r>
            <w:r>
              <w:rPr>
                <w:spacing w:val="-6"/>
              </w:rPr>
              <w:t xml:space="preserve"> </w:t>
            </w:r>
            <w:r>
              <w:t>vía SUCAVE en un plazo que no exceda de 15 días calendario de concluido el mes a que corresponde la</w:t>
            </w:r>
            <w:r>
              <w:rPr>
                <w:spacing w:val="-6"/>
              </w:rPr>
              <w:t xml:space="preserve"> </w:t>
            </w:r>
            <w:r>
              <w:t>información.</w:t>
            </w:r>
          </w:p>
          <w:p w14:paraId="40FE17CB" w14:textId="77777777" w:rsidR="008C20EB" w:rsidRDefault="008D25BE">
            <w:pPr>
              <w:pStyle w:val="TableParagraph"/>
              <w:numPr>
                <w:ilvl w:val="0"/>
                <w:numId w:val="57"/>
              </w:numPr>
              <w:tabs>
                <w:tab w:val="left" w:pos="371"/>
              </w:tabs>
              <w:spacing w:line="249" w:lineRule="exact"/>
              <w:ind w:hanging="285"/>
              <w:jc w:val="both"/>
              <w:rPr>
                <w:rFonts w:ascii="Symbol" w:hAnsi="Symbol"/>
                <w:sz w:val="20"/>
              </w:rPr>
            </w:pPr>
            <w:r>
              <w:t>Se modifica el Anexo 12-II “Control de Deuda</w:t>
            </w:r>
            <w:r>
              <w:rPr>
                <w:spacing w:val="-15"/>
              </w:rPr>
              <w:t xml:space="preserve"> </w:t>
            </w:r>
            <w:r>
              <w:t>Subordinada”.</w:t>
            </w:r>
          </w:p>
          <w:p w14:paraId="40FE17CC" w14:textId="77777777" w:rsidR="008C20EB" w:rsidRDefault="008D25BE">
            <w:pPr>
              <w:pStyle w:val="TableParagraph"/>
              <w:numPr>
                <w:ilvl w:val="0"/>
                <w:numId w:val="57"/>
              </w:numPr>
              <w:tabs>
                <w:tab w:val="left" w:pos="371"/>
              </w:tabs>
              <w:spacing w:line="260" w:lineRule="exact"/>
              <w:ind w:hanging="285"/>
              <w:jc w:val="both"/>
              <w:rPr>
                <w:rFonts w:ascii="Symbol" w:hAnsi="Symbol"/>
              </w:rPr>
            </w:pPr>
            <w:r>
              <w:t>Vigencia a partir de la información de Julio de</w:t>
            </w:r>
            <w:r>
              <w:rPr>
                <w:spacing w:val="-16"/>
              </w:rPr>
              <w:t xml:space="preserve"> </w:t>
            </w:r>
            <w:r>
              <w:t>2016.</w:t>
            </w:r>
          </w:p>
        </w:tc>
      </w:tr>
      <w:tr w:rsidR="008C20EB" w14:paraId="40FE17D7" w14:textId="77777777">
        <w:trPr>
          <w:trHeight w:val="3538"/>
        </w:trPr>
        <w:tc>
          <w:tcPr>
            <w:tcW w:w="1445" w:type="dxa"/>
          </w:tcPr>
          <w:p w14:paraId="40FE17CE" w14:textId="77777777" w:rsidR="008C20EB" w:rsidRDefault="008D25BE">
            <w:pPr>
              <w:pStyle w:val="TableParagraph"/>
              <w:spacing w:line="240" w:lineRule="exact"/>
              <w:ind w:left="71"/>
              <w:jc w:val="both"/>
              <w:rPr>
                <w:b/>
              </w:rPr>
            </w:pPr>
            <w:r>
              <w:rPr>
                <w:b/>
              </w:rPr>
              <w:t>Resolución</w:t>
            </w:r>
          </w:p>
          <w:p w14:paraId="40FE17CF" w14:textId="77777777" w:rsidR="008C20EB" w:rsidRDefault="008D25BE">
            <w:pPr>
              <w:pStyle w:val="TableParagraph"/>
              <w:ind w:left="71"/>
              <w:jc w:val="both"/>
              <w:rPr>
                <w:b/>
              </w:rPr>
            </w:pPr>
            <w:r>
              <w:rPr>
                <w:b/>
              </w:rPr>
              <w:t>S.B.S. N° 603- 2016</w:t>
            </w:r>
          </w:p>
        </w:tc>
        <w:tc>
          <w:tcPr>
            <w:tcW w:w="1733" w:type="dxa"/>
          </w:tcPr>
          <w:p w14:paraId="40FE17D0" w14:textId="77777777" w:rsidR="008C20EB" w:rsidRDefault="008D25BE">
            <w:pPr>
              <w:pStyle w:val="TableParagraph"/>
              <w:spacing w:line="240" w:lineRule="exact"/>
              <w:jc w:val="both"/>
              <w:rPr>
                <w:b/>
              </w:rPr>
            </w:pPr>
            <w:r>
              <w:rPr>
                <w:b/>
              </w:rPr>
              <w:t>(Pr. 03.02.2016 /</w:t>
            </w:r>
          </w:p>
          <w:p w14:paraId="40FE17D1" w14:textId="77777777" w:rsidR="008C20EB" w:rsidRDefault="008D25BE">
            <w:pPr>
              <w:pStyle w:val="TableParagraph"/>
              <w:spacing w:line="251" w:lineRule="exact"/>
              <w:jc w:val="both"/>
              <w:rPr>
                <w:b/>
              </w:rPr>
            </w:pPr>
            <w:r>
              <w:rPr>
                <w:b/>
              </w:rPr>
              <w:t>Pub. 06.02.2016)</w:t>
            </w:r>
          </w:p>
        </w:tc>
        <w:tc>
          <w:tcPr>
            <w:tcW w:w="3500" w:type="dxa"/>
          </w:tcPr>
          <w:p w14:paraId="40FE17D2" w14:textId="77777777" w:rsidR="008C20EB" w:rsidRDefault="008D25BE">
            <w:pPr>
              <w:pStyle w:val="TableParagraph"/>
              <w:tabs>
                <w:tab w:val="left" w:pos="1612"/>
                <w:tab w:val="left" w:pos="2390"/>
              </w:tabs>
              <w:ind w:left="177" w:right="55"/>
              <w:jc w:val="both"/>
            </w:pPr>
            <w:r>
              <w:t>Como producto de la modificación del Reglamento de cómputo de reservas, utilidades</w:t>
            </w:r>
            <w:r>
              <w:tab/>
              <w:t>e</w:t>
            </w:r>
            <w:r>
              <w:tab/>
              <w:t>instrumentos representativos de capital en el patrimonio efectivo de las empresas del sistema financiero (antes, Reglamento de cómputo de instrumentos representativos de capital en el patrimonio efectivo de las empresas del sistema financiero), se modifican los Capítulos IV “Descripción y Dinámica de Cuentas” y el Capítulo V “Información complementaria” del Manual</w:t>
            </w:r>
            <w:r>
              <w:rPr>
                <w:spacing w:val="45"/>
              </w:rPr>
              <w:t xml:space="preserve"> </w:t>
            </w:r>
            <w:r>
              <w:t>de</w:t>
            </w:r>
          </w:p>
          <w:p w14:paraId="40FE17D3" w14:textId="77777777" w:rsidR="008C20EB" w:rsidRDefault="008D25BE">
            <w:pPr>
              <w:pStyle w:val="TableParagraph"/>
              <w:spacing w:line="245" w:lineRule="exact"/>
              <w:ind w:left="177"/>
              <w:jc w:val="both"/>
            </w:pPr>
            <w:r>
              <w:t>Contabilidad.</w:t>
            </w:r>
          </w:p>
        </w:tc>
        <w:tc>
          <w:tcPr>
            <w:tcW w:w="8162" w:type="dxa"/>
          </w:tcPr>
          <w:p w14:paraId="40FE17D4" w14:textId="77777777" w:rsidR="008C20EB" w:rsidRDefault="008D25BE">
            <w:pPr>
              <w:pStyle w:val="TableParagraph"/>
              <w:numPr>
                <w:ilvl w:val="0"/>
                <w:numId w:val="58"/>
              </w:numPr>
              <w:tabs>
                <w:tab w:val="left" w:pos="371"/>
              </w:tabs>
              <w:spacing w:line="258" w:lineRule="exact"/>
              <w:ind w:hanging="285"/>
              <w:jc w:val="both"/>
            </w:pPr>
            <w:r>
              <w:t>Se sustituye la descripción de la cuenta 3203 “Capital en</w:t>
            </w:r>
            <w:r>
              <w:rPr>
                <w:spacing w:val="-15"/>
              </w:rPr>
              <w:t xml:space="preserve"> </w:t>
            </w:r>
            <w:r>
              <w:t>Trámite”.</w:t>
            </w:r>
          </w:p>
          <w:p w14:paraId="40FE17D5" w14:textId="77777777" w:rsidR="008C20EB" w:rsidRDefault="008D25BE">
            <w:pPr>
              <w:pStyle w:val="TableParagraph"/>
              <w:numPr>
                <w:ilvl w:val="0"/>
                <w:numId w:val="58"/>
              </w:numPr>
              <w:tabs>
                <w:tab w:val="left" w:pos="371"/>
              </w:tabs>
              <w:spacing w:line="266" w:lineRule="exact"/>
              <w:ind w:hanging="285"/>
              <w:jc w:val="both"/>
            </w:pPr>
            <w:r>
              <w:t>Se modifica el formato del Reporte N° 3 “Patrimonio</w:t>
            </w:r>
            <w:r>
              <w:rPr>
                <w:spacing w:val="-20"/>
              </w:rPr>
              <w:t xml:space="preserve"> </w:t>
            </w:r>
            <w:r>
              <w:t>Efectivo”</w:t>
            </w:r>
          </w:p>
          <w:p w14:paraId="40FE17D6" w14:textId="77777777" w:rsidR="008C20EB" w:rsidRDefault="008D25BE">
            <w:pPr>
              <w:pStyle w:val="TableParagraph"/>
              <w:numPr>
                <w:ilvl w:val="0"/>
                <w:numId w:val="58"/>
              </w:numPr>
              <w:tabs>
                <w:tab w:val="left" w:pos="371"/>
              </w:tabs>
              <w:spacing w:line="267" w:lineRule="exact"/>
              <w:ind w:hanging="285"/>
              <w:jc w:val="both"/>
            </w:pPr>
            <w:r>
              <w:t>Vigencia a partir de la información de Julio de</w:t>
            </w:r>
            <w:r>
              <w:rPr>
                <w:spacing w:val="-16"/>
              </w:rPr>
              <w:t xml:space="preserve"> </w:t>
            </w:r>
            <w:r>
              <w:t>2016.</w:t>
            </w:r>
          </w:p>
        </w:tc>
      </w:tr>
      <w:tr w:rsidR="008C20EB" w14:paraId="40FE17E1" w14:textId="77777777">
        <w:trPr>
          <w:trHeight w:val="1305"/>
        </w:trPr>
        <w:tc>
          <w:tcPr>
            <w:tcW w:w="1445" w:type="dxa"/>
          </w:tcPr>
          <w:p w14:paraId="40FE17D8" w14:textId="77777777" w:rsidR="008C20EB" w:rsidRDefault="008D25BE">
            <w:pPr>
              <w:pStyle w:val="TableParagraph"/>
              <w:spacing w:line="237" w:lineRule="exact"/>
              <w:ind w:left="71"/>
              <w:jc w:val="both"/>
              <w:rPr>
                <w:b/>
              </w:rPr>
            </w:pPr>
            <w:r>
              <w:rPr>
                <w:b/>
              </w:rPr>
              <w:t>Resolución</w:t>
            </w:r>
          </w:p>
          <w:p w14:paraId="40FE17D9" w14:textId="77777777" w:rsidR="008C20EB" w:rsidRDefault="008D25BE">
            <w:pPr>
              <w:pStyle w:val="TableParagraph"/>
              <w:spacing w:before="4" w:line="237" w:lineRule="auto"/>
              <w:ind w:left="71" w:right="42"/>
              <w:jc w:val="both"/>
              <w:rPr>
                <w:b/>
              </w:rPr>
            </w:pPr>
            <w:r>
              <w:rPr>
                <w:b/>
              </w:rPr>
              <w:t>S.B.S. N° 7932- 2015</w:t>
            </w:r>
          </w:p>
        </w:tc>
        <w:tc>
          <w:tcPr>
            <w:tcW w:w="1733" w:type="dxa"/>
          </w:tcPr>
          <w:p w14:paraId="40FE17DA" w14:textId="77777777" w:rsidR="008C20EB" w:rsidRDefault="008D25BE">
            <w:pPr>
              <w:pStyle w:val="TableParagraph"/>
              <w:spacing w:line="237" w:lineRule="exact"/>
              <w:jc w:val="both"/>
              <w:rPr>
                <w:b/>
              </w:rPr>
            </w:pPr>
            <w:r>
              <w:rPr>
                <w:b/>
              </w:rPr>
              <w:t>(Pr. 30.12.2015 /</w:t>
            </w:r>
          </w:p>
          <w:p w14:paraId="40FE17DB" w14:textId="77777777" w:rsidR="008C20EB" w:rsidRDefault="008D25BE">
            <w:pPr>
              <w:pStyle w:val="TableParagraph"/>
              <w:spacing w:before="2"/>
              <w:jc w:val="both"/>
              <w:rPr>
                <w:b/>
              </w:rPr>
            </w:pPr>
            <w:r>
              <w:rPr>
                <w:b/>
              </w:rPr>
              <w:t>Pub. 04.01.2016)</w:t>
            </w:r>
          </w:p>
        </w:tc>
        <w:tc>
          <w:tcPr>
            <w:tcW w:w="3500" w:type="dxa"/>
          </w:tcPr>
          <w:p w14:paraId="40FE17DC" w14:textId="77777777" w:rsidR="008C20EB" w:rsidRDefault="008D25BE">
            <w:pPr>
              <w:pStyle w:val="TableParagraph"/>
              <w:spacing w:line="237" w:lineRule="exact"/>
              <w:ind w:left="177"/>
              <w:jc w:val="both"/>
            </w:pPr>
            <w:r>
              <w:t>Como producto de la emisión del</w:t>
            </w:r>
          </w:p>
          <w:p w14:paraId="40FE17DD" w14:textId="77777777" w:rsidR="008C20EB" w:rsidRDefault="008D25BE">
            <w:pPr>
              <w:pStyle w:val="TableParagraph"/>
              <w:spacing w:before="2"/>
              <w:ind w:left="177" w:right="65"/>
              <w:jc w:val="both"/>
            </w:pPr>
            <w:r>
              <w:t>Reglamento de Gestión de Riesgo País, se modifica el Capítulo V “Información complementaria” del Manual de Contabilidad.</w:t>
            </w:r>
          </w:p>
        </w:tc>
        <w:tc>
          <w:tcPr>
            <w:tcW w:w="8162" w:type="dxa"/>
          </w:tcPr>
          <w:p w14:paraId="40FE17DE" w14:textId="77777777" w:rsidR="008C20EB" w:rsidRDefault="008D25BE">
            <w:pPr>
              <w:pStyle w:val="TableParagraph"/>
              <w:numPr>
                <w:ilvl w:val="0"/>
                <w:numId w:val="59"/>
              </w:numPr>
              <w:tabs>
                <w:tab w:val="left" w:pos="371"/>
              </w:tabs>
              <w:spacing w:line="253" w:lineRule="exact"/>
              <w:ind w:hanging="285"/>
              <w:jc w:val="both"/>
            </w:pPr>
            <w:r>
              <w:t>Se modifica el Reporte N°</w:t>
            </w:r>
            <w:r>
              <w:rPr>
                <w:spacing w:val="-10"/>
              </w:rPr>
              <w:t xml:space="preserve"> </w:t>
            </w:r>
            <w:r>
              <w:t>23.</w:t>
            </w:r>
          </w:p>
          <w:p w14:paraId="40FE17DF" w14:textId="77777777" w:rsidR="008C20EB" w:rsidRDefault="008D25BE">
            <w:pPr>
              <w:pStyle w:val="TableParagraph"/>
              <w:numPr>
                <w:ilvl w:val="0"/>
                <w:numId w:val="59"/>
              </w:numPr>
              <w:tabs>
                <w:tab w:val="left" w:pos="371"/>
              </w:tabs>
              <w:spacing w:before="2" w:line="237" w:lineRule="auto"/>
              <w:ind w:right="106"/>
              <w:jc w:val="both"/>
            </w:pPr>
            <w:r>
              <w:t>Se</w:t>
            </w:r>
            <w:r>
              <w:rPr>
                <w:spacing w:val="-5"/>
              </w:rPr>
              <w:t xml:space="preserve"> </w:t>
            </w:r>
            <w:r>
              <w:t>incorporan</w:t>
            </w:r>
            <w:r>
              <w:rPr>
                <w:spacing w:val="-4"/>
              </w:rPr>
              <w:t xml:space="preserve"> </w:t>
            </w:r>
            <w:r>
              <w:t>2</w:t>
            </w:r>
            <w:r>
              <w:rPr>
                <w:spacing w:val="-4"/>
              </w:rPr>
              <w:t xml:space="preserve"> </w:t>
            </w:r>
            <w:r>
              <w:t>nuevos</w:t>
            </w:r>
            <w:r>
              <w:rPr>
                <w:spacing w:val="-4"/>
              </w:rPr>
              <w:t xml:space="preserve"> </w:t>
            </w:r>
            <w:r>
              <w:t>reportes:</w:t>
            </w:r>
            <w:r>
              <w:rPr>
                <w:spacing w:val="-6"/>
              </w:rPr>
              <w:t xml:space="preserve"> </w:t>
            </w:r>
            <w:r>
              <w:t>el</w:t>
            </w:r>
            <w:r>
              <w:rPr>
                <w:spacing w:val="-6"/>
              </w:rPr>
              <w:t xml:space="preserve"> </w:t>
            </w:r>
            <w:r>
              <w:t>Reporte</w:t>
            </w:r>
            <w:r>
              <w:rPr>
                <w:spacing w:val="-5"/>
              </w:rPr>
              <w:t xml:space="preserve"> </w:t>
            </w:r>
            <w:r>
              <w:t>N°</w:t>
            </w:r>
            <w:r>
              <w:rPr>
                <w:spacing w:val="-1"/>
              </w:rPr>
              <w:t xml:space="preserve"> </w:t>
            </w:r>
            <w:r>
              <w:t>23 – A “Detalle</w:t>
            </w:r>
            <w:r>
              <w:rPr>
                <w:spacing w:val="-5"/>
              </w:rPr>
              <w:t xml:space="preserve"> </w:t>
            </w:r>
            <w:r>
              <w:t>de</w:t>
            </w:r>
            <w:r>
              <w:rPr>
                <w:spacing w:val="-4"/>
              </w:rPr>
              <w:t xml:space="preserve"> </w:t>
            </w:r>
            <w:r>
              <w:t>exposición</w:t>
            </w:r>
            <w:r>
              <w:rPr>
                <w:spacing w:val="-4"/>
              </w:rPr>
              <w:t xml:space="preserve"> </w:t>
            </w:r>
            <w:r>
              <w:t>al</w:t>
            </w:r>
            <w:r>
              <w:rPr>
                <w:spacing w:val="-6"/>
              </w:rPr>
              <w:t xml:space="preserve"> </w:t>
            </w:r>
            <w:r>
              <w:t>riesgo</w:t>
            </w:r>
            <w:r>
              <w:rPr>
                <w:spacing w:val="-5"/>
              </w:rPr>
              <w:t xml:space="preserve"> </w:t>
            </w:r>
            <w:r>
              <w:t>país</w:t>
            </w:r>
            <w:r>
              <w:rPr>
                <w:spacing w:val="-3"/>
              </w:rPr>
              <w:t xml:space="preserve"> </w:t>
            </w:r>
            <w:r>
              <w:t>con residentes en el exterior” y el Reporte N° 23 – B “Detalle de exposición al riesgo país por garantía</w:t>
            </w:r>
            <w:r>
              <w:rPr>
                <w:spacing w:val="-4"/>
              </w:rPr>
              <w:t xml:space="preserve"> </w:t>
            </w:r>
            <w:r>
              <w:t>personal</w:t>
            </w:r>
            <w:r>
              <w:rPr>
                <w:spacing w:val="-5"/>
              </w:rPr>
              <w:t xml:space="preserve"> </w:t>
            </w:r>
            <w:r>
              <w:t>de</w:t>
            </w:r>
            <w:r>
              <w:rPr>
                <w:spacing w:val="-4"/>
              </w:rPr>
              <w:t xml:space="preserve"> </w:t>
            </w:r>
            <w:r>
              <w:t>residentes</w:t>
            </w:r>
            <w:r>
              <w:rPr>
                <w:spacing w:val="-2"/>
              </w:rPr>
              <w:t xml:space="preserve"> </w:t>
            </w:r>
            <w:r>
              <w:t>en</w:t>
            </w:r>
            <w:r>
              <w:rPr>
                <w:spacing w:val="-4"/>
              </w:rPr>
              <w:t xml:space="preserve"> </w:t>
            </w:r>
            <w:r>
              <w:t>el</w:t>
            </w:r>
            <w:r>
              <w:rPr>
                <w:spacing w:val="-6"/>
              </w:rPr>
              <w:t xml:space="preserve"> </w:t>
            </w:r>
            <w:r>
              <w:t>exterior</w:t>
            </w:r>
            <w:r>
              <w:rPr>
                <w:spacing w:val="-1"/>
              </w:rPr>
              <w:t xml:space="preserve"> </w:t>
            </w:r>
            <w:r>
              <w:t>con</w:t>
            </w:r>
            <w:r>
              <w:rPr>
                <w:spacing w:val="-4"/>
              </w:rPr>
              <w:t xml:space="preserve"> </w:t>
            </w:r>
            <w:r>
              <w:t>sustitución</w:t>
            </w:r>
            <w:r>
              <w:rPr>
                <w:spacing w:val="-4"/>
              </w:rPr>
              <w:t xml:space="preserve"> </w:t>
            </w:r>
            <w:r>
              <w:t>de</w:t>
            </w:r>
            <w:r>
              <w:rPr>
                <w:spacing w:val="-3"/>
              </w:rPr>
              <w:t xml:space="preserve"> </w:t>
            </w:r>
            <w:r>
              <w:t>contraparte”.</w:t>
            </w:r>
          </w:p>
          <w:p w14:paraId="40FE17E0" w14:textId="77777777" w:rsidR="008C20EB" w:rsidRDefault="008D25BE">
            <w:pPr>
              <w:pStyle w:val="TableParagraph"/>
              <w:numPr>
                <w:ilvl w:val="0"/>
                <w:numId w:val="59"/>
              </w:numPr>
              <w:tabs>
                <w:tab w:val="left" w:pos="371"/>
              </w:tabs>
              <w:spacing w:before="3" w:line="260" w:lineRule="exact"/>
              <w:ind w:hanging="285"/>
              <w:jc w:val="both"/>
            </w:pPr>
            <w:r>
              <w:t>Vigencia a partir de la información de Julio de</w:t>
            </w:r>
            <w:r>
              <w:rPr>
                <w:spacing w:val="-15"/>
              </w:rPr>
              <w:t xml:space="preserve"> </w:t>
            </w:r>
            <w:r>
              <w:t>2016.</w:t>
            </w:r>
          </w:p>
        </w:tc>
      </w:tr>
      <w:tr w:rsidR="008C20EB" w14:paraId="40FE17EA" w14:textId="77777777">
        <w:trPr>
          <w:trHeight w:val="1056"/>
        </w:trPr>
        <w:tc>
          <w:tcPr>
            <w:tcW w:w="1445" w:type="dxa"/>
          </w:tcPr>
          <w:p w14:paraId="40FE17E2" w14:textId="77777777" w:rsidR="008C20EB" w:rsidRDefault="008D25BE">
            <w:pPr>
              <w:pStyle w:val="TableParagraph"/>
              <w:spacing w:line="241" w:lineRule="exact"/>
              <w:ind w:left="71"/>
              <w:jc w:val="both"/>
              <w:rPr>
                <w:b/>
              </w:rPr>
            </w:pPr>
            <w:r>
              <w:rPr>
                <w:b/>
              </w:rPr>
              <w:t>Resolución</w:t>
            </w:r>
          </w:p>
          <w:p w14:paraId="40FE17E3" w14:textId="77777777" w:rsidR="008C20EB" w:rsidRDefault="008D25BE">
            <w:pPr>
              <w:pStyle w:val="TableParagraph"/>
              <w:ind w:left="71" w:right="42"/>
              <w:jc w:val="both"/>
              <w:rPr>
                <w:b/>
              </w:rPr>
            </w:pPr>
            <w:r>
              <w:rPr>
                <w:b/>
              </w:rPr>
              <w:t>S.B.S. N° 6232- 2015</w:t>
            </w:r>
          </w:p>
        </w:tc>
        <w:tc>
          <w:tcPr>
            <w:tcW w:w="1733" w:type="dxa"/>
          </w:tcPr>
          <w:p w14:paraId="40FE17E4" w14:textId="77777777" w:rsidR="008C20EB" w:rsidRDefault="008D25BE">
            <w:pPr>
              <w:pStyle w:val="TableParagraph"/>
              <w:spacing w:line="241" w:lineRule="exact"/>
              <w:jc w:val="both"/>
              <w:rPr>
                <w:b/>
              </w:rPr>
            </w:pPr>
            <w:r>
              <w:rPr>
                <w:b/>
              </w:rPr>
              <w:t>(Pr. 14.10.2015 /</w:t>
            </w:r>
          </w:p>
          <w:p w14:paraId="40FE17E5" w14:textId="77777777" w:rsidR="008C20EB" w:rsidRDefault="008D25BE">
            <w:pPr>
              <w:pStyle w:val="TableParagraph"/>
              <w:spacing w:line="251" w:lineRule="exact"/>
              <w:jc w:val="both"/>
              <w:rPr>
                <w:b/>
              </w:rPr>
            </w:pPr>
            <w:r>
              <w:rPr>
                <w:b/>
              </w:rPr>
              <w:t>Pub. 17.10.2015)</w:t>
            </w:r>
          </w:p>
        </w:tc>
        <w:tc>
          <w:tcPr>
            <w:tcW w:w="3500" w:type="dxa"/>
          </w:tcPr>
          <w:p w14:paraId="40FE17E6" w14:textId="77777777" w:rsidR="008C20EB" w:rsidRDefault="008D25BE">
            <w:pPr>
              <w:pStyle w:val="TableParagraph"/>
              <w:ind w:left="177" w:right="67"/>
              <w:jc w:val="both"/>
            </w:pPr>
            <w:r>
              <w:t>Se modifica el Capítulo V “Información complementaria” del Manual de Contabilidad.</w:t>
            </w:r>
          </w:p>
        </w:tc>
        <w:tc>
          <w:tcPr>
            <w:tcW w:w="8162" w:type="dxa"/>
          </w:tcPr>
          <w:p w14:paraId="40FE17E7" w14:textId="77777777" w:rsidR="008C20EB" w:rsidRDefault="008D25BE">
            <w:pPr>
              <w:pStyle w:val="TableParagraph"/>
              <w:numPr>
                <w:ilvl w:val="0"/>
                <w:numId w:val="60"/>
              </w:numPr>
              <w:tabs>
                <w:tab w:val="left" w:pos="371"/>
              </w:tabs>
              <w:spacing w:line="258" w:lineRule="exact"/>
              <w:ind w:hanging="285"/>
              <w:jc w:val="both"/>
            </w:pPr>
            <w:r>
              <w:t>Se</w:t>
            </w:r>
            <w:r>
              <w:rPr>
                <w:spacing w:val="-3"/>
              </w:rPr>
              <w:t xml:space="preserve"> </w:t>
            </w:r>
            <w:r>
              <w:t>elimina</w:t>
            </w:r>
            <w:r>
              <w:rPr>
                <w:spacing w:val="-3"/>
              </w:rPr>
              <w:t xml:space="preserve"> </w:t>
            </w:r>
            <w:r>
              <w:t>el</w:t>
            </w:r>
            <w:r>
              <w:rPr>
                <w:spacing w:val="-1"/>
              </w:rPr>
              <w:t xml:space="preserve"> </w:t>
            </w:r>
            <w:r>
              <w:t>Anexo</w:t>
            </w:r>
            <w:r>
              <w:rPr>
                <w:spacing w:val="-2"/>
              </w:rPr>
              <w:t xml:space="preserve"> </w:t>
            </w:r>
            <w:r>
              <w:t>N°</w:t>
            </w:r>
            <w:r>
              <w:rPr>
                <w:spacing w:val="-6"/>
              </w:rPr>
              <w:t xml:space="preserve"> </w:t>
            </w:r>
            <w:r>
              <w:t>1-C “Operaciones</w:t>
            </w:r>
            <w:r>
              <w:rPr>
                <w:spacing w:val="-3"/>
              </w:rPr>
              <w:t xml:space="preserve"> </w:t>
            </w:r>
            <w:r>
              <w:t>de</w:t>
            </w:r>
            <w:r>
              <w:rPr>
                <w:spacing w:val="-1"/>
              </w:rPr>
              <w:t xml:space="preserve"> </w:t>
            </w:r>
            <w:r>
              <w:t>Reporte</w:t>
            </w:r>
            <w:r>
              <w:rPr>
                <w:spacing w:val="-4"/>
              </w:rPr>
              <w:t xml:space="preserve"> </w:t>
            </w:r>
            <w:r>
              <w:t>y</w:t>
            </w:r>
            <w:r>
              <w:rPr>
                <w:spacing w:val="-3"/>
              </w:rPr>
              <w:t xml:space="preserve"> </w:t>
            </w:r>
            <w:r>
              <w:t>Pactos</w:t>
            </w:r>
            <w:r>
              <w:rPr>
                <w:spacing w:val="-3"/>
              </w:rPr>
              <w:t xml:space="preserve"> </w:t>
            </w:r>
            <w:r>
              <w:t>de</w:t>
            </w:r>
            <w:r>
              <w:rPr>
                <w:spacing w:val="-3"/>
              </w:rPr>
              <w:t xml:space="preserve"> </w:t>
            </w:r>
            <w:r>
              <w:t>Recompra”</w:t>
            </w:r>
            <w:r>
              <w:rPr>
                <w:spacing w:val="-3"/>
              </w:rPr>
              <w:t xml:space="preserve"> </w:t>
            </w:r>
            <w:r>
              <w:t>y</w:t>
            </w:r>
            <w:r>
              <w:rPr>
                <w:spacing w:val="-3"/>
              </w:rPr>
              <w:t xml:space="preserve"> </w:t>
            </w:r>
            <w:r>
              <w:t>sus</w:t>
            </w:r>
            <w:r>
              <w:rPr>
                <w:spacing w:val="-3"/>
              </w:rPr>
              <w:t xml:space="preserve"> </w:t>
            </w:r>
            <w:r>
              <w:t>notas.</w:t>
            </w:r>
          </w:p>
          <w:p w14:paraId="40FE17E8" w14:textId="77777777" w:rsidR="008C20EB" w:rsidRDefault="008D25BE">
            <w:pPr>
              <w:pStyle w:val="TableParagraph"/>
              <w:numPr>
                <w:ilvl w:val="0"/>
                <w:numId w:val="60"/>
              </w:numPr>
              <w:tabs>
                <w:tab w:val="left" w:pos="418"/>
                <w:tab w:val="left" w:pos="419"/>
              </w:tabs>
              <w:spacing w:before="4" w:line="235" w:lineRule="auto"/>
              <w:ind w:right="500"/>
              <w:jc w:val="both"/>
            </w:pPr>
            <w:r>
              <w:tab/>
            </w:r>
            <w:r>
              <w:t>Se incorporando los Anexos N° 1-C1 “Operaciones de Reporte de Valores” y N° 1-C2 “Operaciones</w:t>
            </w:r>
            <w:r>
              <w:rPr>
                <w:spacing w:val="-4"/>
              </w:rPr>
              <w:t xml:space="preserve"> </w:t>
            </w:r>
            <w:r>
              <w:t>de</w:t>
            </w:r>
            <w:r>
              <w:rPr>
                <w:spacing w:val="-4"/>
              </w:rPr>
              <w:t xml:space="preserve"> </w:t>
            </w:r>
            <w:r>
              <w:t>Reporte</w:t>
            </w:r>
            <w:r>
              <w:rPr>
                <w:spacing w:val="-4"/>
              </w:rPr>
              <w:t xml:space="preserve"> </w:t>
            </w:r>
            <w:r>
              <w:t>de</w:t>
            </w:r>
            <w:r>
              <w:rPr>
                <w:spacing w:val="-3"/>
              </w:rPr>
              <w:t xml:space="preserve"> </w:t>
            </w:r>
            <w:r>
              <w:t>Monedas</w:t>
            </w:r>
            <w:r>
              <w:rPr>
                <w:spacing w:val="-3"/>
              </w:rPr>
              <w:t xml:space="preserve"> </w:t>
            </w:r>
            <w:r>
              <w:t>con</w:t>
            </w:r>
            <w:r>
              <w:rPr>
                <w:spacing w:val="-5"/>
              </w:rPr>
              <w:t xml:space="preserve"> </w:t>
            </w:r>
            <w:r>
              <w:t>el</w:t>
            </w:r>
            <w:r>
              <w:rPr>
                <w:spacing w:val="-1"/>
              </w:rPr>
              <w:t xml:space="preserve"> </w:t>
            </w:r>
            <w:r>
              <w:t>BCRP”</w:t>
            </w:r>
            <w:r>
              <w:rPr>
                <w:spacing w:val="-6"/>
              </w:rPr>
              <w:t xml:space="preserve"> </w:t>
            </w:r>
            <w:r>
              <w:t>y</w:t>
            </w:r>
            <w:r>
              <w:rPr>
                <w:spacing w:val="-4"/>
              </w:rPr>
              <w:t xml:space="preserve"> </w:t>
            </w:r>
            <w:r>
              <w:t>sus</w:t>
            </w:r>
            <w:r>
              <w:rPr>
                <w:spacing w:val="-3"/>
              </w:rPr>
              <w:t xml:space="preserve"> </w:t>
            </w:r>
            <w:r>
              <w:t>notas,</w:t>
            </w:r>
            <w:r>
              <w:rPr>
                <w:spacing w:val="-6"/>
              </w:rPr>
              <w:t xml:space="preserve"> </w:t>
            </w:r>
            <w:r>
              <w:t>de</w:t>
            </w:r>
            <w:r>
              <w:rPr>
                <w:spacing w:val="-5"/>
              </w:rPr>
              <w:t xml:space="preserve"> </w:t>
            </w:r>
            <w:r>
              <w:t>periodicidad</w:t>
            </w:r>
            <w:r>
              <w:rPr>
                <w:spacing w:val="-3"/>
              </w:rPr>
              <w:t xml:space="preserve"> </w:t>
            </w:r>
            <w:r>
              <w:t>semanal.</w:t>
            </w:r>
          </w:p>
          <w:p w14:paraId="40FE17E9" w14:textId="77777777" w:rsidR="008C20EB" w:rsidRDefault="008D25BE">
            <w:pPr>
              <w:pStyle w:val="TableParagraph"/>
              <w:numPr>
                <w:ilvl w:val="0"/>
                <w:numId w:val="60"/>
              </w:numPr>
              <w:tabs>
                <w:tab w:val="left" w:pos="371"/>
              </w:tabs>
              <w:spacing w:before="2" w:line="260" w:lineRule="exact"/>
              <w:ind w:hanging="285"/>
              <w:jc w:val="both"/>
            </w:pPr>
            <w:r>
              <w:t>Vigencia a partir de la información de noviembre del</w:t>
            </w:r>
            <w:r>
              <w:rPr>
                <w:spacing w:val="-24"/>
              </w:rPr>
              <w:t xml:space="preserve"> </w:t>
            </w:r>
            <w:r>
              <w:t>2015</w:t>
            </w:r>
          </w:p>
        </w:tc>
      </w:tr>
    </w:tbl>
    <w:p w14:paraId="40FE17EB" w14:textId="77777777" w:rsidR="008C20EB" w:rsidRDefault="008C20EB">
      <w:pPr>
        <w:spacing w:line="26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7F0" w14:textId="77777777">
        <w:trPr>
          <w:trHeight w:val="254"/>
        </w:trPr>
        <w:tc>
          <w:tcPr>
            <w:tcW w:w="1445" w:type="dxa"/>
            <w:vAlign w:val="bottom"/>
          </w:tcPr>
          <w:p w14:paraId="40FE17EC"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7ED" w14:textId="77777777" w:rsidR="008C20EB" w:rsidRDefault="008D25BE">
            <w:pPr>
              <w:pStyle w:val="TableParagraph"/>
              <w:spacing w:line="234" w:lineRule="exact"/>
              <w:ind w:left="556"/>
              <w:jc w:val="both"/>
              <w:rPr>
                <w:b/>
              </w:rPr>
            </w:pPr>
            <w:r>
              <w:rPr>
                <w:b/>
              </w:rPr>
              <w:t>FECHA</w:t>
            </w:r>
          </w:p>
        </w:tc>
        <w:tc>
          <w:tcPr>
            <w:tcW w:w="3500" w:type="dxa"/>
            <w:vAlign w:val="bottom"/>
          </w:tcPr>
          <w:p w14:paraId="40FE17EE"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7EF" w14:textId="77777777" w:rsidR="008C20EB" w:rsidRDefault="008D25BE">
            <w:pPr>
              <w:pStyle w:val="TableParagraph"/>
              <w:spacing w:line="234" w:lineRule="exact"/>
              <w:ind w:left="3271" w:right="3265"/>
              <w:jc w:val="both"/>
              <w:rPr>
                <w:b/>
              </w:rPr>
            </w:pPr>
            <w:r>
              <w:rPr>
                <w:b/>
              </w:rPr>
              <w:t>MODIFICATORIAS</w:t>
            </w:r>
          </w:p>
        </w:tc>
      </w:tr>
      <w:tr w:rsidR="008C20EB" w14:paraId="40FE17FC" w14:textId="77777777">
        <w:trPr>
          <w:trHeight w:val="3120"/>
        </w:trPr>
        <w:tc>
          <w:tcPr>
            <w:tcW w:w="1445" w:type="dxa"/>
          </w:tcPr>
          <w:p w14:paraId="40FE17F1" w14:textId="77777777" w:rsidR="008C20EB" w:rsidRDefault="008D25BE">
            <w:pPr>
              <w:pStyle w:val="TableParagraph"/>
              <w:spacing w:line="240" w:lineRule="exact"/>
              <w:ind w:left="71"/>
              <w:jc w:val="both"/>
              <w:rPr>
                <w:b/>
              </w:rPr>
            </w:pPr>
            <w:r>
              <w:rPr>
                <w:b/>
              </w:rPr>
              <w:t>Resolución</w:t>
            </w:r>
          </w:p>
          <w:p w14:paraId="40FE17F2" w14:textId="77777777" w:rsidR="008C20EB" w:rsidRDefault="008D25BE">
            <w:pPr>
              <w:pStyle w:val="TableParagraph"/>
              <w:spacing w:line="242" w:lineRule="auto"/>
              <w:ind w:left="71" w:right="42"/>
              <w:jc w:val="both"/>
              <w:rPr>
                <w:b/>
              </w:rPr>
            </w:pPr>
            <w:r>
              <w:rPr>
                <w:b/>
              </w:rPr>
              <w:t>S.B.S. N° 6231- 2015</w:t>
            </w:r>
          </w:p>
        </w:tc>
        <w:tc>
          <w:tcPr>
            <w:tcW w:w="1733" w:type="dxa"/>
          </w:tcPr>
          <w:p w14:paraId="40FE17F3" w14:textId="77777777" w:rsidR="008C20EB" w:rsidRDefault="008D25BE">
            <w:pPr>
              <w:pStyle w:val="TableParagraph"/>
              <w:spacing w:line="240" w:lineRule="exact"/>
              <w:jc w:val="both"/>
              <w:rPr>
                <w:b/>
              </w:rPr>
            </w:pPr>
            <w:r>
              <w:rPr>
                <w:b/>
              </w:rPr>
              <w:t>(Pr. 14 .10.2015 /</w:t>
            </w:r>
          </w:p>
          <w:p w14:paraId="40FE17F4" w14:textId="77777777" w:rsidR="008C20EB" w:rsidRDefault="008D25BE">
            <w:pPr>
              <w:pStyle w:val="TableParagraph"/>
              <w:spacing w:line="251" w:lineRule="exact"/>
              <w:jc w:val="both"/>
              <w:rPr>
                <w:b/>
              </w:rPr>
            </w:pPr>
            <w:r>
              <w:rPr>
                <w:b/>
              </w:rPr>
              <w:t>Pub. 17.10.2015)</w:t>
            </w:r>
          </w:p>
        </w:tc>
        <w:tc>
          <w:tcPr>
            <w:tcW w:w="3500" w:type="dxa"/>
          </w:tcPr>
          <w:p w14:paraId="40FE17F5" w14:textId="77777777" w:rsidR="008C20EB" w:rsidRDefault="008D25BE">
            <w:pPr>
              <w:pStyle w:val="TableParagraph"/>
              <w:tabs>
                <w:tab w:val="left" w:pos="1573"/>
                <w:tab w:val="left" w:pos="1746"/>
                <w:tab w:val="left" w:pos="2423"/>
                <w:tab w:val="left" w:pos="2481"/>
              </w:tabs>
              <w:ind w:left="177" w:right="65"/>
              <w:jc w:val="both"/>
            </w:pPr>
            <w:r>
              <w:t>Se modifica el Capítulo II “Estados Financieros</w:t>
            </w:r>
            <w:r>
              <w:tab/>
            </w:r>
            <w:r>
              <w:tab/>
              <w:t>e</w:t>
            </w:r>
            <w:r>
              <w:tab/>
            </w:r>
            <w:r>
              <w:tab/>
            </w:r>
            <w:r>
              <w:rPr>
                <w:spacing w:val="-1"/>
              </w:rPr>
              <w:t xml:space="preserve">Información </w:t>
            </w:r>
            <w:r>
              <w:t>Complementaria, el Capítulo III “Catalogo de cuentas”, el Capítulo IV “Descripción y dinámica de cuentas” y el Capítulo</w:t>
            </w:r>
            <w:r>
              <w:tab/>
              <w:t>V</w:t>
            </w:r>
            <w:r>
              <w:tab/>
            </w:r>
            <w:r>
              <w:tab/>
            </w:r>
            <w:r>
              <w:rPr>
                <w:spacing w:val="-1"/>
              </w:rPr>
              <w:t xml:space="preserve">“Información </w:t>
            </w:r>
            <w:r>
              <w:t>complementaria” del Manual de Contabilidad.</w:t>
            </w:r>
          </w:p>
        </w:tc>
        <w:tc>
          <w:tcPr>
            <w:tcW w:w="8162" w:type="dxa"/>
          </w:tcPr>
          <w:p w14:paraId="40FE17F6" w14:textId="77777777" w:rsidR="008C20EB" w:rsidRDefault="008D25BE">
            <w:pPr>
              <w:pStyle w:val="TableParagraph"/>
              <w:numPr>
                <w:ilvl w:val="0"/>
                <w:numId w:val="61"/>
              </w:numPr>
              <w:tabs>
                <w:tab w:val="left" w:pos="371"/>
              </w:tabs>
              <w:spacing w:line="235" w:lineRule="auto"/>
              <w:ind w:right="367"/>
              <w:jc w:val="both"/>
            </w:pPr>
            <w:r>
              <w:t>Se</w:t>
            </w:r>
            <w:r>
              <w:rPr>
                <w:spacing w:val="-5"/>
              </w:rPr>
              <w:t xml:space="preserve"> </w:t>
            </w:r>
            <w:r>
              <w:t>modifican</w:t>
            </w:r>
            <w:r>
              <w:rPr>
                <w:spacing w:val="-4"/>
              </w:rPr>
              <w:t xml:space="preserve"> </w:t>
            </w:r>
            <w:r>
              <w:t>los</w:t>
            </w:r>
            <w:r>
              <w:rPr>
                <w:spacing w:val="-4"/>
              </w:rPr>
              <w:t xml:space="preserve"> </w:t>
            </w:r>
            <w:r>
              <w:t>capítulos</w:t>
            </w:r>
            <w:r>
              <w:rPr>
                <w:spacing w:val="-3"/>
              </w:rPr>
              <w:t xml:space="preserve"> </w:t>
            </w:r>
            <w:r>
              <w:t>antes</w:t>
            </w:r>
            <w:r>
              <w:rPr>
                <w:spacing w:val="-3"/>
              </w:rPr>
              <w:t xml:space="preserve"> </w:t>
            </w:r>
            <w:r>
              <w:t>nombrados</w:t>
            </w:r>
            <w:r>
              <w:rPr>
                <w:spacing w:val="-4"/>
              </w:rPr>
              <w:t xml:space="preserve"> </w:t>
            </w:r>
            <w:r>
              <w:t>de</w:t>
            </w:r>
            <w:r>
              <w:rPr>
                <w:spacing w:val="-4"/>
              </w:rPr>
              <w:t xml:space="preserve"> </w:t>
            </w:r>
            <w:r>
              <w:t>acuerdo</w:t>
            </w:r>
            <w:r>
              <w:rPr>
                <w:spacing w:val="-5"/>
              </w:rPr>
              <w:t xml:space="preserve"> </w:t>
            </w:r>
            <w:r>
              <w:t>con</w:t>
            </w:r>
            <w:r>
              <w:rPr>
                <w:spacing w:val="-8"/>
              </w:rPr>
              <w:t xml:space="preserve"> </w:t>
            </w:r>
            <w:r>
              <w:t>lo</w:t>
            </w:r>
            <w:r>
              <w:rPr>
                <w:spacing w:val="-4"/>
              </w:rPr>
              <w:t xml:space="preserve"> </w:t>
            </w:r>
            <w:r>
              <w:t>señalado</w:t>
            </w:r>
            <w:r>
              <w:rPr>
                <w:spacing w:val="-4"/>
              </w:rPr>
              <w:t xml:space="preserve"> </w:t>
            </w:r>
            <w:r>
              <w:t>en</w:t>
            </w:r>
            <w:r>
              <w:rPr>
                <w:spacing w:val="-4"/>
              </w:rPr>
              <w:t xml:space="preserve"> </w:t>
            </w:r>
            <w:r>
              <w:t>el</w:t>
            </w:r>
            <w:r>
              <w:rPr>
                <w:spacing w:val="-1"/>
              </w:rPr>
              <w:t xml:space="preserve"> </w:t>
            </w:r>
            <w:r>
              <w:t>Anexo</w:t>
            </w:r>
            <w:r>
              <w:rPr>
                <w:spacing w:val="-5"/>
              </w:rPr>
              <w:t xml:space="preserve"> </w:t>
            </w:r>
            <w:r>
              <w:t>A</w:t>
            </w:r>
            <w:r>
              <w:rPr>
                <w:spacing w:val="-5"/>
              </w:rPr>
              <w:t xml:space="preserve"> </w:t>
            </w:r>
            <w:r>
              <w:t>de la presente</w:t>
            </w:r>
            <w:r>
              <w:rPr>
                <w:spacing w:val="-4"/>
              </w:rPr>
              <w:t xml:space="preserve"> </w:t>
            </w:r>
            <w:r>
              <w:t>resolución.</w:t>
            </w:r>
          </w:p>
          <w:p w14:paraId="40FE17F7" w14:textId="77777777" w:rsidR="008C20EB" w:rsidRDefault="008D25BE">
            <w:pPr>
              <w:pStyle w:val="TableParagraph"/>
              <w:numPr>
                <w:ilvl w:val="0"/>
                <w:numId w:val="61"/>
              </w:numPr>
              <w:tabs>
                <w:tab w:val="left" w:pos="371"/>
              </w:tabs>
              <w:spacing w:line="269" w:lineRule="exact"/>
              <w:ind w:hanging="285"/>
              <w:jc w:val="both"/>
            </w:pPr>
            <w:r>
              <w:t>Vigente a partir del 1 de Enero del</w:t>
            </w:r>
            <w:r>
              <w:rPr>
                <w:spacing w:val="-17"/>
              </w:rPr>
              <w:t xml:space="preserve"> </w:t>
            </w:r>
            <w:r>
              <w:t>2016.</w:t>
            </w:r>
          </w:p>
          <w:p w14:paraId="40FE17F8" w14:textId="77777777" w:rsidR="008C20EB" w:rsidRDefault="008D25BE">
            <w:pPr>
              <w:pStyle w:val="TableParagraph"/>
              <w:numPr>
                <w:ilvl w:val="0"/>
                <w:numId w:val="61"/>
              </w:numPr>
              <w:tabs>
                <w:tab w:val="left" w:pos="371"/>
              </w:tabs>
              <w:spacing w:line="237" w:lineRule="auto"/>
              <w:ind w:right="242"/>
              <w:jc w:val="both"/>
            </w:pPr>
            <w:r>
              <w:t>La presentación del Anexo N° 15-C “Posición Mensual de Liquidez” y N° 16-A “Cuadro de Liquidez</w:t>
            </w:r>
            <w:r>
              <w:rPr>
                <w:spacing w:val="-4"/>
              </w:rPr>
              <w:t xml:space="preserve"> </w:t>
            </w:r>
            <w:r>
              <w:t>por</w:t>
            </w:r>
            <w:r>
              <w:rPr>
                <w:spacing w:val="-2"/>
              </w:rPr>
              <w:t xml:space="preserve"> </w:t>
            </w:r>
            <w:r>
              <w:t>Plazos</w:t>
            </w:r>
            <w:r>
              <w:rPr>
                <w:spacing w:val="-4"/>
              </w:rPr>
              <w:t xml:space="preserve"> </w:t>
            </w:r>
            <w:r>
              <w:t>de</w:t>
            </w:r>
            <w:r>
              <w:rPr>
                <w:spacing w:val="-4"/>
              </w:rPr>
              <w:t xml:space="preserve"> </w:t>
            </w:r>
            <w:r>
              <w:t>Vencimiento”</w:t>
            </w:r>
            <w:r>
              <w:rPr>
                <w:spacing w:val="-10"/>
              </w:rPr>
              <w:t xml:space="preserve"> </w:t>
            </w:r>
            <w:r>
              <w:t>entrara</w:t>
            </w:r>
            <w:r>
              <w:rPr>
                <w:spacing w:val="-4"/>
              </w:rPr>
              <w:t xml:space="preserve"> </w:t>
            </w:r>
            <w:r>
              <w:t>en</w:t>
            </w:r>
            <w:r>
              <w:rPr>
                <w:spacing w:val="-5"/>
              </w:rPr>
              <w:t xml:space="preserve"> </w:t>
            </w:r>
            <w:r>
              <w:t>vigencia</w:t>
            </w:r>
            <w:r>
              <w:rPr>
                <w:spacing w:val="-4"/>
              </w:rPr>
              <w:t xml:space="preserve"> </w:t>
            </w:r>
            <w:r>
              <w:t>para</w:t>
            </w:r>
            <w:r>
              <w:rPr>
                <w:spacing w:val="-4"/>
              </w:rPr>
              <w:t xml:space="preserve"> </w:t>
            </w:r>
            <w:r>
              <w:t>la</w:t>
            </w:r>
            <w:r>
              <w:rPr>
                <w:spacing w:val="-5"/>
              </w:rPr>
              <w:t xml:space="preserve"> </w:t>
            </w:r>
            <w:r>
              <w:t>información</w:t>
            </w:r>
            <w:r>
              <w:rPr>
                <w:spacing w:val="-4"/>
              </w:rPr>
              <w:t xml:space="preserve"> </w:t>
            </w:r>
            <w:r>
              <w:t>del</w:t>
            </w:r>
            <w:r>
              <w:rPr>
                <w:spacing w:val="-1"/>
              </w:rPr>
              <w:t xml:space="preserve"> </w:t>
            </w:r>
            <w:r>
              <w:t>mes</w:t>
            </w:r>
            <w:r>
              <w:rPr>
                <w:spacing w:val="-4"/>
              </w:rPr>
              <w:t xml:space="preserve"> </w:t>
            </w:r>
            <w:r>
              <w:t>de</w:t>
            </w:r>
            <w:r>
              <w:rPr>
                <w:spacing w:val="-4"/>
              </w:rPr>
              <w:t xml:space="preserve"> </w:t>
            </w:r>
            <w:r>
              <w:t>enero del</w:t>
            </w:r>
            <w:r>
              <w:rPr>
                <w:spacing w:val="-5"/>
              </w:rPr>
              <w:t xml:space="preserve"> </w:t>
            </w:r>
            <w:r>
              <w:t>2016.</w:t>
            </w:r>
          </w:p>
          <w:p w14:paraId="40FE17F9" w14:textId="77777777" w:rsidR="008C20EB" w:rsidRDefault="008D25BE">
            <w:pPr>
              <w:pStyle w:val="TableParagraph"/>
              <w:numPr>
                <w:ilvl w:val="0"/>
                <w:numId w:val="61"/>
              </w:numPr>
              <w:tabs>
                <w:tab w:val="left" w:pos="371"/>
              </w:tabs>
              <w:spacing w:before="6" w:line="235" w:lineRule="auto"/>
              <w:ind w:right="1154"/>
              <w:jc w:val="both"/>
            </w:pPr>
            <w:r>
              <w:t>La</w:t>
            </w:r>
            <w:r>
              <w:rPr>
                <w:spacing w:val="-5"/>
              </w:rPr>
              <w:t xml:space="preserve"> </w:t>
            </w:r>
            <w:r>
              <w:t>presentación</w:t>
            </w:r>
            <w:r>
              <w:rPr>
                <w:spacing w:val="-5"/>
              </w:rPr>
              <w:t xml:space="preserve"> </w:t>
            </w:r>
            <w:r>
              <w:t>del</w:t>
            </w:r>
            <w:r>
              <w:rPr>
                <w:spacing w:val="-5"/>
              </w:rPr>
              <w:t xml:space="preserve"> </w:t>
            </w:r>
            <w:r>
              <w:t>Anexo</w:t>
            </w:r>
            <w:r>
              <w:rPr>
                <w:spacing w:val="-3"/>
              </w:rPr>
              <w:t xml:space="preserve"> </w:t>
            </w:r>
            <w:r>
              <w:t>N°</w:t>
            </w:r>
            <w:r>
              <w:rPr>
                <w:spacing w:val="-6"/>
              </w:rPr>
              <w:t xml:space="preserve"> </w:t>
            </w:r>
            <w:r>
              <w:t>16-B</w:t>
            </w:r>
            <w:r>
              <w:rPr>
                <w:spacing w:val="-1"/>
              </w:rPr>
              <w:t xml:space="preserve"> </w:t>
            </w:r>
            <w:r>
              <w:t>“Simulación</w:t>
            </w:r>
            <w:r>
              <w:rPr>
                <w:spacing w:val="-5"/>
              </w:rPr>
              <w:t xml:space="preserve"> </w:t>
            </w:r>
            <w:r>
              <w:t>de</w:t>
            </w:r>
            <w:r>
              <w:rPr>
                <w:spacing w:val="-4"/>
              </w:rPr>
              <w:t xml:space="preserve"> </w:t>
            </w:r>
            <w:r>
              <w:t>Escenarios</w:t>
            </w:r>
            <w:r>
              <w:rPr>
                <w:spacing w:val="-4"/>
              </w:rPr>
              <w:t xml:space="preserve"> </w:t>
            </w:r>
            <w:r>
              <w:t>de</w:t>
            </w:r>
            <w:r>
              <w:rPr>
                <w:spacing w:val="-4"/>
              </w:rPr>
              <w:t xml:space="preserve"> </w:t>
            </w:r>
            <w:r>
              <w:t>Estrés</w:t>
            </w:r>
            <w:r>
              <w:rPr>
                <w:spacing w:val="-4"/>
              </w:rPr>
              <w:t xml:space="preserve"> </w:t>
            </w:r>
            <w:r>
              <w:t>y</w:t>
            </w:r>
            <w:r>
              <w:rPr>
                <w:spacing w:val="-4"/>
              </w:rPr>
              <w:t xml:space="preserve"> </w:t>
            </w:r>
            <w:r>
              <w:t>Plan</w:t>
            </w:r>
            <w:r>
              <w:rPr>
                <w:spacing w:val="-4"/>
              </w:rPr>
              <w:t xml:space="preserve"> </w:t>
            </w:r>
            <w:r>
              <w:t>de Contingencia”</w:t>
            </w:r>
            <w:r>
              <w:rPr>
                <w:spacing w:val="-11"/>
              </w:rPr>
              <w:t xml:space="preserve"> </w:t>
            </w:r>
            <w:r>
              <w:t>entrará</w:t>
            </w:r>
            <w:r>
              <w:rPr>
                <w:spacing w:val="-4"/>
              </w:rPr>
              <w:t xml:space="preserve"> </w:t>
            </w:r>
            <w:r>
              <w:t>en</w:t>
            </w:r>
            <w:r>
              <w:rPr>
                <w:spacing w:val="-3"/>
              </w:rPr>
              <w:t xml:space="preserve"> </w:t>
            </w:r>
            <w:r>
              <w:t>vigencia</w:t>
            </w:r>
            <w:r>
              <w:rPr>
                <w:spacing w:val="-4"/>
              </w:rPr>
              <w:t xml:space="preserve"> </w:t>
            </w:r>
            <w:r>
              <w:t>para</w:t>
            </w:r>
            <w:r>
              <w:rPr>
                <w:spacing w:val="-3"/>
              </w:rPr>
              <w:t xml:space="preserve"> </w:t>
            </w:r>
            <w:r>
              <w:t>la</w:t>
            </w:r>
            <w:r>
              <w:rPr>
                <w:spacing w:val="-4"/>
              </w:rPr>
              <w:t xml:space="preserve"> </w:t>
            </w:r>
            <w:r>
              <w:t>información</w:t>
            </w:r>
            <w:r>
              <w:rPr>
                <w:spacing w:val="1"/>
              </w:rPr>
              <w:t xml:space="preserve"> </w:t>
            </w:r>
            <w:r>
              <w:t>del</w:t>
            </w:r>
            <w:r>
              <w:rPr>
                <w:spacing w:val="-5"/>
              </w:rPr>
              <w:t xml:space="preserve"> </w:t>
            </w:r>
            <w:r>
              <w:t>mes</w:t>
            </w:r>
            <w:r>
              <w:rPr>
                <w:spacing w:val="-3"/>
              </w:rPr>
              <w:t xml:space="preserve"> </w:t>
            </w:r>
            <w:r>
              <w:t>de</w:t>
            </w:r>
            <w:r>
              <w:rPr>
                <w:spacing w:val="-2"/>
              </w:rPr>
              <w:t xml:space="preserve"> </w:t>
            </w:r>
            <w:r>
              <w:rPr>
                <w:b/>
              </w:rPr>
              <w:t>marzo</w:t>
            </w:r>
            <w:r>
              <w:rPr>
                <w:b/>
                <w:spacing w:val="-4"/>
              </w:rPr>
              <w:t xml:space="preserve"> </w:t>
            </w:r>
            <w:r>
              <w:rPr>
                <w:b/>
              </w:rPr>
              <w:t>de</w:t>
            </w:r>
            <w:r>
              <w:rPr>
                <w:b/>
                <w:spacing w:val="-3"/>
              </w:rPr>
              <w:t xml:space="preserve"> </w:t>
            </w:r>
            <w:r>
              <w:rPr>
                <w:b/>
              </w:rPr>
              <w:t>2016</w:t>
            </w:r>
            <w:r>
              <w:t>.</w:t>
            </w:r>
          </w:p>
          <w:p w14:paraId="40FE17FA" w14:textId="77777777" w:rsidR="008C20EB" w:rsidRDefault="008D25BE">
            <w:pPr>
              <w:pStyle w:val="TableParagraph"/>
              <w:numPr>
                <w:ilvl w:val="0"/>
                <w:numId w:val="61"/>
              </w:numPr>
              <w:tabs>
                <w:tab w:val="left" w:pos="371"/>
              </w:tabs>
              <w:spacing w:before="3"/>
              <w:ind w:right="238"/>
              <w:jc w:val="both"/>
            </w:pPr>
            <w:r>
              <w:t>La</w:t>
            </w:r>
            <w:r>
              <w:rPr>
                <w:spacing w:val="-6"/>
              </w:rPr>
              <w:t xml:space="preserve"> </w:t>
            </w:r>
            <w:r>
              <w:t>modificación contemplada</w:t>
            </w:r>
            <w:r>
              <w:rPr>
                <w:spacing w:val="-5"/>
              </w:rPr>
              <w:t xml:space="preserve"> </w:t>
            </w:r>
            <w:r>
              <w:t>en</w:t>
            </w:r>
            <w:r>
              <w:rPr>
                <w:spacing w:val="-5"/>
              </w:rPr>
              <w:t xml:space="preserve"> </w:t>
            </w:r>
            <w:r>
              <w:t>el</w:t>
            </w:r>
            <w:r>
              <w:rPr>
                <w:spacing w:val="-7"/>
              </w:rPr>
              <w:t xml:space="preserve"> </w:t>
            </w:r>
            <w:r>
              <w:t>numeral</w:t>
            </w:r>
            <w:r>
              <w:rPr>
                <w:spacing w:val="-3"/>
              </w:rPr>
              <w:t xml:space="preserve"> </w:t>
            </w:r>
            <w:r>
              <w:t>III.5 del</w:t>
            </w:r>
            <w:r>
              <w:rPr>
                <w:spacing w:val="-6"/>
              </w:rPr>
              <w:t xml:space="preserve"> </w:t>
            </w:r>
            <w:r>
              <w:t>Anexo</w:t>
            </w:r>
            <w:r>
              <w:rPr>
                <w:spacing w:val="-6"/>
              </w:rPr>
              <w:t xml:space="preserve"> </w:t>
            </w:r>
            <w:r>
              <w:t>A</w:t>
            </w:r>
            <w:r>
              <w:rPr>
                <w:spacing w:val="4"/>
              </w:rPr>
              <w:t xml:space="preserve"> </w:t>
            </w:r>
            <w:r>
              <w:t>de</w:t>
            </w:r>
            <w:r>
              <w:rPr>
                <w:spacing w:val="-6"/>
              </w:rPr>
              <w:t xml:space="preserve"> </w:t>
            </w:r>
            <w:r>
              <w:t>la</w:t>
            </w:r>
            <w:r>
              <w:rPr>
                <w:spacing w:val="-5"/>
              </w:rPr>
              <w:t xml:space="preserve"> </w:t>
            </w:r>
            <w:r>
              <w:t>presente</w:t>
            </w:r>
            <w:r>
              <w:rPr>
                <w:spacing w:val="-5"/>
              </w:rPr>
              <w:t xml:space="preserve"> </w:t>
            </w:r>
            <w:r>
              <w:t>resolución</w:t>
            </w:r>
            <w:r>
              <w:rPr>
                <w:spacing w:val="-6"/>
              </w:rPr>
              <w:t xml:space="preserve"> </w:t>
            </w:r>
            <w:r>
              <w:t>entrará en vigencia al día siguiente de su</w:t>
            </w:r>
            <w:r>
              <w:rPr>
                <w:spacing w:val="-24"/>
              </w:rPr>
              <w:t xml:space="preserve"> </w:t>
            </w:r>
            <w:r>
              <w:t>publicación.</w:t>
            </w:r>
          </w:p>
          <w:p w14:paraId="40FE17FB" w14:textId="77777777" w:rsidR="008C20EB" w:rsidRDefault="008D25BE">
            <w:pPr>
              <w:pStyle w:val="TableParagraph"/>
              <w:numPr>
                <w:ilvl w:val="0"/>
                <w:numId w:val="61"/>
              </w:numPr>
              <w:tabs>
                <w:tab w:val="left" w:pos="371"/>
              </w:tabs>
              <w:spacing w:before="14" w:line="254" w:lineRule="exact"/>
              <w:ind w:right="321"/>
              <w:jc w:val="both"/>
            </w:pPr>
            <w:r>
              <w:t>Las</w:t>
            </w:r>
            <w:r>
              <w:rPr>
                <w:spacing w:val="-6"/>
              </w:rPr>
              <w:t xml:space="preserve"> </w:t>
            </w:r>
            <w:r>
              <w:t>modificaciones</w:t>
            </w:r>
            <w:r>
              <w:rPr>
                <w:spacing w:val="-6"/>
              </w:rPr>
              <w:t xml:space="preserve"> </w:t>
            </w:r>
            <w:r>
              <w:t>contempladas</w:t>
            </w:r>
            <w:r>
              <w:rPr>
                <w:spacing w:val="-6"/>
              </w:rPr>
              <w:t xml:space="preserve"> </w:t>
            </w:r>
            <w:r>
              <w:t>en</w:t>
            </w:r>
            <w:r>
              <w:rPr>
                <w:spacing w:val="-7"/>
              </w:rPr>
              <w:t xml:space="preserve"> </w:t>
            </w:r>
            <w:r>
              <w:t>los</w:t>
            </w:r>
            <w:r>
              <w:rPr>
                <w:spacing w:val="-6"/>
              </w:rPr>
              <w:t xml:space="preserve"> </w:t>
            </w:r>
            <w:r>
              <w:t>numerales</w:t>
            </w:r>
            <w:r>
              <w:rPr>
                <w:spacing w:val="-1"/>
              </w:rPr>
              <w:t xml:space="preserve"> </w:t>
            </w:r>
            <w:r>
              <w:t>II.76,</w:t>
            </w:r>
            <w:r>
              <w:rPr>
                <w:spacing w:val="-5"/>
              </w:rPr>
              <w:t xml:space="preserve"> </w:t>
            </w:r>
            <w:r>
              <w:t>II.155,</w:t>
            </w:r>
            <w:r>
              <w:rPr>
                <w:spacing w:val="-9"/>
              </w:rPr>
              <w:t xml:space="preserve"> </w:t>
            </w:r>
            <w:r>
              <w:t>II.156,</w:t>
            </w:r>
            <w:r>
              <w:rPr>
                <w:spacing w:val="-4"/>
              </w:rPr>
              <w:t xml:space="preserve"> </w:t>
            </w:r>
            <w:r>
              <w:t>II.164,</w:t>
            </w:r>
            <w:r>
              <w:rPr>
                <w:spacing w:val="-4"/>
              </w:rPr>
              <w:t xml:space="preserve"> </w:t>
            </w:r>
            <w:r>
              <w:t>III.6</w:t>
            </w:r>
            <w:r>
              <w:rPr>
                <w:spacing w:val="-2"/>
              </w:rPr>
              <w:t xml:space="preserve"> </w:t>
            </w:r>
            <w:r>
              <w:t>y</w:t>
            </w:r>
            <w:r>
              <w:rPr>
                <w:spacing w:val="-6"/>
              </w:rPr>
              <w:t xml:space="preserve"> </w:t>
            </w:r>
            <w:r>
              <w:t>III.20</w:t>
            </w:r>
            <w:r>
              <w:rPr>
                <w:spacing w:val="-7"/>
              </w:rPr>
              <w:t xml:space="preserve"> </w:t>
            </w:r>
            <w:r>
              <w:t>del anexo</w:t>
            </w:r>
            <w:r>
              <w:rPr>
                <w:spacing w:val="-4"/>
              </w:rPr>
              <w:t xml:space="preserve"> </w:t>
            </w:r>
            <w:r>
              <w:t>A</w:t>
            </w:r>
            <w:r>
              <w:rPr>
                <w:spacing w:val="-5"/>
              </w:rPr>
              <w:t xml:space="preserve"> </w:t>
            </w:r>
            <w:r>
              <w:t>de</w:t>
            </w:r>
            <w:r>
              <w:rPr>
                <w:spacing w:val="-3"/>
              </w:rPr>
              <w:t xml:space="preserve"> </w:t>
            </w:r>
            <w:r>
              <w:t>la</w:t>
            </w:r>
            <w:r>
              <w:rPr>
                <w:spacing w:val="-4"/>
              </w:rPr>
              <w:t xml:space="preserve"> </w:t>
            </w:r>
            <w:r>
              <w:t>presente</w:t>
            </w:r>
            <w:r>
              <w:rPr>
                <w:spacing w:val="-4"/>
              </w:rPr>
              <w:t xml:space="preserve"> </w:t>
            </w:r>
            <w:r>
              <w:t>resolución</w:t>
            </w:r>
            <w:r>
              <w:rPr>
                <w:spacing w:val="-3"/>
              </w:rPr>
              <w:t xml:space="preserve"> </w:t>
            </w:r>
            <w:r>
              <w:t>entrarán</w:t>
            </w:r>
            <w:r>
              <w:rPr>
                <w:spacing w:val="-4"/>
              </w:rPr>
              <w:t xml:space="preserve"> </w:t>
            </w:r>
            <w:r>
              <w:t>en</w:t>
            </w:r>
            <w:r>
              <w:rPr>
                <w:spacing w:val="-4"/>
              </w:rPr>
              <w:t xml:space="preserve"> </w:t>
            </w:r>
            <w:r>
              <w:t>vigencia</w:t>
            </w:r>
            <w:r>
              <w:rPr>
                <w:spacing w:val="-3"/>
              </w:rPr>
              <w:t xml:space="preserve"> </w:t>
            </w:r>
            <w:r>
              <w:t>el</w:t>
            </w:r>
            <w:r>
              <w:rPr>
                <w:spacing w:val="-1"/>
              </w:rPr>
              <w:t xml:space="preserve"> </w:t>
            </w:r>
            <w:r>
              <w:t>mes</w:t>
            </w:r>
            <w:r>
              <w:rPr>
                <w:spacing w:val="-2"/>
              </w:rPr>
              <w:t xml:space="preserve"> </w:t>
            </w:r>
            <w:r>
              <w:t>diciembre</w:t>
            </w:r>
            <w:r>
              <w:rPr>
                <w:spacing w:val="-4"/>
              </w:rPr>
              <w:t xml:space="preserve"> </w:t>
            </w:r>
            <w:r>
              <w:t>del</w:t>
            </w:r>
            <w:r>
              <w:rPr>
                <w:spacing w:val="-5"/>
              </w:rPr>
              <w:t xml:space="preserve"> </w:t>
            </w:r>
            <w:r>
              <w:t>2015.</w:t>
            </w:r>
          </w:p>
        </w:tc>
      </w:tr>
      <w:tr w:rsidR="008C20EB" w14:paraId="40FE1806" w14:textId="77777777">
        <w:trPr>
          <w:trHeight w:val="2079"/>
        </w:trPr>
        <w:tc>
          <w:tcPr>
            <w:tcW w:w="1445" w:type="dxa"/>
          </w:tcPr>
          <w:p w14:paraId="40FE17FD" w14:textId="77777777" w:rsidR="008C20EB" w:rsidRDefault="008D25BE">
            <w:pPr>
              <w:pStyle w:val="TableParagraph"/>
              <w:spacing w:line="241" w:lineRule="exact"/>
              <w:ind w:left="71"/>
              <w:jc w:val="both"/>
              <w:rPr>
                <w:b/>
              </w:rPr>
            </w:pPr>
            <w:r>
              <w:rPr>
                <w:b/>
              </w:rPr>
              <w:t>Resolución</w:t>
            </w:r>
          </w:p>
          <w:p w14:paraId="40FE17FE" w14:textId="77777777" w:rsidR="008C20EB" w:rsidRDefault="008D25BE">
            <w:pPr>
              <w:pStyle w:val="TableParagraph"/>
              <w:ind w:left="71" w:right="42"/>
              <w:jc w:val="both"/>
              <w:rPr>
                <w:b/>
              </w:rPr>
            </w:pPr>
            <w:r>
              <w:rPr>
                <w:b/>
              </w:rPr>
              <w:t>S.B.S. N° 5780- 2015</w:t>
            </w:r>
          </w:p>
        </w:tc>
        <w:tc>
          <w:tcPr>
            <w:tcW w:w="1733" w:type="dxa"/>
          </w:tcPr>
          <w:p w14:paraId="40FE17FF" w14:textId="77777777" w:rsidR="008C20EB" w:rsidRDefault="008D25BE">
            <w:pPr>
              <w:pStyle w:val="TableParagraph"/>
              <w:spacing w:line="241" w:lineRule="exact"/>
              <w:jc w:val="both"/>
              <w:rPr>
                <w:b/>
              </w:rPr>
            </w:pPr>
            <w:r>
              <w:rPr>
                <w:b/>
              </w:rPr>
              <w:t>(Pr. 24.09.2015 /</w:t>
            </w:r>
          </w:p>
          <w:p w14:paraId="40FE1800" w14:textId="77777777" w:rsidR="008C20EB" w:rsidRDefault="008D25BE">
            <w:pPr>
              <w:pStyle w:val="TableParagraph"/>
              <w:spacing w:line="251" w:lineRule="exact"/>
              <w:jc w:val="both"/>
              <w:rPr>
                <w:b/>
              </w:rPr>
            </w:pPr>
            <w:r>
              <w:rPr>
                <w:b/>
              </w:rPr>
              <w:t>Pub. 28.09.2015)</w:t>
            </w:r>
          </w:p>
        </w:tc>
        <w:tc>
          <w:tcPr>
            <w:tcW w:w="3500" w:type="dxa"/>
          </w:tcPr>
          <w:p w14:paraId="40FE1801" w14:textId="77777777" w:rsidR="008C20EB" w:rsidRDefault="008D25BE">
            <w:pPr>
              <w:pStyle w:val="TableParagraph"/>
              <w:tabs>
                <w:tab w:val="left" w:pos="1573"/>
                <w:tab w:val="left" w:pos="2423"/>
              </w:tabs>
              <w:ind w:left="177" w:right="63"/>
              <w:jc w:val="both"/>
            </w:pPr>
            <w:r>
              <w:t>Como producto de la aprobación de las Normas Especiales sobre la Vinculación y Grupo Económico, se modifica el Capítulo</w:t>
            </w:r>
            <w:r>
              <w:tab/>
              <w:t>V</w:t>
            </w:r>
            <w:r>
              <w:tab/>
            </w:r>
            <w:r>
              <w:rPr>
                <w:spacing w:val="-1"/>
              </w:rPr>
              <w:t xml:space="preserve">“Información </w:t>
            </w:r>
            <w:r>
              <w:t>complementaria” del Manual de Contabilidad</w:t>
            </w:r>
          </w:p>
        </w:tc>
        <w:tc>
          <w:tcPr>
            <w:tcW w:w="8162" w:type="dxa"/>
          </w:tcPr>
          <w:p w14:paraId="40FE1802" w14:textId="77777777" w:rsidR="008C20EB" w:rsidRDefault="008D25BE">
            <w:pPr>
              <w:pStyle w:val="TableParagraph"/>
              <w:numPr>
                <w:ilvl w:val="0"/>
                <w:numId w:val="62"/>
              </w:numPr>
              <w:tabs>
                <w:tab w:val="left" w:pos="371"/>
              </w:tabs>
              <w:spacing w:line="235" w:lineRule="auto"/>
              <w:ind w:right="57"/>
              <w:jc w:val="both"/>
            </w:pPr>
            <w:r>
              <w:t>Se sustituyen los formatos y las notas metodológicas de los Reportes Nº 19 y Nº 19-A. Adicionalmente se cambia la denominación del Reporte</w:t>
            </w:r>
            <w:r>
              <w:rPr>
                <w:spacing w:val="-12"/>
              </w:rPr>
              <w:t xml:space="preserve"> </w:t>
            </w:r>
            <w:r>
              <w:t>19-A.</w:t>
            </w:r>
          </w:p>
          <w:p w14:paraId="40FE1803" w14:textId="77777777" w:rsidR="008C20EB" w:rsidRDefault="008D25BE">
            <w:pPr>
              <w:pStyle w:val="TableParagraph"/>
              <w:numPr>
                <w:ilvl w:val="0"/>
                <w:numId w:val="62"/>
              </w:numPr>
              <w:tabs>
                <w:tab w:val="left" w:pos="371"/>
              </w:tabs>
              <w:ind w:right="60"/>
              <w:jc w:val="both"/>
            </w:pPr>
            <w:r>
              <w:t>Se sustituyen los formatos y las notas de los Reportes Nº 20 y Nº 20-A. Adicionalmente se cambia la denominación del Reporte</w:t>
            </w:r>
            <w:r>
              <w:rPr>
                <w:spacing w:val="-17"/>
              </w:rPr>
              <w:t xml:space="preserve"> </w:t>
            </w:r>
            <w:r>
              <w:t>20-A.</w:t>
            </w:r>
          </w:p>
          <w:p w14:paraId="40FE1804" w14:textId="77777777" w:rsidR="008C20EB" w:rsidRDefault="008D25BE">
            <w:pPr>
              <w:pStyle w:val="TableParagraph"/>
              <w:numPr>
                <w:ilvl w:val="0"/>
                <w:numId w:val="62"/>
              </w:numPr>
              <w:tabs>
                <w:tab w:val="left" w:pos="371"/>
              </w:tabs>
              <w:ind w:right="61"/>
              <w:jc w:val="both"/>
            </w:pPr>
            <w:r>
              <w:t>Se sustituyen los formatos y las notas de los Reportes Nº 21 y Nº 21-A. Adicionalmente se cambia la denominación del Reporte</w:t>
            </w:r>
            <w:r>
              <w:rPr>
                <w:spacing w:val="-17"/>
              </w:rPr>
              <w:t xml:space="preserve"> </w:t>
            </w:r>
            <w:r>
              <w:t>21-A.</w:t>
            </w:r>
          </w:p>
          <w:p w14:paraId="40FE1805" w14:textId="77777777" w:rsidR="008C20EB" w:rsidRDefault="008D25BE">
            <w:pPr>
              <w:pStyle w:val="TableParagraph"/>
              <w:numPr>
                <w:ilvl w:val="0"/>
                <w:numId w:val="62"/>
              </w:numPr>
              <w:tabs>
                <w:tab w:val="left" w:pos="371"/>
              </w:tabs>
              <w:spacing w:before="15" w:line="250" w:lineRule="exact"/>
              <w:ind w:right="62"/>
              <w:jc w:val="both"/>
            </w:pPr>
            <w:r>
              <w:t>La primera presentación de los nuevos reportes con los nuevos formatos serán hasta el 15 de enero del</w:t>
            </w:r>
            <w:r>
              <w:rPr>
                <w:spacing w:val="-8"/>
              </w:rPr>
              <w:t xml:space="preserve"> </w:t>
            </w:r>
            <w:r>
              <w:t>2016.</w:t>
            </w:r>
          </w:p>
        </w:tc>
      </w:tr>
      <w:tr w:rsidR="008C20EB" w14:paraId="40FE1811" w14:textId="77777777">
        <w:trPr>
          <w:trHeight w:val="1814"/>
        </w:trPr>
        <w:tc>
          <w:tcPr>
            <w:tcW w:w="1445" w:type="dxa"/>
          </w:tcPr>
          <w:p w14:paraId="40FE1807" w14:textId="77777777" w:rsidR="008C20EB" w:rsidRDefault="008D25BE">
            <w:pPr>
              <w:pStyle w:val="TableParagraph"/>
              <w:spacing w:line="242" w:lineRule="exact"/>
              <w:ind w:left="71"/>
              <w:jc w:val="both"/>
              <w:rPr>
                <w:b/>
              </w:rPr>
            </w:pPr>
            <w:r>
              <w:rPr>
                <w:b/>
              </w:rPr>
              <w:t>Resolución</w:t>
            </w:r>
          </w:p>
          <w:p w14:paraId="40FE1808" w14:textId="77777777" w:rsidR="008C20EB" w:rsidRDefault="008D25BE">
            <w:pPr>
              <w:pStyle w:val="TableParagraph"/>
              <w:spacing w:before="4" w:line="237" w:lineRule="auto"/>
              <w:ind w:left="71" w:right="42"/>
              <w:jc w:val="both"/>
              <w:rPr>
                <w:b/>
              </w:rPr>
            </w:pPr>
            <w:r>
              <w:rPr>
                <w:b/>
              </w:rPr>
              <w:t>S.B.S. N° 5202- 2015</w:t>
            </w:r>
          </w:p>
        </w:tc>
        <w:tc>
          <w:tcPr>
            <w:tcW w:w="1733" w:type="dxa"/>
          </w:tcPr>
          <w:p w14:paraId="40FE1809" w14:textId="77777777" w:rsidR="008C20EB" w:rsidRDefault="008D25BE">
            <w:pPr>
              <w:pStyle w:val="TableParagraph"/>
              <w:tabs>
                <w:tab w:val="left" w:pos="552"/>
              </w:tabs>
              <w:spacing w:line="242" w:lineRule="exact"/>
              <w:jc w:val="both"/>
              <w:rPr>
                <w:b/>
              </w:rPr>
            </w:pPr>
            <w:r>
              <w:rPr>
                <w:b/>
              </w:rPr>
              <w:t>(Pr.</w:t>
            </w:r>
            <w:r>
              <w:rPr>
                <w:b/>
              </w:rPr>
              <w:tab/>
              <w:t>03.09.2015</w:t>
            </w:r>
            <w:r>
              <w:rPr>
                <w:b/>
                <w:spacing w:val="47"/>
              </w:rPr>
              <w:t xml:space="preserve"> </w:t>
            </w:r>
            <w:r>
              <w:rPr>
                <w:b/>
              </w:rPr>
              <w:t>/</w:t>
            </w:r>
          </w:p>
          <w:p w14:paraId="40FE180A" w14:textId="77777777" w:rsidR="008C20EB" w:rsidRDefault="008D25BE">
            <w:pPr>
              <w:pStyle w:val="TableParagraph"/>
              <w:spacing w:before="2"/>
              <w:jc w:val="both"/>
              <w:rPr>
                <w:b/>
              </w:rPr>
            </w:pPr>
            <w:r>
              <w:rPr>
                <w:b/>
              </w:rPr>
              <w:t>Pub. 05.09.2015)</w:t>
            </w:r>
          </w:p>
        </w:tc>
        <w:tc>
          <w:tcPr>
            <w:tcW w:w="3500" w:type="dxa"/>
          </w:tcPr>
          <w:p w14:paraId="40FE180B" w14:textId="77777777" w:rsidR="008C20EB" w:rsidRDefault="008D25BE">
            <w:pPr>
              <w:pStyle w:val="TableParagraph"/>
              <w:ind w:left="177" w:right="67"/>
              <w:jc w:val="both"/>
            </w:pPr>
            <w:r>
              <w:t>Se modifica el Capítulo V “Información complementaria” del Manual de Contabilidad</w:t>
            </w:r>
          </w:p>
        </w:tc>
        <w:tc>
          <w:tcPr>
            <w:tcW w:w="8162" w:type="dxa"/>
          </w:tcPr>
          <w:p w14:paraId="40FE180C" w14:textId="77777777" w:rsidR="008C20EB" w:rsidRDefault="008D25BE">
            <w:pPr>
              <w:pStyle w:val="TableParagraph"/>
              <w:numPr>
                <w:ilvl w:val="0"/>
                <w:numId w:val="63"/>
              </w:numPr>
              <w:tabs>
                <w:tab w:val="left" w:pos="371"/>
              </w:tabs>
              <w:ind w:right="208"/>
              <w:jc w:val="both"/>
            </w:pPr>
            <w:r>
              <w:t>Se</w:t>
            </w:r>
            <w:r>
              <w:rPr>
                <w:spacing w:val="-4"/>
              </w:rPr>
              <w:t xml:space="preserve"> </w:t>
            </w:r>
            <w:r>
              <w:t>modificar</w:t>
            </w:r>
            <w:r>
              <w:rPr>
                <w:spacing w:val="-2"/>
              </w:rPr>
              <w:t xml:space="preserve"> </w:t>
            </w:r>
            <w:r>
              <w:t>el</w:t>
            </w:r>
            <w:r>
              <w:rPr>
                <w:spacing w:val="-6"/>
              </w:rPr>
              <w:t xml:space="preserve"> </w:t>
            </w:r>
            <w:r>
              <w:t>Anexo</w:t>
            </w:r>
            <w:r>
              <w:rPr>
                <w:spacing w:val="-4"/>
              </w:rPr>
              <w:t xml:space="preserve"> </w:t>
            </w:r>
            <w:r>
              <w:t>N°</w:t>
            </w:r>
            <w:r>
              <w:rPr>
                <w:spacing w:val="-1"/>
              </w:rPr>
              <w:t xml:space="preserve"> </w:t>
            </w:r>
            <w:r>
              <w:t>15</w:t>
            </w:r>
            <w:r>
              <w:rPr>
                <w:spacing w:val="-1"/>
              </w:rPr>
              <w:t xml:space="preserve"> </w:t>
            </w:r>
            <w:r>
              <w:t>–</w:t>
            </w:r>
            <w:r>
              <w:rPr>
                <w:spacing w:val="1"/>
              </w:rPr>
              <w:t xml:space="preserve"> </w:t>
            </w:r>
            <w:r>
              <w:t>A “Reporte</w:t>
            </w:r>
            <w:r>
              <w:rPr>
                <w:spacing w:val="-4"/>
              </w:rPr>
              <w:t xml:space="preserve"> </w:t>
            </w:r>
            <w:r>
              <w:t>de</w:t>
            </w:r>
            <w:r>
              <w:rPr>
                <w:spacing w:val="-4"/>
              </w:rPr>
              <w:t xml:space="preserve"> </w:t>
            </w:r>
            <w:r>
              <w:t>Tesorería</w:t>
            </w:r>
            <w:r>
              <w:rPr>
                <w:spacing w:val="-4"/>
              </w:rPr>
              <w:t xml:space="preserve"> </w:t>
            </w:r>
            <w:r>
              <w:t>y</w:t>
            </w:r>
            <w:r>
              <w:rPr>
                <w:spacing w:val="-3"/>
              </w:rPr>
              <w:t xml:space="preserve"> </w:t>
            </w:r>
            <w:r>
              <w:t>Posición</w:t>
            </w:r>
            <w:r>
              <w:rPr>
                <w:spacing w:val="-4"/>
              </w:rPr>
              <w:t xml:space="preserve"> </w:t>
            </w:r>
            <w:r>
              <w:t>Diaria</w:t>
            </w:r>
            <w:r>
              <w:rPr>
                <w:spacing w:val="-4"/>
              </w:rPr>
              <w:t xml:space="preserve"> </w:t>
            </w:r>
            <w:r>
              <w:t>de</w:t>
            </w:r>
            <w:r>
              <w:rPr>
                <w:spacing w:val="-4"/>
              </w:rPr>
              <w:t xml:space="preserve"> </w:t>
            </w:r>
            <w:r>
              <w:t>Liquidez”</w:t>
            </w:r>
            <w:r>
              <w:rPr>
                <w:spacing w:val="-11"/>
              </w:rPr>
              <w:t xml:space="preserve"> </w:t>
            </w:r>
            <w:r>
              <w:t>según</w:t>
            </w:r>
            <w:r>
              <w:rPr>
                <w:spacing w:val="-3"/>
              </w:rPr>
              <w:t xml:space="preserve"> </w:t>
            </w:r>
            <w:r>
              <w:t>el anexo de la</w:t>
            </w:r>
            <w:r>
              <w:rPr>
                <w:spacing w:val="-10"/>
              </w:rPr>
              <w:t xml:space="preserve"> </w:t>
            </w:r>
            <w:r>
              <w:t>resolución.</w:t>
            </w:r>
          </w:p>
          <w:p w14:paraId="40FE180D" w14:textId="77777777" w:rsidR="008C20EB" w:rsidRDefault="008C20EB">
            <w:pPr>
              <w:pStyle w:val="TableParagraph"/>
              <w:spacing w:before="9"/>
              <w:jc w:val="both"/>
              <w:rPr>
                <w:rFonts w:ascii="Arial"/>
                <w:b/>
                <w:sz w:val="20"/>
              </w:rPr>
            </w:pPr>
          </w:p>
          <w:p w14:paraId="40FE180E" w14:textId="77777777" w:rsidR="008C20EB" w:rsidRDefault="008D25BE">
            <w:pPr>
              <w:pStyle w:val="TableParagraph"/>
              <w:numPr>
                <w:ilvl w:val="0"/>
                <w:numId w:val="63"/>
              </w:numPr>
              <w:tabs>
                <w:tab w:val="left" w:pos="371"/>
              </w:tabs>
              <w:spacing w:before="1"/>
              <w:ind w:right="865"/>
              <w:jc w:val="both"/>
            </w:pPr>
            <w:r>
              <w:t>Se</w:t>
            </w:r>
            <w:r>
              <w:rPr>
                <w:spacing w:val="-5"/>
              </w:rPr>
              <w:t xml:space="preserve"> </w:t>
            </w:r>
            <w:r>
              <w:t>modifica</w:t>
            </w:r>
            <w:r>
              <w:rPr>
                <w:spacing w:val="-4"/>
              </w:rPr>
              <w:t xml:space="preserve"> </w:t>
            </w:r>
            <w:r>
              <w:t>el</w:t>
            </w:r>
            <w:r>
              <w:rPr>
                <w:spacing w:val="-2"/>
              </w:rPr>
              <w:t xml:space="preserve"> </w:t>
            </w:r>
            <w:r>
              <w:t>Anexo</w:t>
            </w:r>
            <w:r>
              <w:rPr>
                <w:spacing w:val="-4"/>
              </w:rPr>
              <w:t xml:space="preserve"> </w:t>
            </w:r>
            <w:r>
              <w:t>N°</w:t>
            </w:r>
            <w:r>
              <w:rPr>
                <w:spacing w:val="-6"/>
              </w:rPr>
              <w:t xml:space="preserve"> </w:t>
            </w:r>
            <w:r>
              <w:t>15</w:t>
            </w:r>
            <w:r>
              <w:rPr>
                <w:spacing w:val="2"/>
              </w:rPr>
              <w:t xml:space="preserve"> </w:t>
            </w:r>
            <w:r>
              <w:t>–</w:t>
            </w:r>
            <w:r>
              <w:rPr>
                <w:spacing w:val="-4"/>
              </w:rPr>
              <w:t xml:space="preserve"> </w:t>
            </w:r>
            <w:r>
              <w:t>B</w:t>
            </w:r>
            <w:r>
              <w:rPr>
                <w:spacing w:val="4"/>
              </w:rPr>
              <w:t xml:space="preserve"> </w:t>
            </w:r>
            <w:r>
              <w:t>“Ratio</w:t>
            </w:r>
            <w:r>
              <w:rPr>
                <w:spacing w:val="-5"/>
              </w:rPr>
              <w:t xml:space="preserve"> </w:t>
            </w:r>
            <w:r>
              <w:t>de</w:t>
            </w:r>
            <w:r>
              <w:rPr>
                <w:spacing w:val="1"/>
              </w:rPr>
              <w:t xml:space="preserve"> </w:t>
            </w:r>
            <w:r>
              <w:t>Cobertura</w:t>
            </w:r>
            <w:r>
              <w:rPr>
                <w:spacing w:val="-4"/>
              </w:rPr>
              <w:t xml:space="preserve"> </w:t>
            </w:r>
            <w:r>
              <w:t>de</w:t>
            </w:r>
            <w:r>
              <w:rPr>
                <w:spacing w:val="-5"/>
              </w:rPr>
              <w:t xml:space="preserve"> </w:t>
            </w:r>
            <w:r>
              <w:t>Liquidez”</w:t>
            </w:r>
            <w:r>
              <w:rPr>
                <w:spacing w:val="-6"/>
              </w:rPr>
              <w:t xml:space="preserve"> </w:t>
            </w:r>
            <w:r>
              <w:t>según</w:t>
            </w:r>
            <w:r>
              <w:rPr>
                <w:spacing w:val="-4"/>
              </w:rPr>
              <w:t xml:space="preserve"> </w:t>
            </w:r>
            <w:r>
              <w:t>el</w:t>
            </w:r>
            <w:r>
              <w:rPr>
                <w:spacing w:val="-6"/>
              </w:rPr>
              <w:t xml:space="preserve"> </w:t>
            </w:r>
            <w:r>
              <w:t>anexo</w:t>
            </w:r>
            <w:r>
              <w:rPr>
                <w:spacing w:val="-4"/>
              </w:rPr>
              <w:t xml:space="preserve"> </w:t>
            </w:r>
            <w:r>
              <w:t>de la resolución.</w:t>
            </w:r>
          </w:p>
          <w:p w14:paraId="40FE180F" w14:textId="77777777" w:rsidR="008C20EB" w:rsidRDefault="008C20EB">
            <w:pPr>
              <w:pStyle w:val="TableParagraph"/>
              <w:spacing w:before="9"/>
              <w:jc w:val="both"/>
              <w:rPr>
                <w:rFonts w:ascii="Arial"/>
                <w:b/>
                <w:sz w:val="21"/>
              </w:rPr>
            </w:pPr>
          </w:p>
          <w:p w14:paraId="40FE1810" w14:textId="77777777" w:rsidR="008C20EB" w:rsidRDefault="008D25BE">
            <w:pPr>
              <w:pStyle w:val="TableParagraph"/>
              <w:numPr>
                <w:ilvl w:val="0"/>
                <w:numId w:val="63"/>
              </w:numPr>
              <w:tabs>
                <w:tab w:val="left" w:pos="371"/>
              </w:tabs>
              <w:spacing w:before="1" w:line="260" w:lineRule="exact"/>
              <w:ind w:hanging="285"/>
              <w:jc w:val="both"/>
            </w:pPr>
            <w:r>
              <w:t>Vigente a partir del 1 de octubre del</w:t>
            </w:r>
            <w:r>
              <w:rPr>
                <w:spacing w:val="-17"/>
              </w:rPr>
              <w:t xml:space="preserve"> </w:t>
            </w:r>
            <w:r>
              <w:t>2015</w:t>
            </w:r>
          </w:p>
        </w:tc>
      </w:tr>
      <w:tr w:rsidR="008C20EB" w14:paraId="40FE181A" w14:textId="77777777">
        <w:trPr>
          <w:trHeight w:val="1291"/>
        </w:trPr>
        <w:tc>
          <w:tcPr>
            <w:tcW w:w="1445" w:type="dxa"/>
          </w:tcPr>
          <w:p w14:paraId="40FE1812" w14:textId="77777777" w:rsidR="008C20EB" w:rsidRDefault="008D25BE">
            <w:pPr>
              <w:pStyle w:val="TableParagraph"/>
              <w:spacing w:line="240" w:lineRule="exact"/>
              <w:ind w:left="71"/>
              <w:jc w:val="both"/>
              <w:rPr>
                <w:b/>
              </w:rPr>
            </w:pPr>
            <w:r>
              <w:rPr>
                <w:b/>
              </w:rPr>
              <w:t>Resolución</w:t>
            </w:r>
          </w:p>
          <w:p w14:paraId="40FE1813" w14:textId="77777777" w:rsidR="008C20EB" w:rsidRDefault="008D25BE">
            <w:pPr>
              <w:pStyle w:val="TableParagraph"/>
              <w:ind w:left="71" w:right="42"/>
              <w:jc w:val="both"/>
              <w:rPr>
                <w:b/>
              </w:rPr>
            </w:pPr>
            <w:r>
              <w:rPr>
                <w:b/>
              </w:rPr>
              <w:t>S.B.S. N° 4861- 2015</w:t>
            </w:r>
          </w:p>
        </w:tc>
        <w:tc>
          <w:tcPr>
            <w:tcW w:w="1733" w:type="dxa"/>
          </w:tcPr>
          <w:p w14:paraId="40FE1814" w14:textId="77777777" w:rsidR="008C20EB" w:rsidRDefault="008D25BE">
            <w:pPr>
              <w:pStyle w:val="TableParagraph"/>
              <w:spacing w:line="240" w:lineRule="exact"/>
              <w:jc w:val="both"/>
              <w:rPr>
                <w:b/>
              </w:rPr>
            </w:pPr>
            <w:r>
              <w:rPr>
                <w:b/>
              </w:rPr>
              <w:t>(Pr. 26.08.2015 /</w:t>
            </w:r>
          </w:p>
          <w:p w14:paraId="40FE1815" w14:textId="77777777" w:rsidR="008C20EB" w:rsidRDefault="008D25BE">
            <w:pPr>
              <w:pStyle w:val="TableParagraph"/>
              <w:spacing w:line="251" w:lineRule="exact"/>
              <w:jc w:val="both"/>
              <w:rPr>
                <w:b/>
              </w:rPr>
            </w:pPr>
            <w:r>
              <w:rPr>
                <w:b/>
              </w:rPr>
              <w:t>Pub. 27.08.2015)</w:t>
            </w:r>
          </w:p>
        </w:tc>
        <w:tc>
          <w:tcPr>
            <w:tcW w:w="3500" w:type="dxa"/>
          </w:tcPr>
          <w:p w14:paraId="40FE1816" w14:textId="77777777" w:rsidR="008C20EB" w:rsidRDefault="008D25BE">
            <w:pPr>
              <w:pStyle w:val="TableParagraph"/>
              <w:ind w:left="67" w:right="67"/>
              <w:jc w:val="both"/>
            </w:pPr>
            <w:r>
              <w:t>Se modifica el Capítulo V “Información Complementaria” del Manual de Contabilidad.</w:t>
            </w:r>
          </w:p>
        </w:tc>
        <w:tc>
          <w:tcPr>
            <w:tcW w:w="8162" w:type="dxa"/>
          </w:tcPr>
          <w:p w14:paraId="40FE1817" w14:textId="77777777" w:rsidR="008C20EB" w:rsidRDefault="008D25BE">
            <w:pPr>
              <w:pStyle w:val="TableParagraph"/>
              <w:numPr>
                <w:ilvl w:val="0"/>
                <w:numId w:val="64"/>
              </w:numPr>
              <w:tabs>
                <w:tab w:val="left" w:pos="371"/>
              </w:tabs>
              <w:spacing w:line="237" w:lineRule="auto"/>
              <w:ind w:right="232"/>
              <w:jc w:val="both"/>
            </w:pPr>
            <w:r>
              <w:t>Se incorpora el numeral 11.4 y se sustituye el numeral 11.3 de la Sección I “Límites Globales” del Reporte N° 13 “Control de Límites Globales e Individuales Aplicables a las Empresas del Sistema</w:t>
            </w:r>
            <w:r>
              <w:rPr>
                <w:spacing w:val="-4"/>
              </w:rPr>
              <w:t xml:space="preserve"> </w:t>
            </w:r>
            <w:r>
              <w:t>Financiero.</w:t>
            </w:r>
          </w:p>
          <w:p w14:paraId="40FE1818" w14:textId="77777777" w:rsidR="008C20EB" w:rsidRDefault="008C20EB">
            <w:pPr>
              <w:pStyle w:val="TableParagraph"/>
              <w:spacing w:before="3"/>
              <w:jc w:val="both"/>
              <w:rPr>
                <w:rFonts w:ascii="Arial"/>
                <w:b/>
                <w:sz w:val="21"/>
              </w:rPr>
            </w:pPr>
          </w:p>
          <w:p w14:paraId="40FE1819" w14:textId="77777777" w:rsidR="008C20EB" w:rsidRDefault="008D25BE">
            <w:pPr>
              <w:pStyle w:val="TableParagraph"/>
              <w:numPr>
                <w:ilvl w:val="0"/>
                <w:numId w:val="64"/>
              </w:numPr>
              <w:tabs>
                <w:tab w:val="left" w:pos="371"/>
              </w:tabs>
              <w:spacing w:line="260" w:lineRule="exact"/>
              <w:ind w:hanging="299"/>
              <w:jc w:val="both"/>
            </w:pPr>
            <w:r>
              <w:t>Vigente a partir de la información de setiembre</w:t>
            </w:r>
            <w:r>
              <w:rPr>
                <w:spacing w:val="40"/>
              </w:rPr>
              <w:t xml:space="preserve"> </w:t>
            </w:r>
            <w:r>
              <w:t>2015.</w:t>
            </w:r>
          </w:p>
        </w:tc>
      </w:tr>
    </w:tbl>
    <w:p w14:paraId="40FE181B" w14:textId="77777777" w:rsidR="008C20EB" w:rsidRDefault="008C20EB">
      <w:pPr>
        <w:spacing w:line="26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20" w14:textId="77777777">
        <w:trPr>
          <w:trHeight w:val="254"/>
        </w:trPr>
        <w:tc>
          <w:tcPr>
            <w:tcW w:w="1445" w:type="dxa"/>
            <w:vAlign w:val="bottom"/>
          </w:tcPr>
          <w:p w14:paraId="40FE181C"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1D" w14:textId="77777777" w:rsidR="008C20EB" w:rsidRDefault="008D25BE">
            <w:pPr>
              <w:pStyle w:val="TableParagraph"/>
              <w:spacing w:line="234" w:lineRule="exact"/>
              <w:ind w:left="556"/>
              <w:jc w:val="both"/>
              <w:rPr>
                <w:b/>
              </w:rPr>
            </w:pPr>
            <w:r>
              <w:rPr>
                <w:b/>
              </w:rPr>
              <w:t>FECHA</w:t>
            </w:r>
          </w:p>
        </w:tc>
        <w:tc>
          <w:tcPr>
            <w:tcW w:w="3500" w:type="dxa"/>
            <w:vAlign w:val="bottom"/>
          </w:tcPr>
          <w:p w14:paraId="40FE181E"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1F" w14:textId="77777777" w:rsidR="008C20EB" w:rsidRDefault="008D25BE">
            <w:pPr>
              <w:pStyle w:val="TableParagraph"/>
              <w:spacing w:line="234" w:lineRule="exact"/>
              <w:ind w:left="3271" w:right="3265"/>
              <w:jc w:val="both"/>
              <w:rPr>
                <w:b/>
              </w:rPr>
            </w:pPr>
            <w:r>
              <w:rPr>
                <w:b/>
              </w:rPr>
              <w:t>MODIFICATORIAS</w:t>
            </w:r>
          </w:p>
        </w:tc>
      </w:tr>
      <w:tr w:rsidR="008C20EB" w14:paraId="40FE182A" w14:textId="77777777">
        <w:trPr>
          <w:trHeight w:val="2021"/>
        </w:trPr>
        <w:tc>
          <w:tcPr>
            <w:tcW w:w="1445" w:type="dxa"/>
          </w:tcPr>
          <w:p w14:paraId="40FE1821" w14:textId="77777777" w:rsidR="008C20EB" w:rsidRDefault="008D25BE">
            <w:pPr>
              <w:pStyle w:val="TableParagraph"/>
              <w:spacing w:line="240" w:lineRule="exact"/>
              <w:ind w:left="71"/>
              <w:jc w:val="both"/>
              <w:rPr>
                <w:b/>
              </w:rPr>
            </w:pPr>
            <w:r>
              <w:rPr>
                <w:b/>
              </w:rPr>
              <w:t>Resolución</w:t>
            </w:r>
          </w:p>
          <w:p w14:paraId="40FE1822" w14:textId="77777777" w:rsidR="008C20EB" w:rsidRDefault="008D25BE">
            <w:pPr>
              <w:pStyle w:val="TableParagraph"/>
              <w:spacing w:line="242" w:lineRule="auto"/>
              <w:ind w:left="71" w:right="42"/>
              <w:jc w:val="both"/>
              <w:rPr>
                <w:b/>
              </w:rPr>
            </w:pPr>
            <w:r>
              <w:rPr>
                <w:b/>
              </w:rPr>
              <w:t>S.B.S. N° 4798- 2015</w:t>
            </w:r>
          </w:p>
        </w:tc>
        <w:tc>
          <w:tcPr>
            <w:tcW w:w="1733" w:type="dxa"/>
          </w:tcPr>
          <w:p w14:paraId="40FE1823" w14:textId="77777777" w:rsidR="008C20EB" w:rsidRDefault="008D25BE">
            <w:pPr>
              <w:pStyle w:val="TableParagraph"/>
              <w:tabs>
                <w:tab w:val="left" w:pos="1602"/>
              </w:tabs>
              <w:spacing w:line="240" w:lineRule="exact"/>
              <w:jc w:val="both"/>
              <w:rPr>
                <w:b/>
              </w:rPr>
            </w:pPr>
            <w:r>
              <w:rPr>
                <w:b/>
              </w:rPr>
              <w:t xml:space="preserve">(Pr.  </w:t>
            </w:r>
            <w:r>
              <w:rPr>
                <w:b/>
                <w:spacing w:val="38"/>
              </w:rPr>
              <w:t xml:space="preserve"> </w:t>
            </w:r>
            <w:r>
              <w:rPr>
                <w:b/>
              </w:rPr>
              <w:t>21.08.2015</w:t>
            </w:r>
            <w:r>
              <w:rPr>
                <w:b/>
              </w:rPr>
              <w:tab/>
              <w:t>/</w:t>
            </w:r>
          </w:p>
          <w:p w14:paraId="40FE1824" w14:textId="77777777" w:rsidR="008C20EB" w:rsidRDefault="008D25BE">
            <w:pPr>
              <w:pStyle w:val="TableParagraph"/>
              <w:spacing w:line="251" w:lineRule="exact"/>
              <w:jc w:val="both"/>
              <w:rPr>
                <w:b/>
              </w:rPr>
            </w:pPr>
            <w:r>
              <w:rPr>
                <w:b/>
              </w:rPr>
              <w:t>Pub. 26.05.2015)</w:t>
            </w:r>
          </w:p>
        </w:tc>
        <w:tc>
          <w:tcPr>
            <w:tcW w:w="3500" w:type="dxa"/>
          </w:tcPr>
          <w:p w14:paraId="40FE1825" w14:textId="77777777" w:rsidR="008C20EB" w:rsidRDefault="008D25BE">
            <w:pPr>
              <w:pStyle w:val="TableParagraph"/>
              <w:tabs>
                <w:tab w:val="left" w:pos="1871"/>
                <w:tab w:val="left" w:pos="2798"/>
              </w:tabs>
              <w:ind w:left="177" w:right="63"/>
              <w:jc w:val="both"/>
            </w:pPr>
            <w:r>
              <w:t>Como producto de la aprobación del Reglamento</w:t>
            </w:r>
            <w:r>
              <w:tab/>
              <w:t>de</w:t>
            </w:r>
            <w:r>
              <w:tab/>
              <w:t>canales complementarios de atención al público de las empresas del sistema financiero y de las empresas emisoras de dinero electrónico se modifica el Capítulo V “Información Complementaria”</w:t>
            </w:r>
            <w:r>
              <w:rPr>
                <w:spacing w:val="43"/>
              </w:rPr>
              <w:t xml:space="preserve"> </w:t>
            </w:r>
            <w:r>
              <w:t>del</w:t>
            </w:r>
          </w:p>
          <w:p w14:paraId="40FE1826" w14:textId="77777777" w:rsidR="008C20EB" w:rsidRDefault="008D25BE">
            <w:pPr>
              <w:pStyle w:val="TableParagraph"/>
              <w:spacing w:line="245" w:lineRule="exact"/>
              <w:ind w:left="177"/>
              <w:jc w:val="both"/>
            </w:pPr>
            <w:r>
              <w:t>Manual de Contabilidad.</w:t>
            </w:r>
          </w:p>
        </w:tc>
        <w:tc>
          <w:tcPr>
            <w:tcW w:w="8162" w:type="dxa"/>
          </w:tcPr>
          <w:p w14:paraId="40FE1827" w14:textId="77777777" w:rsidR="008C20EB" w:rsidRDefault="008D25BE">
            <w:pPr>
              <w:pStyle w:val="TableParagraph"/>
              <w:numPr>
                <w:ilvl w:val="0"/>
                <w:numId w:val="65"/>
              </w:numPr>
              <w:tabs>
                <w:tab w:val="left" w:pos="371"/>
              </w:tabs>
              <w:spacing w:line="235" w:lineRule="auto"/>
              <w:ind w:right="997"/>
              <w:jc w:val="both"/>
            </w:pPr>
            <w:r>
              <w:t>Se</w:t>
            </w:r>
            <w:r>
              <w:rPr>
                <w:spacing w:val="-6"/>
              </w:rPr>
              <w:t xml:space="preserve"> </w:t>
            </w:r>
            <w:r>
              <w:t>modifica</w:t>
            </w:r>
            <w:r>
              <w:rPr>
                <w:spacing w:val="-5"/>
              </w:rPr>
              <w:t xml:space="preserve"> </w:t>
            </w:r>
            <w:r>
              <w:t>el</w:t>
            </w:r>
            <w:r>
              <w:rPr>
                <w:spacing w:val="-3"/>
              </w:rPr>
              <w:t xml:space="preserve"> </w:t>
            </w:r>
            <w:r>
              <w:t>formato</w:t>
            </w:r>
            <w:r>
              <w:rPr>
                <w:spacing w:val="-5"/>
              </w:rPr>
              <w:t xml:space="preserve"> </w:t>
            </w:r>
            <w:r>
              <w:t>del</w:t>
            </w:r>
            <w:r>
              <w:rPr>
                <w:spacing w:val="-1"/>
              </w:rPr>
              <w:t xml:space="preserve"> </w:t>
            </w:r>
            <w:r>
              <w:t>Reporte</w:t>
            </w:r>
            <w:r>
              <w:rPr>
                <w:spacing w:val="-6"/>
              </w:rPr>
              <w:t xml:space="preserve"> </w:t>
            </w:r>
            <w:r>
              <w:t>N°</w:t>
            </w:r>
            <w:r>
              <w:rPr>
                <w:spacing w:val="-7"/>
              </w:rPr>
              <w:t xml:space="preserve"> </w:t>
            </w:r>
            <w:r>
              <w:t>30</w:t>
            </w:r>
            <w:r>
              <w:rPr>
                <w:spacing w:val="-1"/>
              </w:rPr>
              <w:t xml:space="preserve"> </w:t>
            </w:r>
            <w:r>
              <w:t>“Cajeros</w:t>
            </w:r>
            <w:r>
              <w:rPr>
                <w:spacing w:val="-5"/>
              </w:rPr>
              <w:t xml:space="preserve"> </w:t>
            </w:r>
            <w:r>
              <w:t>Automáticos,</w:t>
            </w:r>
            <w:r>
              <w:rPr>
                <w:spacing w:val="-7"/>
              </w:rPr>
              <w:t xml:space="preserve"> </w:t>
            </w:r>
            <w:r>
              <w:t>Establecimientos</w:t>
            </w:r>
            <w:r>
              <w:rPr>
                <w:spacing w:val="-5"/>
              </w:rPr>
              <w:t xml:space="preserve"> </w:t>
            </w:r>
            <w:r>
              <w:t>de Operaciones Básicas y Cajeros</w:t>
            </w:r>
            <w:r>
              <w:rPr>
                <w:spacing w:val="-10"/>
              </w:rPr>
              <w:t xml:space="preserve"> </w:t>
            </w:r>
            <w:r>
              <w:t>Corresponsales”</w:t>
            </w:r>
          </w:p>
          <w:p w14:paraId="40FE1828" w14:textId="77777777" w:rsidR="008C20EB" w:rsidRDefault="008C20EB">
            <w:pPr>
              <w:pStyle w:val="TableParagraph"/>
              <w:spacing w:before="9"/>
              <w:jc w:val="both"/>
              <w:rPr>
                <w:rFonts w:ascii="Arial"/>
                <w:b/>
                <w:sz w:val="21"/>
              </w:rPr>
            </w:pPr>
          </w:p>
          <w:p w14:paraId="40FE1829" w14:textId="77777777" w:rsidR="008C20EB" w:rsidRDefault="008D25BE">
            <w:pPr>
              <w:pStyle w:val="TableParagraph"/>
              <w:numPr>
                <w:ilvl w:val="0"/>
                <w:numId w:val="65"/>
              </w:numPr>
              <w:tabs>
                <w:tab w:val="left" w:pos="371"/>
              </w:tabs>
              <w:ind w:hanging="299"/>
              <w:jc w:val="both"/>
            </w:pPr>
            <w:r>
              <w:t>Vigente a partir de la información de diciembre</w:t>
            </w:r>
            <w:r>
              <w:rPr>
                <w:spacing w:val="-15"/>
              </w:rPr>
              <w:t xml:space="preserve"> </w:t>
            </w:r>
            <w:r>
              <w:t>2015</w:t>
            </w:r>
          </w:p>
        </w:tc>
      </w:tr>
      <w:tr w:rsidR="008C20EB" w14:paraId="40FE183F" w14:textId="77777777">
        <w:trPr>
          <w:trHeight w:val="4825"/>
        </w:trPr>
        <w:tc>
          <w:tcPr>
            <w:tcW w:w="1445" w:type="dxa"/>
          </w:tcPr>
          <w:p w14:paraId="40FE182B" w14:textId="77777777" w:rsidR="008C20EB" w:rsidRDefault="008D25BE">
            <w:pPr>
              <w:pStyle w:val="TableParagraph"/>
              <w:spacing w:line="237" w:lineRule="exact"/>
              <w:ind w:left="71"/>
              <w:jc w:val="both"/>
              <w:rPr>
                <w:b/>
              </w:rPr>
            </w:pPr>
            <w:r>
              <w:rPr>
                <w:b/>
              </w:rPr>
              <w:t>Resolución</w:t>
            </w:r>
          </w:p>
          <w:p w14:paraId="40FE182C" w14:textId="77777777" w:rsidR="008C20EB" w:rsidRDefault="008D25BE">
            <w:pPr>
              <w:pStyle w:val="TableParagraph"/>
              <w:spacing w:before="2"/>
              <w:ind w:left="71" w:right="42"/>
              <w:jc w:val="both"/>
              <w:rPr>
                <w:b/>
              </w:rPr>
            </w:pPr>
            <w:r>
              <w:rPr>
                <w:b/>
              </w:rPr>
              <w:t>S.B.S. N° 4174- 2015</w:t>
            </w:r>
          </w:p>
        </w:tc>
        <w:tc>
          <w:tcPr>
            <w:tcW w:w="1733" w:type="dxa"/>
          </w:tcPr>
          <w:p w14:paraId="40FE182D" w14:textId="77777777" w:rsidR="008C20EB" w:rsidRDefault="008D25BE">
            <w:pPr>
              <w:pStyle w:val="TableParagraph"/>
              <w:tabs>
                <w:tab w:val="left" w:pos="1602"/>
              </w:tabs>
              <w:spacing w:line="237" w:lineRule="exact"/>
              <w:jc w:val="both"/>
              <w:rPr>
                <w:b/>
              </w:rPr>
            </w:pPr>
            <w:r>
              <w:rPr>
                <w:b/>
              </w:rPr>
              <w:t xml:space="preserve">(Pr.  </w:t>
            </w:r>
            <w:r>
              <w:rPr>
                <w:b/>
                <w:spacing w:val="38"/>
              </w:rPr>
              <w:t xml:space="preserve"> </w:t>
            </w:r>
            <w:r>
              <w:rPr>
                <w:b/>
              </w:rPr>
              <w:t>15.07.2015</w:t>
            </w:r>
            <w:r>
              <w:rPr>
                <w:b/>
              </w:rPr>
              <w:tab/>
              <w:t>/</w:t>
            </w:r>
          </w:p>
          <w:p w14:paraId="40FE182E" w14:textId="77777777" w:rsidR="008C20EB" w:rsidRDefault="008D25BE">
            <w:pPr>
              <w:pStyle w:val="TableParagraph"/>
              <w:spacing w:before="2"/>
              <w:jc w:val="both"/>
              <w:rPr>
                <w:b/>
              </w:rPr>
            </w:pPr>
            <w:r>
              <w:rPr>
                <w:b/>
              </w:rPr>
              <w:t>Pub. 18.07.2015)</w:t>
            </w:r>
          </w:p>
        </w:tc>
        <w:tc>
          <w:tcPr>
            <w:tcW w:w="3500" w:type="dxa"/>
          </w:tcPr>
          <w:p w14:paraId="40FE182F" w14:textId="77777777" w:rsidR="008C20EB" w:rsidRDefault="008D25BE">
            <w:pPr>
              <w:pStyle w:val="TableParagraph"/>
              <w:spacing w:line="237" w:lineRule="exact"/>
              <w:ind w:left="177"/>
              <w:jc w:val="both"/>
            </w:pPr>
            <w:r>
              <w:t>Como producto de la aprobación del</w:t>
            </w:r>
          </w:p>
          <w:p w14:paraId="40FE1830" w14:textId="77777777" w:rsidR="008C20EB" w:rsidRDefault="008D25BE">
            <w:pPr>
              <w:pStyle w:val="TableParagraph"/>
              <w:spacing w:before="2"/>
              <w:ind w:left="177" w:right="61"/>
              <w:jc w:val="both"/>
            </w:pPr>
            <w:r>
              <w:t>Reglamento de créditos grupales solidarios se modifica los Capítulos III “Catálogo de Cuentas”, IV “Descripción y Dinámica de Cuentas”, y V “Información Complementaria” del Manual de</w:t>
            </w:r>
            <w:r>
              <w:rPr>
                <w:spacing w:val="-8"/>
              </w:rPr>
              <w:t xml:space="preserve"> </w:t>
            </w:r>
            <w:r>
              <w:t>Contabilidad.</w:t>
            </w:r>
          </w:p>
        </w:tc>
        <w:tc>
          <w:tcPr>
            <w:tcW w:w="8162" w:type="dxa"/>
          </w:tcPr>
          <w:p w14:paraId="40FE1831" w14:textId="77777777" w:rsidR="008C20EB" w:rsidRDefault="008D25BE">
            <w:pPr>
              <w:pStyle w:val="TableParagraph"/>
              <w:numPr>
                <w:ilvl w:val="0"/>
                <w:numId w:val="66"/>
              </w:numPr>
              <w:tabs>
                <w:tab w:val="left" w:pos="371"/>
              </w:tabs>
              <w:spacing w:line="258" w:lineRule="exact"/>
              <w:ind w:left="370" w:hanging="299"/>
              <w:jc w:val="both"/>
            </w:pPr>
            <w:r>
              <w:t>Se incorporan las siguientes subcuentas y cuentas</w:t>
            </w:r>
            <w:r>
              <w:rPr>
                <w:spacing w:val="-15"/>
              </w:rPr>
              <w:t xml:space="preserve"> </w:t>
            </w:r>
            <w:r>
              <w:t>analíticas:</w:t>
            </w:r>
          </w:p>
          <w:p w14:paraId="40FE1832" w14:textId="77777777" w:rsidR="008C20EB" w:rsidRDefault="008C20EB">
            <w:pPr>
              <w:pStyle w:val="TableParagraph"/>
              <w:spacing w:before="10"/>
              <w:jc w:val="both"/>
              <w:rPr>
                <w:rFonts w:ascii="Arial"/>
                <w:b/>
                <w:sz w:val="21"/>
              </w:rPr>
            </w:pPr>
          </w:p>
          <w:p w14:paraId="40FE1833" w14:textId="77777777" w:rsidR="008C20EB" w:rsidRDefault="008D25BE">
            <w:pPr>
              <w:pStyle w:val="TableParagraph"/>
              <w:tabs>
                <w:tab w:val="left" w:pos="1488"/>
              </w:tabs>
              <w:spacing w:line="237" w:lineRule="auto"/>
              <w:ind w:left="370" w:right="2814"/>
              <w:jc w:val="both"/>
            </w:pPr>
            <w:r>
              <w:t>8109.34</w:t>
            </w:r>
            <w:r>
              <w:tab/>
              <w:t>Créditos grupales solidarios no</w:t>
            </w:r>
            <w:r>
              <w:rPr>
                <w:spacing w:val="-33"/>
              </w:rPr>
              <w:t xml:space="preserve"> </w:t>
            </w:r>
            <w:r>
              <w:t>autogestionados 8109.34.01</w:t>
            </w:r>
            <w:r>
              <w:tab/>
              <w:t>Créditos</w:t>
            </w:r>
            <w:r>
              <w:rPr>
                <w:spacing w:val="-3"/>
              </w:rPr>
              <w:t xml:space="preserve"> </w:t>
            </w:r>
            <w:r>
              <w:t>vigentes</w:t>
            </w:r>
          </w:p>
          <w:p w14:paraId="40FE1834" w14:textId="77777777" w:rsidR="008C20EB" w:rsidRDefault="008D25BE">
            <w:pPr>
              <w:pStyle w:val="TableParagraph"/>
              <w:tabs>
                <w:tab w:val="left" w:pos="1488"/>
              </w:tabs>
              <w:spacing w:before="3"/>
              <w:ind w:left="370"/>
              <w:jc w:val="both"/>
            </w:pPr>
            <w:r>
              <w:t>8109.34.02</w:t>
            </w:r>
            <w:r>
              <w:tab/>
              <w:t>Créditos</w:t>
            </w:r>
            <w:r>
              <w:rPr>
                <w:spacing w:val="-3"/>
              </w:rPr>
              <w:t xml:space="preserve"> </w:t>
            </w:r>
            <w:r>
              <w:t>reestructurados</w:t>
            </w:r>
          </w:p>
          <w:p w14:paraId="40FE1835" w14:textId="77777777" w:rsidR="008C20EB" w:rsidRDefault="008D25BE">
            <w:pPr>
              <w:pStyle w:val="TableParagraph"/>
              <w:tabs>
                <w:tab w:val="left" w:pos="1488"/>
              </w:tabs>
              <w:spacing w:before="1" w:line="251" w:lineRule="exact"/>
              <w:ind w:left="370"/>
              <w:jc w:val="both"/>
            </w:pPr>
            <w:r>
              <w:t>8109.34.03</w:t>
            </w:r>
            <w:r>
              <w:tab/>
              <w:t>Créditos</w:t>
            </w:r>
            <w:r>
              <w:rPr>
                <w:spacing w:val="-3"/>
              </w:rPr>
              <w:t xml:space="preserve"> </w:t>
            </w:r>
            <w:r>
              <w:t>refinanciados</w:t>
            </w:r>
          </w:p>
          <w:p w14:paraId="40FE1836" w14:textId="77777777" w:rsidR="008C20EB" w:rsidRDefault="008D25BE">
            <w:pPr>
              <w:pStyle w:val="TableParagraph"/>
              <w:tabs>
                <w:tab w:val="left" w:pos="1488"/>
              </w:tabs>
              <w:ind w:left="370" w:right="4347"/>
              <w:jc w:val="both"/>
            </w:pPr>
            <w:r>
              <w:t>8109.34.04</w:t>
            </w:r>
            <w:r>
              <w:tab/>
              <w:t>Créditos vencidos 8109.34.05</w:t>
            </w:r>
            <w:r>
              <w:tab/>
              <w:t>Créditos en cobranza</w:t>
            </w:r>
            <w:r>
              <w:rPr>
                <w:spacing w:val="-20"/>
              </w:rPr>
              <w:t xml:space="preserve"> </w:t>
            </w:r>
            <w:r>
              <w:t>judicial</w:t>
            </w:r>
          </w:p>
          <w:p w14:paraId="40FE1837" w14:textId="77777777" w:rsidR="008C20EB" w:rsidRDefault="008D25BE">
            <w:pPr>
              <w:pStyle w:val="TableParagraph"/>
              <w:tabs>
                <w:tab w:val="left" w:pos="1488"/>
              </w:tabs>
              <w:spacing w:line="242" w:lineRule="auto"/>
              <w:ind w:left="370" w:right="3061"/>
              <w:jc w:val="both"/>
            </w:pPr>
            <w:r>
              <w:t>8109.35</w:t>
            </w:r>
            <w:r>
              <w:tab/>
              <w:t>Créditos grupales solidarios autogestionados 8109.35.01</w:t>
            </w:r>
            <w:r>
              <w:tab/>
              <w:t>Créditos</w:t>
            </w:r>
            <w:r>
              <w:rPr>
                <w:spacing w:val="-3"/>
              </w:rPr>
              <w:t xml:space="preserve"> </w:t>
            </w:r>
            <w:r>
              <w:t>vigentes</w:t>
            </w:r>
          </w:p>
          <w:p w14:paraId="40FE1838" w14:textId="77777777" w:rsidR="008C20EB" w:rsidRDefault="008D25BE">
            <w:pPr>
              <w:pStyle w:val="TableParagraph"/>
              <w:tabs>
                <w:tab w:val="left" w:pos="1488"/>
              </w:tabs>
              <w:spacing w:line="250" w:lineRule="exact"/>
              <w:ind w:left="370"/>
              <w:jc w:val="both"/>
            </w:pPr>
            <w:r>
              <w:t>8109.35.02</w:t>
            </w:r>
            <w:r>
              <w:tab/>
              <w:t>Créditos</w:t>
            </w:r>
            <w:r>
              <w:rPr>
                <w:spacing w:val="-3"/>
              </w:rPr>
              <w:t xml:space="preserve"> </w:t>
            </w:r>
            <w:r>
              <w:t>reestructurados</w:t>
            </w:r>
          </w:p>
          <w:p w14:paraId="40FE1839" w14:textId="77777777" w:rsidR="008C20EB" w:rsidRDefault="008D25BE">
            <w:pPr>
              <w:pStyle w:val="TableParagraph"/>
              <w:tabs>
                <w:tab w:val="left" w:pos="1488"/>
              </w:tabs>
              <w:spacing w:line="251" w:lineRule="exact"/>
              <w:ind w:left="370"/>
              <w:jc w:val="both"/>
            </w:pPr>
            <w:r>
              <w:t>8109.35.03</w:t>
            </w:r>
            <w:r>
              <w:tab/>
              <w:t>Créditos</w:t>
            </w:r>
            <w:r>
              <w:rPr>
                <w:spacing w:val="-3"/>
              </w:rPr>
              <w:t xml:space="preserve"> </w:t>
            </w:r>
            <w:r>
              <w:t>refinanciados</w:t>
            </w:r>
          </w:p>
          <w:p w14:paraId="40FE183A" w14:textId="77777777" w:rsidR="008C20EB" w:rsidRDefault="008D25BE">
            <w:pPr>
              <w:pStyle w:val="TableParagraph"/>
              <w:tabs>
                <w:tab w:val="left" w:pos="1488"/>
              </w:tabs>
              <w:spacing w:before="2" w:line="237" w:lineRule="auto"/>
              <w:ind w:left="370" w:right="4347"/>
              <w:jc w:val="both"/>
            </w:pPr>
            <w:r>
              <w:t>8109.35.04</w:t>
            </w:r>
            <w:r>
              <w:tab/>
            </w:r>
            <w:r>
              <w:t>Créditos vencidos 8109.35.05</w:t>
            </w:r>
            <w:r>
              <w:tab/>
              <w:t>Créditos en cobranza</w:t>
            </w:r>
            <w:r>
              <w:rPr>
                <w:spacing w:val="-20"/>
              </w:rPr>
              <w:t xml:space="preserve"> </w:t>
            </w:r>
            <w:r>
              <w:t>judicial</w:t>
            </w:r>
          </w:p>
          <w:p w14:paraId="40FE183B" w14:textId="77777777" w:rsidR="008C20EB" w:rsidRDefault="008C20EB">
            <w:pPr>
              <w:pStyle w:val="TableParagraph"/>
              <w:spacing w:before="11"/>
              <w:jc w:val="both"/>
              <w:rPr>
                <w:rFonts w:ascii="Arial"/>
                <w:b/>
                <w:sz w:val="21"/>
              </w:rPr>
            </w:pPr>
          </w:p>
          <w:p w14:paraId="40FE183C" w14:textId="77777777" w:rsidR="008C20EB" w:rsidRDefault="008D25BE">
            <w:pPr>
              <w:pStyle w:val="TableParagraph"/>
              <w:ind w:left="370"/>
              <w:jc w:val="both"/>
            </w:pPr>
            <w:r>
              <w:t xml:space="preserve">La vigencia es a partir de la información de </w:t>
            </w:r>
            <w:r>
              <w:rPr>
                <w:b/>
              </w:rPr>
              <w:t>diciembre 2015</w:t>
            </w:r>
            <w:r>
              <w:t>.</w:t>
            </w:r>
          </w:p>
          <w:p w14:paraId="40FE183D" w14:textId="77777777" w:rsidR="008C20EB" w:rsidRDefault="008C20EB">
            <w:pPr>
              <w:pStyle w:val="TableParagraph"/>
              <w:spacing w:before="1"/>
              <w:jc w:val="both"/>
              <w:rPr>
                <w:rFonts w:ascii="Arial"/>
                <w:b/>
                <w:sz w:val="24"/>
              </w:rPr>
            </w:pPr>
          </w:p>
          <w:p w14:paraId="40FE183E" w14:textId="77777777" w:rsidR="008C20EB" w:rsidRDefault="008D25BE">
            <w:pPr>
              <w:pStyle w:val="TableParagraph"/>
              <w:numPr>
                <w:ilvl w:val="0"/>
                <w:numId w:val="66"/>
              </w:numPr>
              <w:tabs>
                <w:tab w:val="left" w:pos="227"/>
              </w:tabs>
              <w:spacing w:line="250" w:lineRule="exact"/>
              <w:ind w:right="101" w:hanging="154"/>
              <w:jc w:val="both"/>
              <w:rPr>
                <w:b/>
              </w:rPr>
            </w:pPr>
            <w:r>
              <w:t>Asimismo, en el anexo N° 6 “Reporte Crediticio de Deudores”- RCD se incorpora las cuentas analíticas</w:t>
            </w:r>
            <w:r>
              <w:rPr>
                <w:spacing w:val="-5"/>
              </w:rPr>
              <w:t xml:space="preserve"> </w:t>
            </w:r>
            <w:r>
              <w:t>que</w:t>
            </w:r>
            <w:r>
              <w:rPr>
                <w:spacing w:val="-5"/>
              </w:rPr>
              <w:t xml:space="preserve"> </w:t>
            </w:r>
            <w:r>
              <w:t>se señalan</w:t>
            </w:r>
            <w:r>
              <w:rPr>
                <w:spacing w:val="-6"/>
              </w:rPr>
              <w:t xml:space="preserve"> </w:t>
            </w:r>
            <w:r>
              <w:t>anteriormente.</w:t>
            </w:r>
            <w:r>
              <w:rPr>
                <w:spacing w:val="-7"/>
              </w:rPr>
              <w:t xml:space="preserve"> </w:t>
            </w:r>
            <w:r>
              <w:t>La</w:t>
            </w:r>
            <w:r>
              <w:rPr>
                <w:spacing w:val="-1"/>
              </w:rPr>
              <w:t xml:space="preserve"> </w:t>
            </w:r>
            <w:r>
              <w:t>vigencia</w:t>
            </w:r>
            <w:r>
              <w:rPr>
                <w:spacing w:val="-6"/>
              </w:rPr>
              <w:t xml:space="preserve"> </w:t>
            </w:r>
            <w:r>
              <w:t>es</w:t>
            </w:r>
            <w:r>
              <w:rPr>
                <w:spacing w:val="-4"/>
              </w:rPr>
              <w:t xml:space="preserve"> </w:t>
            </w:r>
            <w:r>
              <w:t>a</w:t>
            </w:r>
            <w:r>
              <w:rPr>
                <w:spacing w:val="-6"/>
              </w:rPr>
              <w:t xml:space="preserve"> </w:t>
            </w:r>
            <w:r>
              <w:t>partir</w:t>
            </w:r>
            <w:r>
              <w:rPr>
                <w:spacing w:val="-3"/>
              </w:rPr>
              <w:t xml:space="preserve"> </w:t>
            </w:r>
            <w:r>
              <w:t>de la</w:t>
            </w:r>
            <w:r>
              <w:rPr>
                <w:spacing w:val="-1"/>
              </w:rPr>
              <w:t xml:space="preserve"> </w:t>
            </w:r>
            <w:r>
              <w:t>información</w:t>
            </w:r>
            <w:r>
              <w:rPr>
                <w:spacing w:val="-5"/>
              </w:rPr>
              <w:t xml:space="preserve"> </w:t>
            </w:r>
            <w:r>
              <w:t>de</w:t>
            </w:r>
            <w:r>
              <w:rPr>
                <w:spacing w:val="-4"/>
              </w:rPr>
              <w:t xml:space="preserve"> </w:t>
            </w:r>
            <w:r>
              <w:rPr>
                <w:b/>
              </w:rPr>
              <w:t>marzo</w:t>
            </w:r>
            <w:r>
              <w:rPr>
                <w:b/>
                <w:spacing w:val="-5"/>
              </w:rPr>
              <w:t xml:space="preserve"> </w:t>
            </w:r>
            <w:r>
              <w:rPr>
                <w:b/>
              </w:rPr>
              <w:t>2016.</w:t>
            </w:r>
          </w:p>
        </w:tc>
      </w:tr>
      <w:tr w:rsidR="008C20EB" w14:paraId="40FE1848" w14:textId="77777777">
        <w:trPr>
          <w:trHeight w:val="1267"/>
        </w:trPr>
        <w:tc>
          <w:tcPr>
            <w:tcW w:w="1445" w:type="dxa"/>
          </w:tcPr>
          <w:p w14:paraId="40FE1840" w14:textId="77777777" w:rsidR="008C20EB" w:rsidRDefault="008D25BE">
            <w:pPr>
              <w:pStyle w:val="TableParagraph"/>
              <w:spacing w:line="242" w:lineRule="auto"/>
              <w:ind w:left="71" w:right="371"/>
              <w:jc w:val="both"/>
              <w:rPr>
                <w:b/>
              </w:rPr>
            </w:pPr>
            <w:r>
              <w:rPr>
                <w:b/>
              </w:rPr>
              <w:t>Resolución S.B.S.</w:t>
            </w:r>
          </w:p>
          <w:p w14:paraId="40FE1841" w14:textId="77777777" w:rsidR="008C20EB" w:rsidRDefault="008D25BE">
            <w:pPr>
              <w:pStyle w:val="TableParagraph"/>
              <w:spacing w:line="247" w:lineRule="exact"/>
              <w:ind w:left="71"/>
              <w:jc w:val="both"/>
              <w:rPr>
                <w:b/>
              </w:rPr>
            </w:pPr>
            <w:r>
              <w:rPr>
                <w:b/>
              </w:rPr>
              <w:t>N° 3544 - 2015</w:t>
            </w:r>
          </w:p>
        </w:tc>
        <w:tc>
          <w:tcPr>
            <w:tcW w:w="1733" w:type="dxa"/>
          </w:tcPr>
          <w:p w14:paraId="40FE1842" w14:textId="77777777" w:rsidR="008C20EB" w:rsidRDefault="008D25BE">
            <w:pPr>
              <w:pStyle w:val="TableParagraph"/>
              <w:tabs>
                <w:tab w:val="left" w:pos="1608"/>
              </w:tabs>
              <w:spacing w:line="242" w:lineRule="exact"/>
              <w:jc w:val="both"/>
              <w:rPr>
                <w:b/>
              </w:rPr>
            </w:pPr>
            <w:r>
              <w:rPr>
                <w:b/>
              </w:rPr>
              <w:t xml:space="preserve">(Pr.  </w:t>
            </w:r>
            <w:r>
              <w:rPr>
                <w:b/>
                <w:spacing w:val="44"/>
              </w:rPr>
              <w:t xml:space="preserve"> </w:t>
            </w:r>
            <w:r>
              <w:rPr>
                <w:b/>
              </w:rPr>
              <w:t>23.06.2015</w:t>
            </w:r>
            <w:r>
              <w:rPr>
                <w:b/>
              </w:rPr>
              <w:tab/>
              <w:t>/</w:t>
            </w:r>
          </w:p>
          <w:p w14:paraId="40FE1843" w14:textId="77777777" w:rsidR="008C20EB" w:rsidRDefault="008D25BE">
            <w:pPr>
              <w:pStyle w:val="TableParagraph"/>
              <w:spacing w:before="2"/>
              <w:jc w:val="both"/>
              <w:rPr>
                <w:b/>
              </w:rPr>
            </w:pPr>
            <w:r>
              <w:rPr>
                <w:b/>
              </w:rPr>
              <w:t>Pub. 28.06.2015)</w:t>
            </w:r>
          </w:p>
        </w:tc>
        <w:tc>
          <w:tcPr>
            <w:tcW w:w="3500" w:type="dxa"/>
          </w:tcPr>
          <w:p w14:paraId="40FE1844" w14:textId="77777777" w:rsidR="008C20EB" w:rsidRDefault="008D25BE">
            <w:pPr>
              <w:pStyle w:val="TableParagraph"/>
              <w:ind w:left="67"/>
              <w:jc w:val="both"/>
            </w:pPr>
            <w:r>
              <w:t>Como producto de la aprobación del Reglamento de Bancos de Inversión, se modifica el primer párrafo del numeral</w:t>
            </w:r>
            <w:r>
              <w:rPr>
                <w:spacing w:val="-32"/>
              </w:rPr>
              <w:t xml:space="preserve"> </w:t>
            </w:r>
            <w:r>
              <w:t>1</w:t>
            </w:r>
          </w:p>
          <w:p w14:paraId="40FE1845" w14:textId="77777777" w:rsidR="008C20EB" w:rsidRDefault="008D25BE">
            <w:pPr>
              <w:pStyle w:val="TableParagraph"/>
              <w:spacing w:line="250" w:lineRule="exact"/>
              <w:ind w:left="67"/>
              <w:jc w:val="both"/>
            </w:pPr>
            <w:r>
              <w:t>del literal B del Capítulo I</w:t>
            </w:r>
            <w:r>
              <w:rPr>
                <w:spacing w:val="-33"/>
              </w:rPr>
              <w:t xml:space="preserve"> </w:t>
            </w:r>
            <w:r>
              <w:t>“Disposiciones Generales” del Manual de</w:t>
            </w:r>
            <w:r>
              <w:rPr>
                <w:spacing w:val="-24"/>
              </w:rPr>
              <w:t xml:space="preserve"> </w:t>
            </w:r>
            <w:r>
              <w:t>Contabilidad.</w:t>
            </w:r>
          </w:p>
        </w:tc>
        <w:tc>
          <w:tcPr>
            <w:tcW w:w="8162" w:type="dxa"/>
          </w:tcPr>
          <w:p w14:paraId="40FE1846" w14:textId="77777777" w:rsidR="008C20EB" w:rsidRDefault="008D25BE">
            <w:pPr>
              <w:pStyle w:val="TableParagraph"/>
              <w:numPr>
                <w:ilvl w:val="0"/>
                <w:numId w:val="67"/>
              </w:numPr>
              <w:tabs>
                <w:tab w:val="left" w:pos="371"/>
              </w:tabs>
              <w:ind w:right="374"/>
              <w:jc w:val="both"/>
            </w:pPr>
            <w:r>
              <w:t>Incorpora</w:t>
            </w:r>
            <w:r>
              <w:rPr>
                <w:spacing w:val="-5"/>
              </w:rPr>
              <w:t xml:space="preserve"> </w:t>
            </w:r>
            <w:r>
              <w:t>que</w:t>
            </w:r>
            <w:r>
              <w:rPr>
                <w:spacing w:val="-3"/>
              </w:rPr>
              <w:t xml:space="preserve"> </w:t>
            </w:r>
            <w:r>
              <w:t>las</w:t>
            </w:r>
            <w:r>
              <w:rPr>
                <w:spacing w:val="-4"/>
              </w:rPr>
              <w:t xml:space="preserve"> </w:t>
            </w:r>
            <w:r>
              <w:t>empresas</w:t>
            </w:r>
            <w:r>
              <w:rPr>
                <w:spacing w:val="-3"/>
              </w:rPr>
              <w:t xml:space="preserve"> </w:t>
            </w:r>
            <w:r>
              <w:t>señaladas</w:t>
            </w:r>
            <w:r>
              <w:rPr>
                <w:spacing w:val="-3"/>
              </w:rPr>
              <w:t xml:space="preserve"> </w:t>
            </w:r>
            <w:r>
              <w:t>del</w:t>
            </w:r>
            <w:r>
              <w:rPr>
                <w:spacing w:val="-6"/>
              </w:rPr>
              <w:t xml:space="preserve"> </w:t>
            </w:r>
            <w:r>
              <w:t>literal</w:t>
            </w:r>
            <w:r>
              <w:rPr>
                <w:spacing w:val="-6"/>
              </w:rPr>
              <w:t xml:space="preserve"> </w:t>
            </w:r>
            <w:r>
              <w:t>C</w:t>
            </w:r>
            <w:r>
              <w:rPr>
                <w:spacing w:val="-5"/>
              </w:rPr>
              <w:t xml:space="preserve"> </w:t>
            </w:r>
            <w:r>
              <w:t>del</w:t>
            </w:r>
            <w:r>
              <w:rPr>
                <w:spacing w:val="-6"/>
              </w:rPr>
              <w:t xml:space="preserve"> </w:t>
            </w:r>
            <w:r>
              <w:t>artículo</w:t>
            </w:r>
            <w:r>
              <w:rPr>
                <w:spacing w:val="-5"/>
              </w:rPr>
              <w:t xml:space="preserve"> </w:t>
            </w:r>
            <w:r>
              <w:t>16°</w:t>
            </w:r>
            <w:r>
              <w:rPr>
                <w:spacing w:val="-6"/>
              </w:rPr>
              <w:t xml:space="preserve"> </w:t>
            </w:r>
            <w:r>
              <w:t>de</w:t>
            </w:r>
            <w:r>
              <w:rPr>
                <w:spacing w:val="1"/>
              </w:rPr>
              <w:t xml:space="preserve"> </w:t>
            </w:r>
            <w:r>
              <w:t>la</w:t>
            </w:r>
            <w:r>
              <w:rPr>
                <w:spacing w:val="-5"/>
              </w:rPr>
              <w:t xml:space="preserve"> </w:t>
            </w:r>
            <w:r>
              <w:t>Ley</w:t>
            </w:r>
            <w:r>
              <w:rPr>
                <w:spacing w:val="-3"/>
              </w:rPr>
              <w:t xml:space="preserve"> </w:t>
            </w:r>
            <w:r>
              <w:t>General,</w:t>
            </w:r>
            <w:r>
              <w:rPr>
                <w:spacing w:val="-3"/>
              </w:rPr>
              <w:t xml:space="preserve"> </w:t>
            </w:r>
            <w:r>
              <w:t>deben aplicar el Manual de</w:t>
            </w:r>
            <w:r>
              <w:rPr>
                <w:spacing w:val="-9"/>
              </w:rPr>
              <w:t xml:space="preserve"> </w:t>
            </w:r>
            <w:r>
              <w:t>Contabilidad.</w:t>
            </w:r>
          </w:p>
          <w:p w14:paraId="40FE1847" w14:textId="77777777" w:rsidR="008C20EB" w:rsidRDefault="008D25BE">
            <w:pPr>
              <w:pStyle w:val="TableParagraph"/>
              <w:numPr>
                <w:ilvl w:val="0"/>
                <w:numId w:val="67"/>
              </w:numPr>
              <w:tabs>
                <w:tab w:val="left" w:pos="371"/>
              </w:tabs>
              <w:ind w:hanging="285"/>
              <w:jc w:val="both"/>
              <w:rPr>
                <w:b/>
              </w:rPr>
            </w:pPr>
            <w:r>
              <w:t xml:space="preserve">La vigencia es a partir del </w:t>
            </w:r>
            <w:r>
              <w:rPr>
                <w:b/>
              </w:rPr>
              <w:t>mes de junio del</w:t>
            </w:r>
            <w:r>
              <w:rPr>
                <w:b/>
                <w:spacing w:val="-20"/>
              </w:rPr>
              <w:t xml:space="preserve"> </w:t>
            </w:r>
            <w:r>
              <w:rPr>
                <w:b/>
              </w:rPr>
              <w:t>2015.</w:t>
            </w:r>
          </w:p>
        </w:tc>
      </w:tr>
    </w:tbl>
    <w:p w14:paraId="40FE1849"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4E" w14:textId="77777777">
        <w:trPr>
          <w:trHeight w:val="254"/>
        </w:trPr>
        <w:tc>
          <w:tcPr>
            <w:tcW w:w="1445" w:type="dxa"/>
            <w:vAlign w:val="bottom"/>
          </w:tcPr>
          <w:p w14:paraId="40FE184A"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4B" w14:textId="77777777" w:rsidR="008C20EB" w:rsidRDefault="008D25BE">
            <w:pPr>
              <w:pStyle w:val="TableParagraph"/>
              <w:spacing w:line="234" w:lineRule="exact"/>
              <w:ind w:left="556"/>
              <w:jc w:val="both"/>
              <w:rPr>
                <w:b/>
              </w:rPr>
            </w:pPr>
            <w:r>
              <w:rPr>
                <w:b/>
              </w:rPr>
              <w:t>FECHA</w:t>
            </w:r>
          </w:p>
        </w:tc>
        <w:tc>
          <w:tcPr>
            <w:tcW w:w="3500" w:type="dxa"/>
            <w:vAlign w:val="bottom"/>
          </w:tcPr>
          <w:p w14:paraId="40FE184C"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4D" w14:textId="77777777" w:rsidR="008C20EB" w:rsidRDefault="008D25BE">
            <w:pPr>
              <w:pStyle w:val="TableParagraph"/>
              <w:spacing w:line="234" w:lineRule="exact"/>
              <w:ind w:left="3271" w:right="3265"/>
              <w:jc w:val="both"/>
              <w:rPr>
                <w:b/>
              </w:rPr>
            </w:pPr>
            <w:r>
              <w:rPr>
                <w:b/>
              </w:rPr>
              <w:t>MODIFICATORIAS</w:t>
            </w:r>
          </w:p>
        </w:tc>
      </w:tr>
      <w:tr w:rsidR="008C20EB" w14:paraId="40FE1858" w14:textId="77777777">
        <w:trPr>
          <w:trHeight w:val="2021"/>
        </w:trPr>
        <w:tc>
          <w:tcPr>
            <w:tcW w:w="1445" w:type="dxa"/>
          </w:tcPr>
          <w:p w14:paraId="40FE184F" w14:textId="77777777" w:rsidR="008C20EB" w:rsidRDefault="008D25BE">
            <w:pPr>
              <w:pStyle w:val="TableParagraph"/>
              <w:spacing w:line="237" w:lineRule="auto"/>
              <w:ind w:left="71" w:right="371"/>
              <w:jc w:val="both"/>
              <w:rPr>
                <w:b/>
              </w:rPr>
            </w:pPr>
            <w:r>
              <w:rPr>
                <w:b/>
              </w:rPr>
              <w:t>Resolución S.B.S.</w:t>
            </w:r>
          </w:p>
          <w:p w14:paraId="40FE1850" w14:textId="77777777" w:rsidR="008C20EB" w:rsidRDefault="008D25BE">
            <w:pPr>
              <w:pStyle w:val="TableParagraph"/>
              <w:ind w:left="71"/>
              <w:jc w:val="both"/>
              <w:rPr>
                <w:b/>
              </w:rPr>
            </w:pPr>
            <w:r>
              <w:rPr>
                <w:b/>
              </w:rPr>
              <w:t>N° 1928 - 2015</w:t>
            </w:r>
          </w:p>
        </w:tc>
        <w:tc>
          <w:tcPr>
            <w:tcW w:w="1733" w:type="dxa"/>
          </w:tcPr>
          <w:p w14:paraId="40FE1851" w14:textId="77777777" w:rsidR="008C20EB" w:rsidRDefault="008D25BE">
            <w:pPr>
              <w:pStyle w:val="TableParagraph"/>
              <w:tabs>
                <w:tab w:val="left" w:pos="1608"/>
              </w:tabs>
              <w:spacing w:line="240" w:lineRule="exact"/>
              <w:jc w:val="both"/>
              <w:rPr>
                <w:b/>
              </w:rPr>
            </w:pPr>
            <w:r>
              <w:rPr>
                <w:b/>
              </w:rPr>
              <w:t xml:space="preserve">(Pr.  </w:t>
            </w:r>
            <w:r>
              <w:rPr>
                <w:b/>
                <w:spacing w:val="47"/>
              </w:rPr>
              <w:t xml:space="preserve"> </w:t>
            </w:r>
            <w:r>
              <w:rPr>
                <w:b/>
              </w:rPr>
              <w:t>27.03.2015</w:t>
            </w:r>
            <w:r>
              <w:rPr>
                <w:b/>
              </w:rPr>
              <w:tab/>
              <w:t>/</w:t>
            </w:r>
          </w:p>
          <w:p w14:paraId="40FE1852" w14:textId="77777777" w:rsidR="008C20EB" w:rsidRDefault="008D25BE">
            <w:pPr>
              <w:pStyle w:val="TableParagraph"/>
              <w:spacing w:line="251" w:lineRule="exact"/>
              <w:jc w:val="both"/>
              <w:rPr>
                <w:b/>
              </w:rPr>
            </w:pPr>
            <w:r>
              <w:rPr>
                <w:b/>
              </w:rPr>
              <w:t>Pub. 28.03.2015)</w:t>
            </w:r>
          </w:p>
        </w:tc>
        <w:tc>
          <w:tcPr>
            <w:tcW w:w="3500" w:type="dxa"/>
          </w:tcPr>
          <w:p w14:paraId="40FE1853" w14:textId="77777777" w:rsidR="008C20EB" w:rsidRDefault="008D25BE">
            <w:pPr>
              <w:pStyle w:val="TableParagraph"/>
              <w:tabs>
                <w:tab w:val="left" w:pos="1574"/>
                <w:tab w:val="left" w:pos="2423"/>
                <w:tab w:val="left" w:pos="3288"/>
              </w:tabs>
              <w:ind w:left="177" w:right="58"/>
              <w:jc w:val="both"/>
            </w:pPr>
            <w:r>
              <w:t>Como producto de la aprobación del Reglamento para la Gestión del Riesgo Social y Ambiental, se modifica el Capítulo</w:t>
            </w:r>
            <w:r>
              <w:tab/>
              <w:t>V</w:t>
            </w:r>
            <w:r>
              <w:tab/>
            </w:r>
            <w:r>
              <w:rPr>
                <w:spacing w:val="-1"/>
              </w:rPr>
              <w:t xml:space="preserve">“Información </w:t>
            </w:r>
            <w:r>
              <w:t xml:space="preserve">Complementaria” del Manual de Contabilidad,    </w:t>
            </w:r>
            <w:r>
              <w:rPr>
                <w:spacing w:val="8"/>
              </w:rPr>
              <w:t xml:space="preserve"> </w:t>
            </w:r>
            <w:r>
              <w:t>incorporándose</w:t>
            </w:r>
            <w:r>
              <w:tab/>
            </w:r>
            <w:r>
              <w:rPr>
                <w:spacing w:val="-9"/>
              </w:rPr>
              <w:t xml:space="preserve">el </w:t>
            </w:r>
            <w:r>
              <w:t>Reporte N° 33 denominado</w:t>
            </w:r>
            <w:r>
              <w:rPr>
                <w:spacing w:val="16"/>
              </w:rPr>
              <w:t xml:space="preserve"> </w:t>
            </w:r>
            <w:r>
              <w:t>“Reporte</w:t>
            </w:r>
          </w:p>
          <w:p w14:paraId="40FE1854" w14:textId="77777777" w:rsidR="008C20EB" w:rsidRDefault="008D25BE">
            <w:pPr>
              <w:pStyle w:val="TableParagraph"/>
              <w:spacing w:line="245" w:lineRule="exact"/>
              <w:ind w:left="177"/>
              <w:jc w:val="both"/>
            </w:pPr>
            <w:r>
              <w:t>trimestral de riesgo social y ambiental”.</w:t>
            </w:r>
          </w:p>
        </w:tc>
        <w:tc>
          <w:tcPr>
            <w:tcW w:w="8162" w:type="dxa"/>
          </w:tcPr>
          <w:p w14:paraId="40FE1855" w14:textId="77777777" w:rsidR="008C20EB" w:rsidRDefault="008D25BE">
            <w:pPr>
              <w:pStyle w:val="TableParagraph"/>
              <w:numPr>
                <w:ilvl w:val="0"/>
                <w:numId w:val="68"/>
              </w:numPr>
              <w:tabs>
                <w:tab w:val="left" w:pos="371"/>
              </w:tabs>
              <w:spacing w:line="235" w:lineRule="auto"/>
              <w:ind w:right="218"/>
              <w:jc w:val="both"/>
            </w:pPr>
            <w:r>
              <w:t>Se aprueba el formato del Reporte N° 33 denominado “Reporte trimestral de riesgo social y ambiental”. La periodicidad del citado Reporte es trimestral, remitiéndose dentro de los</w:t>
            </w:r>
            <w:r>
              <w:rPr>
                <w:spacing w:val="-14"/>
              </w:rPr>
              <w:t xml:space="preserve"> </w:t>
            </w:r>
            <w:r>
              <w:t>quince</w:t>
            </w:r>
          </w:p>
          <w:p w14:paraId="40FE1856" w14:textId="77777777" w:rsidR="008C20EB" w:rsidRDefault="008D25BE">
            <w:pPr>
              <w:pStyle w:val="TableParagraph"/>
              <w:ind w:left="370" w:right="207"/>
              <w:jc w:val="both"/>
            </w:pPr>
            <w:r>
              <w:t>(15) días calendario posteriores al cierre del trimestre, a través del software “Submódulo de Captura y Validación Externa” (SUCAVE).</w:t>
            </w:r>
          </w:p>
          <w:p w14:paraId="40FE1857" w14:textId="77777777" w:rsidR="008C20EB" w:rsidRDefault="008D25BE">
            <w:pPr>
              <w:pStyle w:val="TableParagraph"/>
              <w:numPr>
                <w:ilvl w:val="0"/>
                <w:numId w:val="68"/>
              </w:numPr>
              <w:tabs>
                <w:tab w:val="left" w:pos="371"/>
              </w:tabs>
              <w:spacing w:line="268" w:lineRule="exact"/>
              <w:ind w:hanging="285"/>
              <w:jc w:val="both"/>
            </w:pPr>
            <w:r>
              <w:t xml:space="preserve">La vigencia es a partir de la información del cierre de </w:t>
            </w:r>
            <w:r>
              <w:rPr>
                <w:b/>
              </w:rPr>
              <w:t>marzo de</w:t>
            </w:r>
            <w:r>
              <w:rPr>
                <w:b/>
                <w:spacing w:val="-35"/>
              </w:rPr>
              <w:t xml:space="preserve"> </w:t>
            </w:r>
            <w:r>
              <w:rPr>
                <w:b/>
              </w:rPr>
              <w:t>2016</w:t>
            </w:r>
            <w:r>
              <w:t>.</w:t>
            </w:r>
          </w:p>
        </w:tc>
      </w:tr>
      <w:tr w:rsidR="008C20EB" w14:paraId="40FE1865" w14:textId="77777777">
        <w:trPr>
          <w:trHeight w:val="2270"/>
        </w:trPr>
        <w:tc>
          <w:tcPr>
            <w:tcW w:w="1445" w:type="dxa"/>
          </w:tcPr>
          <w:p w14:paraId="40FE1859" w14:textId="77777777" w:rsidR="008C20EB" w:rsidRDefault="008D25BE">
            <w:pPr>
              <w:pStyle w:val="TableParagraph"/>
              <w:spacing w:line="237" w:lineRule="exact"/>
              <w:ind w:left="71"/>
              <w:jc w:val="both"/>
              <w:rPr>
                <w:b/>
              </w:rPr>
            </w:pPr>
            <w:r>
              <w:rPr>
                <w:b/>
              </w:rPr>
              <w:t>Resolución</w:t>
            </w:r>
          </w:p>
          <w:p w14:paraId="40FE185A" w14:textId="77777777" w:rsidR="008C20EB" w:rsidRDefault="008D25BE">
            <w:pPr>
              <w:pStyle w:val="TableParagraph"/>
              <w:spacing w:before="2"/>
              <w:ind w:left="71"/>
              <w:jc w:val="both"/>
              <w:rPr>
                <w:b/>
              </w:rPr>
            </w:pPr>
            <w:r>
              <w:rPr>
                <w:b/>
              </w:rPr>
              <w:t>S.B.S.</w:t>
            </w:r>
          </w:p>
          <w:p w14:paraId="40FE185B" w14:textId="77777777" w:rsidR="008C20EB" w:rsidRDefault="008D25BE">
            <w:pPr>
              <w:pStyle w:val="TableParagraph"/>
              <w:spacing w:before="2"/>
              <w:ind w:left="71"/>
              <w:jc w:val="both"/>
              <w:rPr>
                <w:b/>
              </w:rPr>
            </w:pPr>
            <w:r>
              <w:rPr>
                <w:b/>
              </w:rPr>
              <w:t>N° 1782 - 2015</w:t>
            </w:r>
          </w:p>
        </w:tc>
        <w:tc>
          <w:tcPr>
            <w:tcW w:w="1733" w:type="dxa"/>
          </w:tcPr>
          <w:p w14:paraId="40FE185C" w14:textId="77777777" w:rsidR="008C20EB" w:rsidRDefault="008D25BE">
            <w:pPr>
              <w:pStyle w:val="TableParagraph"/>
              <w:tabs>
                <w:tab w:val="left" w:pos="1607"/>
              </w:tabs>
              <w:spacing w:line="237" w:lineRule="exact"/>
              <w:jc w:val="both"/>
              <w:rPr>
                <w:b/>
              </w:rPr>
            </w:pPr>
            <w:r>
              <w:rPr>
                <w:b/>
              </w:rPr>
              <w:t xml:space="preserve">(Pr.  </w:t>
            </w:r>
            <w:r>
              <w:rPr>
                <w:b/>
                <w:spacing w:val="45"/>
              </w:rPr>
              <w:t xml:space="preserve"> </w:t>
            </w:r>
            <w:r>
              <w:rPr>
                <w:b/>
              </w:rPr>
              <w:t>19.03.2015</w:t>
            </w:r>
            <w:r>
              <w:rPr>
                <w:b/>
              </w:rPr>
              <w:tab/>
              <w:t>/</w:t>
            </w:r>
          </w:p>
          <w:p w14:paraId="40FE185D" w14:textId="77777777" w:rsidR="008C20EB" w:rsidRDefault="008D25BE">
            <w:pPr>
              <w:pStyle w:val="TableParagraph"/>
              <w:spacing w:before="2"/>
              <w:jc w:val="both"/>
              <w:rPr>
                <w:b/>
              </w:rPr>
            </w:pPr>
            <w:r>
              <w:rPr>
                <w:b/>
              </w:rPr>
              <w:t>Pub. 21.03.2015)</w:t>
            </w:r>
          </w:p>
        </w:tc>
        <w:tc>
          <w:tcPr>
            <w:tcW w:w="3500" w:type="dxa"/>
          </w:tcPr>
          <w:p w14:paraId="40FE185E" w14:textId="77777777" w:rsidR="008C20EB" w:rsidRDefault="008D25BE">
            <w:pPr>
              <w:pStyle w:val="TableParagraph"/>
              <w:spacing w:line="237" w:lineRule="exact"/>
              <w:ind w:left="177"/>
              <w:jc w:val="both"/>
            </w:pPr>
            <w:r>
              <w:t>Modificar los Capítulos III “Catálogo de</w:t>
            </w:r>
          </w:p>
          <w:p w14:paraId="40FE185F" w14:textId="77777777" w:rsidR="008C20EB" w:rsidRDefault="008D25BE">
            <w:pPr>
              <w:pStyle w:val="TableParagraph"/>
              <w:spacing w:before="2"/>
              <w:ind w:left="177" w:right="63"/>
              <w:jc w:val="both"/>
            </w:pPr>
            <w:r>
              <w:t>Cuentas” y IV “Descripción y Dinámica de Cuentas” del Manual de Contabilidad, a efectos de recoger las modificaciones del tratamiento de los créditos hipotecarios para vivienda y</w:t>
            </w:r>
            <w:r>
              <w:rPr>
                <w:spacing w:val="-26"/>
              </w:rPr>
              <w:t xml:space="preserve"> </w:t>
            </w:r>
            <w:r>
              <w:t>sus garantías.</w:t>
            </w:r>
          </w:p>
        </w:tc>
        <w:tc>
          <w:tcPr>
            <w:tcW w:w="8162" w:type="dxa"/>
          </w:tcPr>
          <w:p w14:paraId="40FE1860" w14:textId="77777777" w:rsidR="008C20EB" w:rsidRDefault="008D25BE">
            <w:pPr>
              <w:pStyle w:val="TableParagraph"/>
              <w:numPr>
                <w:ilvl w:val="0"/>
                <w:numId w:val="69"/>
              </w:numPr>
              <w:tabs>
                <w:tab w:val="left" w:pos="371"/>
              </w:tabs>
              <w:spacing w:line="258" w:lineRule="exact"/>
              <w:ind w:hanging="285"/>
              <w:jc w:val="both"/>
            </w:pPr>
            <w:r>
              <w:t>Se incorporan las siguientes cuentas, así como sus</w:t>
            </w:r>
            <w:r>
              <w:rPr>
                <w:spacing w:val="-24"/>
              </w:rPr>
              <w:t xml:space="preserve"> </w:t>
            </w:r>
            <w:r>
              <w:t>descripciones:</w:t>
            </w:r>
          </w:p>
          <w:p w14:paraId="40FE1861" w14:textId="77777777" w:rsidR="008C20EB" w:rsidRDefault="008C20EB">
            <w:pPr>
              <w:pStyle w:val="TableParagraph"/>
              <w:spacing w:before="8"/>
              <w:jc w:val="both"/>
              <w:rPr>
                <w:rFonts w:ascii="Arial"/>
                <w:b/>
                <w:sz w:val="21"/>
              </w:rPr>
            </w:pPr>
          </w:p>
          <w:p w14:paraId="40FE1862" w14:textId="77777777" w:rsidR="008C20EB" w:rsidRDefault="008D25BE">
            <w:pPr>
              <w:pStyle w:val="TableParagraph"/>
              <w:tabs>
                <w:tab w:val="left" w:pos="2141"/>
              </w:tabs>
              <w:ind w:left="864" w:right="1190"/>
              <w:jc w:val="both"/>
            </w:pPr>
            <w:r>
              <w:t>8404.02.22</w:t>
            </w:r>
            <w:r>
              <w:tab/>
              <w:t>Cartas fianza que respaldan futura constitución de hipoteca 8404.04.03</w:t>
            </w:r>
            <w:r>
              <w:tab/>
              <w:t>Oro en lingotes en custodia de la empresa prestamista 8404.04.04</w:t>
            </w:r>
            <w:r>
              <w:tab/>
              <w:t>Cobertura de riesgo provista por el Fondo</w:t>
            </w:r>
            <w:r>
              <w:rPr>
                <w:spacing w:val="-37"/>
              </w:rPr>
              <w:t xml:space="preserve"> </w:t>
            </w:r>
            <w:r>
              <w:t>MIVIVIENDA S.A.</w:t>
            </w:r>
          </w:p>
          <w:p w14:paraId="40FE1863" w14:textId="77777777" w:rsidR="008C20EB" w:rsidRDefault="008C20EB">
            <w:pPr>
              <w:pStyle w:val="TableParagraph"/>
              <w:spacing w:before="9"/>
              <w:jc w:val="both"/>
              <w:rPr>
                <w:rFonts w:ascii="Arial"/>
                <w:b/>
                <w:sz w:val="21"/>
              </w:rPr>
            </w:pPr>
          </w:p>
          <w:p w14:paraId="40FE1864" w14:textId="77777777" w:rsidR="008C20EB" w:rsidRDefault="008D25BE">
            <w:pPr>
              <w:pStyle w:val="TableParagraph"/>
              <w:numPr>
                <w:ilvl w:val="0"/>
                <w:numId w:val="69"/>
              </w:numPr>
              <w:tabs>
                <w:tab w:val="left" w:pos="371"/>
              </w:tabs>
              <w:ind w:hanging="285"/>
              <w:jc w:val="both"/>
            </w:pPr>
            <w:r>
              <w:t>La vigencia es a partir de la información del mes de abril</w:t>
            </w:r>
            <w:r>
              <w:rPr>
                <w:spacing w:val="-21"/>
              </w:rPr>
              <w:t xml:space="preserve"> </w:t>
            </w:r>
            <w:r>
              <w:t>2015.</w:t>
            </w:r>
          </w:p>
        </w:tc>
      </w:tr>
      <w:tr w:rsidR="008C20EB" w14:paraId="40FE1870" w14:textId="77777777">
        <w:trPr>
          <w:trHeight w:val="2809"/>
        </w:trPr>
        <w:tc>
          <w:tcPr>
            <w:tcW w:w="1445" w:type="dxa"/>
          </w:tcPr>
          <w:p w14:paraId="40FE1866" w14:textId="77777777" w:rsidR="008C20EB" w:rsidRDefault="008D25BE">
            <w:pPr>
              <w:pStyle w:val="TableParagraph"/>
              <w:spacing w:line="237" w:lineRule="auto"/>
              <w:ind w:left="71" w:right="371"/>
              <w:jc w:val="both"/>
              <w:rPr>
                <w:b/>
              </w:rPr>
            </w:pPr>
            <w:r>
              <w:rPr>
                <w:b/>
              </w:rPr>
              <w:t>Resolución S.B.S.</w:t>
            </w:r>
          </w:p>
          <w:p w14:paraId="40FE1867" w14:textId="77777777" w:rsidR="008C20EB" w:rsidRDefault="008D25BE">
            <w:pPr>
              <w:pStyle w:val="TableParagraph"/>
              <w:ind w:left="71"/>
              <w:jc w:val="both"/>
              <w:rPr>
                <w:b/>
              </w:rPr>
            </w:pPr>
            <w:r>
              <w:rPr>
                <w:b/>
              </w:rPr>
              <w:t>N° 1465 - 2015</w:t>
            </w:r>
          </w:p>
        </w:tc>
        <w:tc>
          <w:tcPr>
            <w:tcW w:w="1733" w:type="dxa"/>
          </w:tcPr>
          <w:p w14:paraId="40FE1868" w14:textId="77777777" w:rsidR="008C20EB" w:rsidRDefault="008D25BE">
            <w:pPr>
              <w:pStyle w:val="TableParagraph"/>
              <w:tabs>
                <w:tab w:val="left" w:pos="1608"/>
              </w:tabs>
              <w:spacing w:line="241" w:lineRule="exact"/>
              <w:jc w:val="both"/>
              <w:rPr>
                <w:b/>
              </w:rPr>
            </w:pPr>
            <w:r>
              <w:rPr>
                <w:b/>
              </w:rPr>
              <w:t xml:space="preserve">(Pr.  </w:t>
            </w:r>
            <w:r>
              <w:rPr>
                <w:b/>
                <w:spacing w:val="46"/>
              </w:rPr>
              <w:t xml:space="preserve"> </w:t>
            </w:r>
            <w:r>
              <w:rPr>
                <w:b/>
              </w:rPr>
              <w:t>26.02.2015</w:t>
            </w:r>
            <w:r>
              <w:rPr>
                <w:b/>
              </w:rPr>
              <w:tab/>
              <w:t>/</w:t>
            </w:r>
          </w:p>
          <w:p w14:paraId="40FE1869" w14:textId="77777777" w:rsidR="008C20EB" w:rsidRDefault="008D25BE">
            <w:pPr>
              <w:pStyle w:val="TableParagraph"/>
              <w:spacing w:line="251" w:lineRule="exact"/>
              <w:jc w:val="both"/>
              <w:rPr>
                <w:b/>
              </w:rPr>
            </w:pPr>
            <w:r>
              <w:rPr>
                <w:b/>
              </w:rPr>
              <w:t>Pub. 05.03.2015)</w:t>
            </w:r>
          </w:p>
        </w:tc>
        <w:tc>
          <w:tcPr>
            <w:tcW w:w="3500" w:type="dxa"/>
          </w:tcPr>
          <w:p w14:paraId="40FE186A" w14:textId="77777777" w:rsidR="008C20EB" w:rsidRDefault="008D25BE">
            <w:pPr>
              <w:pStyle w:val="TableParagraph"/>
              <w:ind w:left="177" w:right="61"/>
              <w:jc w:val="both"/>
            </w:pPr>
            <w:r>
              <w:t>Modificar el Manual de Contabilidad, a efectos de adecuarlo a las nuevas disposiciones sobre créditos de consumo no revolventes que cuenten con contratos referidos a convenios de descuento por planilla de remuneraciones y pensiones. En tal sentido, se modifican los Capítulos III “Catálogo de Cuentas”, IV “Descripción y Dinámica de Cuentas” y V “Información</w:t>
            </w:r>
            <w:r>
              <w:rPr>
                <w:spacing w:val="-5"/>
              </w:rPr>
              <w:t xml:space="preserve"> </w:t>
            </w:r>
            <w:r>
              <w:t>Complementaria”.</w:t>
            </w:r>
          </w:p>
        </w:tc>
        <w:tc>
          <w:tcPr>
            <w:tcW w:w="8162" w:type="dxa"/>
          </w:tcPr>
          <w:p w14:paraId="40FE186B" w14:textId="77777777" w:rsidR="008C20EB" w:rsidRDefault="008D25BE">
            <w:pPr>
              <w:pStyle w:val="TableParagraph"/>
              <w:numPr>
                <w:ilvl w:val="0"/>
                <w:numId w:val="70"/>
              </w:numPr>
              <w:tabs>
                <w:tab w:val="left" w:pos="371"/>
              </w:tabs>
              <w:spacing w:line="258" w:lineRule="exact"/>
              <w:ind w:hanging="285"/>
              <w:jc w:val="both"/>
            </w:pPr>
            <w:r>
              <w:t>Se modifican las cuentas del rubro 14 “Créditos”. Asimismo, se modifica lo</w:t>
            </w:r>
            <w:r>
              <w:rPr>
                <w:spacing w:val="-31"/>
              </w:rPr>
              <w:t xml:space="preserve"> </w:t>
            </w:r>
            <w:r>
              <w:t>siguiente:</w:t>
            </w:r>
          </w:p>
          <w:p w14:paraId="40FE186C" w14:textId="77777777" w:rsidR="008C20EB" w:rsidRDefault="008D25BE">
            <w:pPr>
              <w:pStyle w:val="TableParagraph"/>
              <w:numPr>
                <w:ilvl w:val="1"/>
                <w:numId w:val="70"/>
              </w:numPr>
              <w:tabs>
                <w:tab w:val="left" w:pos="778"/>
                <w:tab w:val="left" w:pos="779"/>
              </w:tabs>
              <w:spacing w:before="2" w:line="237" w:lineRule="auto"/>
              <w:ind w:right="258" w:hanging="360"/>
              <w:jc w:val="both"/>
            </w:pPr>
            <w:r>
              <w:t>Modificación</w:t>
            </w:r>
            <w:r>
              <w:rPr>
                <w:spacing w:val="-5"/>
              </w:rPr>
              <w:t xml:space="preserve"> </w:t>
            </w:r>
            <w:r>
              <w:t>del</w:t>
            </w:r>
            <w:r>
              <w:rPr>
                <w:spacing w:val="-2"/>
              </w:rPr>
              <w:t xml:space="preserve"> </w:t>
            </w:r>
            <w:r>
              <w:t>Catálogo</w:t>
            </w:r>
            <w:r>
              <w:rPr>
                <w:spacing w:val="-4"/>
              </w:rPr>
              <w:t xml:space="preserve"> </w:t>
            </w:r>
            <w:r>
              <w:t>de</w:t>
            </w:r>
            <w:r>
              <w:rPr>
                <w:spacing w:val="-5"/>
              </w:rPr>
              <w:t xml:space="preserve"> </w:t>
            </w:r>
            <w:r>
              <w:t>Cuentas</w:t>
            </w:r>
            <w:r>
              <w:rPr>
                <w:spacing w:val="-4"/>
              </w:rPr>
              <w:t xml:space="preserve"> </w:t>
            </w:r>
            <w:r>
              <w:t>del</w:t>
            </w:r>
            <w:r>
              <w:rPr>
                <w:spacing w:val="-7"/>
              </w:rPr>
              <w:t xml:space="preserve"> </w:t>
            </w:r>
            <w:r>
              <w:t>Anexo</w:t>
            </w:r>
            <w:r>
              <w:rPr>
                <w:spacing w:val="-5"/>
              </w:rPr>
              <w:t xml:space="preserve"> </w:t>
            </w:r>
            <w:r>
              <w:t>N°</w:t>
            </w:r>
            <w:r>
              <w:rPr>
                <w:spacing w:val="-1"/>
              </w:rPr>
              <w:t xml:space="preserve"> </w:t>
            </w:r>
            <w:r>
              <w:t>6</w:t>
            </w:r>
            <w:r>
              <w:rPr>
                <w:spacing w:val="-1"/>
              </w:rPr>
              <w:t xml:space="preserve"> </w:t>
            </w:r>
            <w:r>
              <w:t>“Reporte</w:t>
            </w:r>
            <w:r>
              <w:rPr>
                <w:spacing w:val="-4"/>
              </w:rPr>
              <w:t xml:space="preserve"> </w:t>
            </w:r>
            <w:r>
              <w:t>Crediticio</w:t>
            </w:r>
            <w:r>
              <w:rPr>
                <w:spacing w:val="-5"/>
              </w:rPr>
              <w:t xml:space="preserve"> </w:t>
            </w:r>
            <w:r>
              <w:t>de</w:t>
            </w:r>
            <w:r>
              <w:rPr>
                <w:spacing w:val="-5"/>
              </w:rPr>
              <w:t xml:space="preserve"> </w:t>
            </w:r>
            <w:r>
              <w:t>Deudores”</w:t>
            </w:r>
            <w:r>
              <w:rPr>
                <w:spacing w:val="-8"/>
              </w:rPr>
              <w:t xml:space="preserve"> </w:t>
            </w:r>
            <w:r>
              <w:t xml:space="preserve">- </w:t>
            </w:r>
            <w:r>
              <w:rPr>
                <w:spacing w:val="-2"/>
              </w:rPr>
              <w:t>RCD</w:t>
            </w:r>
          </w:p>
          <w:p w14:paraId="40FE186D" w14:textId="77777777" w:rsidR="008C20EB" w:rsidRDefault="008D25BE">
            <w:pPr>
              <w:pStyle w:val="TableParagraph"/>
              <w:numPr>
                <w:ilvl w:val="1"/>
                <w:numId w:val="70"/>
              </w:numPr>
              <w:tabs>
                <w:tab w:val="left" w:pos="778"/>
                <w:tab w:val="left" w:pos="779"/>
              </w:tabs>
              <w:spacing w:before="2"/>
              <w:ind w:right="67" w:hanging="360"/>
              <w:jc w:val="both"/>
            </w:pPr>
            <w:r>
              <w:t xml:space="preserve">Modificación del formato de los Anexos N° 5 “Informe de Clasificación de Deudores y Provisiones”, N° 5-A “Resumen de Provisiones Procíclicas”, N° </w:t>
            </w:r>
            <w:r>
              <w:rPr>
                <w:spacing w:val="2"/>
              </w:rPr>
              <w:t xml:space="preserve">5-C </w:t>
            </w:r>
            <w:r>
              <w:t>“Informe de Clasificación</w:t>
            </w:r>
            <w:r>
              <w:rPr>
                <w:spacing w:val="-6"/>
              </w:rPr>
              <w:t xml:space="preserve"> </w:t>
            </w:r>
            <w:r>
              <w:t>de la</w:t>
            </w:r>
            <w:r>
              <w:rPr>
                <w:spacing w:val="-6"/>
              </w:rPr>
              <w:t xml:space="preserve"> </w:t>
            </w:r>
            <w:r>
              <w:t>Cartera</w:t>
            </w:r>
            <w:r>
              <w:rPr>
                <w:spacing w:val="-5"/>
              </w:rPr>
              <w:t xml:space="preserve"> </w:t>
            </w:r>
            <w:r>
              <w:t>Transferida</w:t>
            </w:r>
            <w:r>
              <w:rPr>
                <w:spacing w:val="-6"/>
              </w:rPr>
              <w:t xml:space="preserve"> </w:t>
            </w:r>
            <w:r>
              <w:t>en</w:t>
            </w:r>
            <w:r>
              <w:rPr>
                <w:spacing w:val="-5"/>
              </w:rPr>
              <w:t xml:space="preserve"> </w:t>
            </w:r>
            <w:r>
              <w:t>Fideicomiso”</w:t>
            </w:r>
            <w:r>
              <w:rPr>
                <w:spacing w:val="-12"/>
              </w:rPr>
              <w:t xml:space="preserve"> </w:t>
            </w:r>
            <w:r>
              <w:t>y N°</w:t>
            </w:r>
            <w:r>
              <w:rPr>
                <w:spacing w:val="-2"/>
              </w:rPr>
              <w:t xml:space="preserve"> </w:t>
            </w:r>
            <w:r>
              <w:t>5-C’</w:t>
            </w:r>
            <w:r>
              <w:rPr>
                <w:spacing w:val="-3"/>
              </w:rPr>
              <w:t xml:space="preserve"> </w:t>
            </w:r>
            <w:r>
              <w:t>“Resumen</w:t>
            </w:r>
            <w:r>
              <w:rPr>
                <w:spacing w:val="-5"/>
              </w:rPr>
              <w:t xml:space="preserve"> </w:t>
            </w:r>
            <w:r>
              <w:t>de</w:t>
            </w:r>
            <w:r>
              <w:rPr>
                <w:spacing w:val="-5"/>
              </w:rPr>
              <w:t xml:space="preserve"> </w:t>
            </w:r>
            <w:r>
              <w:t>Provisiones Procíclicas para la Cartera Transferida en Fideicomiso”. Asimismo, se modifican sus notas metodológicas.</w:t>
            </w:r>
          </w:p>
          <w:p w14:paraId="40FE186E" w14:textId="77777777" w:rsidR="008C20EB" w:rsidRDefault="008C20EB">
            <w:pPr>
              <w:pStyle w:val="TableParagraph"/>
              <w:spacing w:before="8"/>
              <w:jc w:val="both"/>
              <w:rPr>
                <w:rFonts w:ascii="Arial"/>
                <w:b/>
                <w:sz w:val="21"/>
              </w:rPr>
            </w:pPr>
          </w:p>
          <w:p w14:paraId="40FE186F" w14:textId="77777777" w:rsidR="008C20EB" w:rsidRDefault="008D25BE">
            <w:pPr>
              <w:pStyle w:val="TableParagraph"/>
              <w:numPr>
                <w:ilvl w:val="0"/>
                <w:numId w:val="70"/>
              </w:numPr>
              <w:tabs>
                <w:tab w:val="left" w:pos="371"/>
              </w:tabs>
              <w:ind w:hanging="285"/>
              <w:jc w:val="both"/>
            </w:pPr>
            <w:r>
              <w:t>La vigencia es a partir de la información del mes de mayo</w:t>
            </w:r>
            <w:r>
              <w:rPr>
                <w:spacing w:val="-23"/>
              </w:rPr>
              <w:t xml:space="preserve"> </w:t>
            </w:r>
            <w:r>
              <w:t>2015.</w:t>
            </w:r>
          </w:p>
        </w:tc>
      </w:tr>
      <w:tr w:rsidR="008C20EB" w14:paraId="40FE1878" w14:textId="77777777">
        <w:trPr>
          <w:trHeight w:val="1291"/>
        </w:trPr>
        <w:tc>
          <w:tcPr>
            <w:tcW w:w="1445" w:type="dxa"/>
          </w:tcPr>
          <w:p w14:paraId="40FE1871" w14:textId="77777777" w:rsidR="008C20EB" w:rsidRDefault="008D25BE">
            <w:pPr>
              <w:pStyle w:val="TableParagraph"/>
              <w:spacing w:line="237" w:lineRule="auto"/>
              <w:ind w:left="71" w:right="371"/>
              <w:jc w:val="both"/>
              <w:rPr>
                <w:b/>
              </w:rPr>
            </w:pPr>
            <w:r>
              <w:rPr>
                <w:b/>
              </w:rPr>
              <w:t>Resolución S.B.S.</w:t>
            </w:r>
          </w:p>
          <w:p w14:paraId="40FE1872" w14:textId="77777777" w:rsidR="008C20EB" w:rsidRDefault="008D25BE">
            <w:pPr>
              <w:pStyle w:val="TableParagraph"/>
              <w:ind w:left="71"/>
              <w:jc w:val="both"/>
              <w:rPr>
                <w:b/>
              </w:rPr>
            </w:pPr>
            <w:r>
              <w:rPr>
                <w:b/>
              </w:rPr>
              <w:t>N° 6415 - 2014</w:t>
            </w:r>
          </w:p>
        </w:tc>
        <w:tc>
          <w:tcPr>
            <w:tcW w:w="1733" w:type="dxa"/>
          </w:tcPr>
          <w:p w14:paraId="40FE1873" w14:textId="77777777" w:rsidR="008C20EB" w:rsidRDefault="008D25BE">
            <w:pPr>
              <w:pStyle w:val="TableParagraph"/>
              <w:tabs>
                <w:tab w:val="left" w:pos="1607"/>
              </w:tabs>
              <w:spacing w:line="240" w:lineRule="exact"/>
              <w:jc w:val="both"/>
              <w:rPr>
                <w:b/>
              </w:rPr>
            </w:pPr>
            <w:r>
              <w:rPr>
                <w:b/>
              </w:rPr>
              <w:t xml:space="preserve">(Pr.  </w:t>
            </w:r>
            <w:r>
              <w:rPr>
                <w:b/>
                <w:spacing w:val="44"/>
              </w:rPr>
              <w:t xml:space="preserve"> </w:t>
            </w:r>
            <w:r>
              <w:rPr>
                <w:b/>
              </w:rPr>
              <w:t>26.09.2014</w:t>
            </w:r>
            <w:r>
              <w:rPr>
                <w:b/>
              </w:rPr>
              <w:tab/>
              <w:t>/</w:t>
            </w:r>
          </w:p>
          <w:p w14:paraId="40FE1874" w14:textId="77777777" w:rsidR="008C20EB" w:rsidRDefault="008D25BE">
            <w:pPr>
              <w:pStyle w:val="TableParagraph"/>
              <w:spacing w:line="251" w:lineRule="exact"/>
              <w:jc w:val="both"/>
              <w:rPr>
                <w:b/>
              </w:rPr>
            </w:pPr>
            <w:r>
              <w:rPr>
                <w:b/>
              </w:rPr>
              <w:t>Pub. 28.09.2014)</w:t>
            </w:r>
          </w:p>
        </w:tc>
        <w:tc>
          <w:tcPr>
            <w:tcW w:w="3500" w:type="dxa"/>
          </w:tcPr>
          <w:p w14:paraId="40FE1875" w14:textId="77777777" w:rsidR="008C20EB" w:rsidRDefault="008D25BE">
            <w:pPr>
              <w:pStyle w:val="TableParagraph"/>
              <w:ind w:left="177" w:right="59"/>
              <w:jc w:val="both"/>
            </w:pPr>
            <w:r>
              <w:t>Se modifica el Manual de Contabilidad para las Empresas del Sistema Financiero, aprobando el formato del Reporte N° 11</w:t>
            </w:r>
          </w:p>
        </w:tc>
        <w:tc>
          <w:tcPr>
            <w:tcW w:w="8162" w:type="dxa"/>
          </w:tcPr>
          <w:p w14:paraId="40FE1876" w14:textId="77777777" w:rsidR="008C20EB" w:rsidRDefault="008D25BE">
            <w:pPr>
              <w:pStyle w:val="TableParagraph"/>
              <w:numPr>
                <w:ilvl w:val="0"/>
                <w:numId w:val="71"/>
              </w:numPr>
              <w:tabs>
                <w:tab w:val="left" w:pos="371"/>
              </w:tabs>
              <w:ind w:right="182"/>
              <w:jc w:val="both"/>
            </w:pPr>
            <w:r>
              <w:t>Se aprueba el formato del Reporte N° 11 “Activos Transferidos al Fondo de Seguro de Depósitos”</w:t>
            </w:r>
            <w:r>
              <w:rPr>
                <w:spacing w:val="-8"/>
              </w:rPr>
              <w:t xml:space="preserve"> </w:t>
            </w:r>
            <w:r>
              <w:t>,</w:t>
            </w:r>
            <w:r>
              <w:rPr>
                <w:spacing w:val="-6"/>
              </w:rPr>
              <w:t xml:space="preserve"> </w:t>
            </w:r>
            <w:r>
              <w:t>correspondiente</w:t>
            </w:r>
            <w:r>
              <w:rPr>
                <w:spacing w:val="-5"/>
              </w:rPr>
              <w:t xml:space="preserve"> </w:t>
            </w:r>
            <w:r>
              <w:t>a</w:t>
            </w:r>
            <w:r>
              <w:rPr>
                <w:spacing w:val="-5"/>
              </w:rPr>
              <w:t xml:space="preserve"> </w:t>
            </w:r>
            <w:r>
              <w:t>activos</w:t>
            </w:r>
            <w:r>
              <w:rPr>
                <w:spacing w:val="-3"/>
              </w:rPr>
              <w:t xml:space="preserve"> </w:t>
            </w:r>
            <w:r>
              <w:t>señalados</w:t>
            </w:r>
            <w:r>
              <w:rPr>
                <w:spacing w:val="-4"/>
              </w:rPr>
              <w:t xml:space="preserve"> </w:t>
            </w:r>
            <w:r>
              <w:t>en</w:t>
            </w:r>
            <w:r>
              <w:rPr>
                <w:spacing w:val="-4"/>
              </w:rPr>
              <w:t xml:space="preserve"> </w:t>
            </w:r>
            <w:r>
              <w:t>los</w:t>
            </w:r>
            <w:r>
              <w:rPr>
                <w:spacing w:val="-4"/>
              </w:rPr>
              <w:t xml:space="preserve"> </w:t>
            </w:r>
            <w:r>
              <w:t>numerales</w:t>
            </w:r>
            <w:r>
              <w:rPr>
                <w:spacing w:val="-4"/>
              </w:rPr>
              <w:t xml:space="preserve"> </w:t>
            </w:r>
            <w:r>
              <w:t>1</w:t>
            </w:r>
            <w:r>
              <w:rPr>
                <w:spacing w:val="-4"/>
              </w:rPr>
              <w:t xml:space="preserve"> </w:t>
            </w:r>
            <w:r>
              <w:t>y</w:t>
            </w:r>
            <w:r>
              <w:rPr>
                <w:spacing w:val="-4"/>
              </w:rPr>
              <w:t xml:space="preserve"> </w:t>
            </w:r>
            <w:r>
              <w:t>2</w:t>
            </w:r>
            <w:r>
              <w:rPr>
                <w:spacing w:val="-4"/>
              </w:rPr>
              <w:t xml:space="preserve"> </w:t>
            </w:r>
            <w:r>
              <w:t>del</w:t>
            </w:r>
            <w:r>
              <w:rPr>
                <w:spacing w:val="-6"/>
              </w:rPr>
              <w:t xml:space="preserve"> </w:t>
            </w:r>
            <w:r>
              <w:t>artículo</w:t>
            </w:r>
            <w:r>
              <w:rPr>
                <w:spacing w:val="-4"/>
              </w:rPr>
              <w:t xml:space="preserve"> </w:t>
            </w:r>
            <w:r>
              <w:t>13°</w:t>
            </w:r>
            <w:r>
              <w:rPr>
                <w:spacing w:val="-2"/>
              </w:rPr>
              <w:t xml:space="preserve"> </w:t>
            </w:r>
            <w:r>
              <w:t>de</w:t>
            </w:r>
            <w:r>
              <w:rPr>
                <w:spacing w:val="-5"/>
              </w:rPr>
              <w:t xml:space="preserve"> </w:t>
            </w:r>
            <w:r>
              <w:t>las normas para la cobertura, recursos y pago de imposiciones cubiertas del Fondo de Seguro de Depósitos aprobadas por la Resolución SBS N° 657-99 y sus</w:t>
            </w:r>
            <w:r>
              <w:rPr>
                <w:spacing w:val="-28"/>
              </w:rPr>
              <w:t xml:space="preserve"> </w:t>
            </w:r>
            <w:r>
              <w:t>modificatorias.</w:t>
            </w:r>
          </w:p>
          <w:p w14:paraId="40FE1877" w14:textId="77777777" w:rsidR="008C20EB" w:rsidRDefault="008D25BE">
            <w:pPr>
              <w:pStyle w:val="TableParagraph"/>
              <w:numPr>
                <w:ilvl w:val="0"/>
                <w:numId w:val="71"/>
              </w:numPr>
              <w:tabs>
                <w:tab w:val="left" w:pos="371"/>
              </w:tabs>
              <w:spacing w:line="256" w:lineRule="exact"/>
              <w:ind w:hanging="285"/>
              <w:jc w:val="both"/>
            </w:pPr>
            <w:r>
              <w:t>El primer envío corresponde a la información julio-diciembre</w:t>
            </w:r>
            <w:r>
              <w:rPr>
                <w:spacing w:val="-17"/>
              </w:rPr>
              <w:t xml:space="preserve"> </w:t>
            </w:r>
            <w:r>
              <w:t>2014.</w:t>
            </w:r>
          </w:p>
        </w:tc>
      </w:tr>
    </w:tbl>
    <w:p w14:paraId="40FE1879" w14:textId="77777777" w:rsidR="008C20EB" w:rsidRDefault="008C20EB">
      <w:pPr>
        <w:spacing w:line="256"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7E" w14:textId="77777777">
        <w:trPr>
          <w:trHeight w:val="254"/>
        </w:trPr>
        <w:tc>
          <w:tcPr>
            <w:tcW w:w="1445" w:type="dxa"/>
            <w:vAlign w:val="bottom"/>
          </w:tcPr>
          <w:p w14:paraId="40FE187A"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7B" w14:textId="77777777" w:rsidR="008C20EB" w:rsidRDefault="008D25BE">
            <w:pPr>
              <w:pStyle w:val="TableParagraph"/>
              <w:spacing w:line="234" w:lineRule="exact"/>
              <w:ind w:left="556"/>
              <w:jc w:val="both"/>
              <w:rPr>
                <w:b/>
              </w:rPr>
            </w:pPr>
            <w:r>
              <w:rPr>
                <w:b/>
              </w:rPr>
              <w:t>FECHA</w:t>
            </w:r>
          </w:p>
        </w:tc>
        <w:tc>
          <w:tcPr>
            <w:tcW w:w="3500" w:type="dxa"/>
            <w:vAlign w:val="bottom"/>
          </w:tcPr>
          <w:p w14:paraId="40FE187C"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7D" w14:textId="77777777" w:rsidR="008C20EB" w:rsidRDefault="008D25BE">
            <w:pPr>
              <w:pStyle w:val="TableParagraph"/>
              <w:spacing w:line="234" w:lineRule="exact"/>
              <w:ind w:left="3271" w:right="3265"/>
              <w:jc w:val="both"/>
              <w:rPr>
                <w:b/>
              </w:rPr>
            </w:pPr>
            <w:r>
              <w:rPr>
                <w:b/>
              </w:rPr>
              <w:t>MODIFICATORIAS</w:t>
            </w:r>
          </w:p>
        </w:tc>
      </w:tr>
      <w:tr w:rsidR="008C20EB" w14:paraId="40FE1892" w14:textId="77777777">
        <w:trPr>
          <w:trHeight w:val="3788"/>
        </w:trPr>
        <w:tc>
          <w:tcPr>
            <w:tcW w:w="1445" w:type="dxa"/>
          </w:tcPr>
          <w:p w14:paraId="40FE187F" w14:textId="77777777" w:rsidR="008C20EB" w:rsidRDefault="008D25BE">
            <w:pPr>
              <w:pStyle w:val="TableParagraph"/>
              <w:spacing w:line="237" w:lineRule="auto"/>
              <w:ind w:left="71" w:right="371"/>
              <w:jc w:val="both"/>
              <w:rPr>
                <w:b/>
              </w:rPr>
            </w:pPr>
            <w:r>
              <w:rPr>
                <w:b/>
              </w:rPr>
              <w:t>Resolución S.B.S.</w:t>
            </w:r>
          </w:p>
          <w:p w14:paraId="40FE1880" w14:textId="77777777" w:rsidR="008C20EB" w:rsidRDefault="008D25BE">
            <w:pPr>
              <w:pStyle w:val="TableParagraph"/>
              <w:ind w:left="71"/>
              <w:jc w:val="both"/>
              <w:rPr>
                <w:b/>
              </w:rPr>
            </w:pPr>
            <w:r>
              <w:rPr>
                <w:b/>
              </w:rPr>
              <w:t>N° 5254 - 2014</w:t>
            </w:r>
          </w:p>
        </w:tc>
        <w:tc>
          <w:tcPr>
            <w:tcW w:w="1733" w:type="dxa"/>
          </w:tcPr>
          <w:p w14:paraId="40FE1881" w14:textId="77777777" w:rsidR="008C20EB" w:rsidRDefault="008D25BE">
            <w:pPr>
              <w:pStyle w:val="TableParagraph"/>
              <w:tabs>
                <w:tab w:val="left" w:pos="1607"/>
              </w:tabs>
              <w:spacing w:line="240" w:lineRule="exact"/>
              <w:jc w:val="both"/>
              <w:rPr>
                <w:b/>
              </w:rPr>
            </w:pPr>
            <w:r>
              <w:rPr>
                <w:b/>
              </w:rPr>
              <w:t xml:space="preserve">(Pr.  </w:t>
            </w:r>
            <w:r>
              <w:rPr>
                <w:b/>
                <w:spacing w:val="44"/>
              </w:rPr>
              <w:t xml:space="preserve"> </w:t>
            </w:r>
            <w:r>
              <w:rPr>
                <w:b/>
              </w:rPr>
              <w:t>12.08.2014</w:t>
            </w:r>
            <w:r>
              <w:rPr>
                <w:b/>
              </w:rPr>
              <w:tab/>
              <w:t>/</w:t>
            </w:r>
          </w:p>
          <w:p w14:paraId="40FE1882" w14:textId="77777777" w:rsidR="008C20EB" w:rsidRDefault="008D25BE">
            <w:pPr>
              <w:pStyle w:val="TableParagraph"/>
              <w:spacing w:line="251" w:lineRule="exact"/>
              <w:jc w:val="both"/>
              <w:rPr>
                <w:b/>
              </w:rPr>
            </w:pPr>
            <w:r>
              <w:rPr>
                <w:b/>
              </w:rPr>
              <w:t>Pub. 15.08.2014)</w:t>
            </w:r>
          </w:p>
        </w:tc>
        <w:tc>
          <w:tcPr>
            <w:tcW w:w="3500" w:type="dxa"/>
          </w:tcPr>
          <w:p w14:paraId="40FE1883" w14:textId="77777777" w:rsidR="008C20EB" w:rsidRDefault="008D25BE">
            <w:pPr>
              <w:pStyle w:val="TableParagraph"/>
              <w:ind w:left="177" w:right="61"/>
              <w:jc w:val="both"/>
            </w:pPr>
            <w:r>
              <w:t>Se modifica el Reglamento para la Gestión del Riesgo de Liquidez, aprobado por la Resolución SBS N° 9075-2012 y sus normas modificatorias.</w:t>
            </w:r>
          </w:p>
          <w:p w14:paraId="40FE1884" w14:textId="77777777" w:rsidR="008C20EB" w:rsidRDefault="008C20EB">
            <w:pPr>
              <w:pStyle w:val="TableParagraph"/>
              <w:jc w:val="both"/>
              <w:rPr>
                <w:rFonts w:ascii="Arial"/>
                <w:b/>
                <w:sz w:val="24"/>
              </w:rPr>
            </w:pPr>
          </w:p>
          <w:p w14:paraId="40FE1885" w14:textId="77777777" w:rsidR="008C20EB" w:rsidRDefault="008C20EB">
            <w:pPr>
              <w:pStyle w:val="TableParagraph"/>
              <w:jc w:val="both"/>
              <w:rPr>
                <w:rFonts w:ascii="Arial"/>
                <w:b/>
                <w:sz w:val="24"/>
              </w:rPr>
            </w:pPr>
          </w:p>
          <w:p w14:paraId="40FE1886" w14:textId="77777777" w:rsidR="008C20EB" w:rsidRDefault="008C20EB">
            <w:pPr>
              <w:pStyle w:val="TableParagraph"/>
              <w:jc w:val="both"/>
              <w:rPr>
                <w:rFonts w:ascii="Arial"/>
                <w:b/>
                <w:sz w:val="24"/>
              </w:rPr>
            </w:pPr>
          </w:p>
          <w:p w14:paraId="40FE1887" w14:textId="77777777" w:rsidR="008C20EB" w:rsidRDefault="008C20EB">
            <w:pPr>
              <w:pStyle w:val="TableParagraph"/>
              <w:jc w:val="both"/>
              <w:rPr>
                <w:rFonts w:ascii="Arial"/>
                <w:b/>
                <w:sz w:val="24"/>
              </w:rPr>
            </w:pPr>
          </w:p>
          <w:p w14:paraId="40FE1888" w14:textId="77777777" w:rsidR="008C20EB" w:rsidRDefault="008C20EB">
            <w:pPr>
              <w:pStyle w:val="TableParagraph"/>
              <w:spacing w:before="10"/>
              <w:jc w:val="both"/>
              <w:rPr>
                <w:rFonts w:ascii="Arial"/>
                <w:b/>
                <w:sz w:val="34"/>
              </w:rPr>
            </w:pPr>
          </w:p>
          <w:p w14:paraId="40FE1889" w14:textId="77777777" w:rsidR="008C20EB" w:rsidRDefault="008D25BE">
            <w:pPr>
              <w:pStyle w:val="TableParagraph"/>
              <w:ind w:left="67" w:right="56"/>
              <w:jc w:val="both"/>
            </w:pPr>
            <w:r>
              <w:t>Se modifica el Manual de Contabilidad para las Empresas del Sistema Financiero, modificándose los Anexos 15- A, 15-B y 15-C</w:t>
            </w:r>
          </w:p>
        </w:tc>
        <w:tc>
          <w:tcPr>
            <w:tcW w:w="8162" w:type="dxa"/>
          </w:tcPr>
          <w:p w14:paraId="40FE188A" w14:textId="77777777" w:rsidR="008C20EB" w:rsidRDefault="008D25BE">
            <w:pPr>
              <w:pStyle w:val="TableParagraph"/>
              <w:numPr>
                <w:ilvl w:val="0"/>
                <w:numId w:val="72"/>
              </w:numPr>
              <w:tabs>
                <w:tab w:val="left" w:pos="284"/>
              </w:tabs>
              <w:spacing w:line="258" w:lineRule="exact"/>
              <w:ind w:right="2424" w:hanging="371"/>
              <w:jc w:val="both"/>
            </w:pPr>
            <w:r>
              <w:t>Se</w:t>
            </w:r>
            <w:r>
              <w:rPr>
                <w:spacing w:val="-5"/>
              </w:rPr>
              <w:t xml:space="preserve"> </w:t>
            </w:r>
            <w:r>
              <w:t>modifica</w:t>
            </w:r>
            <w:r>
              <w:rPr>
                <w:spacing w:val="-5"/>
              </w:rPr>
              <w:t xml:space="preserve"> </w:t>
            </w:r>
            <w:r>
              <w:t>el</w:t>
            </w:r>
            <w:r>
              <w:rPr>
                <w:spacing w:val="-2"/>
              </w:rPr>
              <w:t xml:space="preserve"> </w:t>
            </w:r>
            <w:r>
              <w:t>Reglamento para</w:t>
            </w:r>
            <w:r>
              <w:rPr>
                <w:spacing w:val="-5"/>
              </w:rPr>
              <w:t xml:space="preserve"> </w:t>
            </w:r>
            <w:r>
              <w:t>la</w:t>
            </w:r>
            <w:r>
              <w:rPr>
                <w:spacing w:val="-5"/>
              </w:rPr>
              <w:t xml:space="preserve"> </w:t>
            </w:r>
            <w:r>
              <w:t>Gestión</w:t>
            </w:r>
            <w:r>
              <w:rPr>
                <w:spacing w:val="-5"/>
              </w:rPr>
              <w:t xml:space="preserve"> </w:t>
            </w:r>
            <w:r>
              <w:t>del</w:t>
            </w:r>
            <w:r>
              <w:rPr>
                <w:spacing w:val="-2"/>
              </w:rPr>
              <w:t xml:space="preserve"> </w:t>
            </w:r>
            <w:r>
              <w:t>Riesgo</w:t>
            </w:r>
            <w:r>
              <w:rPr>
                <w:spacing w:val="-5"/>
              </w:rPr>
              <w:t xml:space="preserve"> </w:t>
            </w:r>
            <w:r>
              <w:t>de</w:t>
            </w:r>
            <w:r>
              <w:rPr>
                <w:spacing w:val="-5"/>
              </w:rPr>
              <w:t xml:space="preserve"> </w:t>
            </w:r>
            <w:r>
              <w:t>Liquidez:</w:t>
            </w:r>
          </w:p>
          <w:p w14:paraId="40FE188B" w14:textId="77777777" w:rsidR="008C20EB" w:rsidRDefault="008D25BE">
            <w:pPr>
              <w:pStyle w:val="TableParagraph"/>
              <w:numPr>
                <w:ilvl w:val="1"/>
                <w:numId w:val="72"/>
              </w:numPr>
              <w:tabs>
                <w:tab w:val="left" w:pos="345"/>
                <w:tab w:val="left" w:pos="346"/>
              </w:tabs>
              <w:spacing w:line="267" w:lineRule="exact"/>
              <w:ind w:right="2431" w:hanging="779"/>
              <w:jc w:val="both"/>
            </w:pPr>
            <w:r>
              <w:t>Se</w:t>
            </w:r>
            <w:r>
              <w:rPr>
                <w:spacing w:val="-6"/>
              </w:rPr>
              <w:t xml:space="preserve"> </w:t>
            </w:r>
            <w:r>
              <w:t>sustituye</w:t>
            </w:r>
            <w:r>
              <w:rPr>
                <w:spacing w:val="-5"/>
              </w:rPr>
              <w:t xml:space="preserve"> </w:t>
            </w:r>
            <w:r>
              <w:t>el</w:t>
            </w:r>
            <w:r>
              <w:rPr>
                <w:spacing w:val="-2"/>
              </w:rPr>
              <w:t xml:space="preserve"> </w:t>
            </w:r>
            <w:r>
              <w:t>primer</w:t>
            </w:r>
            <w:r>
              <w:rPr>
                <w:spacing w:val="-3"/>
              </w:rPr>
              <w:t xml:space="preserve"> </w:t>
            </w:r>
            <w:r>
              <w:t>guion</w:t>
            </w:r>
            <w:r>
              <w:rPr>
                <w:spacing w:val="-5"/>
              </w:rPr>
              <w:t xml:space="preserve"> </w:t>
            </w:r>
            <w:r>
              <w:t>del</w:t>
            </w:r>
            <w:r>
              <w:rPr>
                <w:spacing w:val="-3"/>
              </w:rPr>
              <w:t xml:space="preserve"> </w:t>
            </w:r>
            <w:r>
              <w:t>último</w:t>
            </w:r>
            <w:r>
              <w:rPr>
                <w:spacing w:val="-5"/>
              </w:rPr>
              <w:t xml:space="preserve"> </w:t>
            </w:r>
            <w:r>
              <w:t>párrafo</w:t>
            </w:r>
            <w:r>
              <w:rPr>
                <w:spacing w:val="-5"/>
              </w:rPr>
              <w:t xml:space="preserve"> </w:t>
            </w:r>
            <w:r>
              <w:t>del</w:t>
            </w:r>
            <w:r>
              <w:rPr>
                <w:spacing w:val="-2"/>
              </w:rPr>
              <w:t xml:space="preserve"> </w:t>
            </w:r>
            <w:r>
              <w:t>artículo</w:t>
            </w:r>
            <w:r>
              <w:rPr>
                <w:spacing w:val="-5"/>
              </w:rPr>
              <w:t xml:space="preserve"> </w:t>
            </w:r>
            <w:r>
              <w:t>18°</w:t>
            </w:r>
          </w:p>
          <w:p w14:paraId="40FE188C" w14:textId="77777777" w:rsidR="008C20EB" w:rsidRDefault="008D25BE">
            <w:pPr>
              <w:pStyle w:val="TableParagraph"/>
              <w:numPr>
                <w:ilvl w:val="1"/>
                <w:numId w:val="72"/>
              </w:numPr>
              <w:tabs>
                <w:tab w:val="left" w:pos="778"/>
                <w:tab w:val="left" w:pos="779"/>
              </w:tabs>
              <w:spacing w:line="267" w:lineRule="exact"/>
              <w:ind w:hanging="347"/>
              <w:jc w:val="both"/>
            </w:pPr>
            <w:r>
              <w:t>Se modifica el plazo de</w:t>
            </w:r>
            <w:r>
              <w:rPr>
                <w:spacing w:val="-18"/>
              </w:rPr>
              <w:t xml:space="preserve"> </w:t>
            </w:r>
            <w:r>
              <w:t>adecuación</w:t>
            </w:r>
          </w:p>
          <w:p w14:paraId="40FE188D" w14:textId="77777777" w:rsidR="008C20EB" w:rsidRDefault="008D25BE">
            <w:pPr>
              <w:pStyle w:val="TableParagraph"/>
              <w:numPr>
                <w:ilvl w:val="1"/>
                <w:numId w:val="72"/>
              </w:numPr>
              <w:tabs>
                <w:tab w:val="left" w:pos="778"/>
                <w:tab w:val="left" w:pos="779"/>
              </w:tabs>
              <w:spacing w:line="269" w:lineRule="exact"/>
              <w:ind w:hanging="347"/>
              <w:jc w:val="both"/>
            </w:pPr>
            <w:r>
              <w:t>Se sustituye el penúltimo párrafo del artículo</w:t>
            </w:r>
            <w:r>
              <w:rPr>
                <w:spacing w:val="-21"/>
              </w:rPr>
              <w:t xml:space="preserve"> </w:t>
            </w:r>
            <w:r>
              <w:t>30°</w:t>
            </w:r>
          </w:p>
          <w:p w14:paraId="40FE188E" w14:textId="77777777" w:rsidR="008C20EB" w:rsidRDefault="008C20EB">
            <w:pPr>
              <w:pStyle w:val="TableParagraph"/>
              <w:spacing w:before="7"/>
              <w:jc w:val="both"/>
              <w:rPr>
                <w:rFonts w:ascii="Arial"/>
                <w:b/>
                <w:sz w:val="21"/>
              </w:rPr>
            </w:pPr>
          </w:p>
          <w:p w14:paraId="40FE188F" w14:textId="77777777" w:rsidR="008C20EB" w:rsidRDefault="008D25BE">
            <w:pPr>
              <w:pStyle w:val="TableParagraph"/>
              <w:numPr>
                <w:ilvl w:val="0"/>
                <w:numId w:val="72"/>
              </w:numPr>
              <w:tabs>
                <w:tab w:val="left" w:pos="371"/>
              </w:tabs>
              <w:ind w:right="349"/>
              <w:jc w:val="both"/>
            </w:pPr>
            <w:r>
              <w:t>Se</w:t>
            </w:r>
            <w:r>
              <w:rPr>
                <w:spacing w:val="-6"/>
              </w:rPr>
              <w:t xml:space="preserve"> </w:t>
            </w:r>
            <w:r>
              <w:t>modifica</w:t>
            </w:r>
            <w:r>
              <w:rPr>
                <w:spacing w:val="-5"/>
              </w:rPr>
              <w:t xml:space="preserve"> </w:t>
            </w:r>
            <w:r>
              <w:t>el</w:t>
            </w:r>
            <w:r>
              <w:rPr>
                <w:spacing w:val="-2"/>
              </w:rPr>
              <w:t xml:space="preserve"> </w:t>
            </w:r>
            <w:r>
              <w:t>Capítulo</w:t>
            </w:r>
            <w:r>
              <w:rPr>
                <w:spacing w:val="-6"/>
              </w:rPr>
              <w:t xml:space="preserve"> </w:t>
            </w:r>
            <w:r>
              <w:t>V</w:t>
            </w:r>
            <w:r>
              <w:rPr>
                <w:spacing w:val="-2"/>
              </w:rPr>
              <w:t xml:space="preserve"> </w:t>
            </w:r>
            <w:r>
              <w:t>“Información</w:t>
            </w:r>
            <w:r>
              <w:rPr>
                <w:spacing w:val="-5"/>
              </w:rPr>
              <w:t xml:space="preserve"> </w:t>
            </w:r>
            <w:r>
              <w:t>Complementaria”</w:t>
            </w:r>
            <w:r>
              <w:rPr>
                <w:spacing w:val="-12"/>
              </w:rPr>
              <w:t xml:space="preserve"> </w:t>
            </w:r>
            <w:r>
              <w:t>del</w:t>
            </w:r>
            <w:r>
              <w:rPr>
                <w:spacing w:val="-3"/>
              </w:rPr>
              <w:t xml:space="preserve"> </w:t>
            </w:r>
            <w:r>
              <w:t>Manual</w:t>
            </w:r>
            <w:r>
              <w:rPr>
                <w:spacing w:val="-7"/>
              </w:rPr>
              <w:t xml:space="preserve"> </w:t>
            </w:r>
            <w:r>
              <w:t>de</w:t>
            </w:r>
            <w:r>
              <w:rPr>
                <w:spacing w:val="-5"/>
              </w:rPr>
              <w:t xml:space="preserve"> </w:t>
            </w:r>
            <w:r>
              <w:t>Contabilidad</w:t>
            </w:r>
            <w:r>
              <w:rPr>
                <w:spacing w:val="-5"/>
              </w:rPr>
              <w:t xml:space="preserve"> </w:t>
            </w:r>
            <w:r>
              <w:t>para</w:t>
            </w:r>
            <w:r>
              <w:rPr>
                <w:spacing w:val="-5"/>
              </w:rPr>
              <w:t xml:space="preserve"> </w:t>
            </w:r>
            <w:r>
              <w:t>las Empresas del Sistema</w:t>
            </w:r>
            <w:r>
              <w:rPr>
                <w:spacing w:val="-10"/>
              </w:rPr>
              <w:t xml:space="preserve"> </w:t>
            </w:r>
            <w:r>
              <w:t>Financiero:</w:t>
            </w:r>
          </w:p>
          <w:p w14:paraId="40FE1890" w14:textId="77777777" w:rsidR="008C20EB" w:rsidRDefault="008D25BE">
            <w:pPr>
              <w:pStyle w:val="TableParagraph"/>
              <w:numPr>
                <w:ilvl w:val="1"/>
                <w:numId w:val="72"/>
              </w:numPr>
              <w:tabs>
                <w:tab w:val="left" w:pos="778"/>
                <w:tab w:val="left" w:pos="779"/>
              </w:tabs>
              <w:spacing w:before="2" w:line="267" w:lineRule="exact"/>
              <w:ind w:hanging="347"/>
              <w:jc w:val="both"/>
            </w:pPr>
            <w:r>
              <w:t>Se modifican filas y notas metodológicas de los Anexos 15-A, 15-B y</w:t>
            </w:r>
            <w:r>
              <w:rPr>
                <w:spacing w:val="-25"/>
              </w:rPr>
              <w:t xml:space="preserve"> </w:t>
            </w:r>
            <w:r>
              <w:t>15-C</w:t>
            </w:r>
          </w:p>
          <w:p w14:paraId="40FE1891" w14:textId="77777777" w:rsidR="008C20EB" w:rsidRDefault="008D25BE">
            <w:pPr>
              <w:pStyle w:val="TableParagraph"/>
              <w:numPr>
                <w:ilvl w:val="0"/>
                <w:numId w:val="72"/>
              </w:numPr>
              <w:tabs>
                <w:tab w:val="left" w:pos="371"/>
              </w:tabs>
              <w:spacing w:line="237" w:lineRule="auto"/>
              <w:ind w:right="257"/>
              <w:jc w:val="both"/>
            </w:pPr>
            <w:r>
              <w:t>Estos cambios entran en vigencia el 01 de setiembre de 2014, salvo lo referente a la presentación</w:t>
            </w:r>
            <w:r>
              <w:rPr>
                <w:spacing w:val="-5"/>
              </w:rPr>
              <w:t xml:space="preserve"> </w:t>
            </w:r>
            <w:r>
              <w:t>del</w:t>
            </w:r>
            <w:r>
              <w:rPr>
                <w:spacing w:val="-6"/>
              </w:rPr>
              <w:t xml:space="preserve"> </w:t>
            </w:r>
            <w:r>
              <w:t>Anexo</w:t>
            </w:r>
            <w:r>
              <w:rPr>
                <w:spacing w:val="-5"/>
              </w:rPr>
              <w:t xml:space="preserve"> </w:t>
            </w:r>
            <w:r>
              <w:t>N°</w:t>
            </w:r>
            <w:r>
              <w:rPr>
                <w:spacing w:val="-6"/>
              </w:rPr>
              <w:t xml:space="preserve"> </w:t>
            </w:r>
            <w:r>
              <w:t>15-C</w:t>
            </w:r>
            <w:r>
              <w:rPr>
                <w:spacing w:val="-1"/>
              </w:rPr>
              <w:t xml:space="preserve"> </w:t>
            </w:r>
            <w:r>
              <w:t>“Posición</w:t>
            </w:r>
            <w:r>
              <w:rPr>
                <w:spacing w:val="-5"/>
              </w:rPr>
              <w:t xml:space="preserve"> </w:t>
            </w:r>
            <w:r>
              <w:t>Mensual</w:t>
            </w:r>
            <w:r>
              <w:rPr>
                <w:spacing w:val="-2"/>
              </w:rPr>
              <w:t xml:space="preserve"> </w:t>
            </w:r>
            <w:r>
              <w:t>de</w:t>
            </w:r>
            <w:r>
              <w:rPr>
                <w:spacing w:val="-5"/>
              </w:rPr>
              <w:t xml:space="preserve"> </w:t>
            </w:r>
            <w:r>
              <w:t>Liquidez”</w:t>
            </w:r>
            <w:r>
              <w:rPr>
                <w:spacing w:val="-6"/>
              </w:rPr>
              <w:t xml:space="preserve"> </w:t>
            </w:r>
            <w:r>
              <w:t>que</w:t>
            </w:r>
            <w:r>
              <w:rPr>
                <w:spacing w:val="-2"/>
              </w:rPr>
              <w:t xml:space="preserve"> </w:t>
            </w:r>
            <w:r>
              <w:t>entra</w:t>
            </w:r>
            <w:r>
              <w:rPr>
                <w:spacing w:val="-4"/>
              </w:rPr>
              <w:t xml:space="preserve"> </w:t>
            </w:r>
            <w:r>
              <w:t>en</w:t>
            </w:r>
            <w:r>
              <w:rPr>
                <w:spacing w:val="-5"/>
              </w:rPr>
              <w:t xml:space="preserve"> </w:t>
            </w:r>
            <w:r>
              <w:t>vigencia</w:t>
            </w:r>
            <w:r>
              <w:rPr>
                <w:spacing w:val="-5"/>
              </w:rPr>
              <w:t xml:space="preserve"> </w:t>
            </w:r>
            <w:r>
              <w:t>para</w:t>
            </w:r>
            <w:r>
              <w:rPr>
                <w:spacing w:val="-4"/>
              </w:rPr>
              <w:t xml:space="preserve"> </w:t>
            </w:r>
            <w:r>
              <w:t>la información correspondiente al mes de setiembre de</w:t>
            </w:r>
            <w:r>
              <w:rPr>
                <w:spacing w:val="-22"/>
              </w:rPr>
              <w:t xml:space="preserve"> </w:t>
            </w:r>
            <w:r>
              <w:t>2014.</w:t>
            </w:r>
          </w:p>
        </w:tc>
      </w:tr>
      <w:tr w:rsidR="008C20EB" w14:paraId="40FE18A8" w14:textId="77777777">
        <w:trPr>
          <w:trHeight w:val="5051"/>
        </w:trPr>
        <w:tc>
          <w:tcPr>
            <w:tcW w:w="1445" w:type="dxa"/>
          </w:tcPr>
          <w:p w14:paraId="40FE1893" w14:textId="77777777" w:rsidR="008C20EB" w:rsidRDefault="008D25BE">
            <w:pPr>
              <w:pStyle w:val="TableParagraph"/>
              <w:spacing w:line="237" w:lineRule="auto"/>
              <w:ind w:left="71" w:right="42"/>
              <w:jc w:val="both"/>
              <w:rPr>
                <w:b/>
              </w:rPr>
            </w:pPr>
            <w:r>
              <w:rPr>
                <w:b/>
              </w:rPr>
              <w:t>Resolución SBS N° 4128-</w:t>
            </w:r>
          </w:p>
          <w:p w14:paraId="40FE1894" w14:textId="77777777" w:rsidR="008C20EB" w:rsidRDefault="008D25BE">
            <w:pPr>
              <w:pStyle w:val="TableParagraph"/>
              <w:ind w:left="71"/>
              <w:jc w:val="both"/>
              <w:rPr>
                <w:b/>
              </w:rPr>
            </w:pPr>
            <w:r>
              <w:rPr>
                <w:b/>
              </w:rPr>
              <w:t>2014</w:t>
            </w:r>
          </w:p>
        </w:tc>
        <w:tc>
          <w:tcPr>
            <w:tcW w:w="1733" w:type="dxa"/>
          </w:tcPr>
          <w:p w14:paraId="40FE1895"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01.07.2014</w:t>
            </w:r>
            <w:r>
              <w:rPr>
                <w:b/>
              </w:rPr>
              <w:tab/>
              <w:t>/</w:t>
            </w:r>
          </w:p>
          <w:p w14:paraId="40FE1896" w14:textId="77777777" w:rsidR="008C20EB" w:rsidRDefault="008D25BE">
            <w:pPr>
              <w:pStyle w:val="TableParagraph"/>
              <w:spacing w:line="251" w:lineRule="exact"/>
              <w:jc w:val="both"/>
              <w:rPr>
                <w:b/>
              </w:rPr>
            </w:pPr>
            <w:r>
              <w:rPr>
                <w:b/>
              </w:rPr>
              <w:t>Pub. 04.07.2014)</w:t>
            </w:r>
          </w:p>
        </w:tc>
        <w:tc>
          <w:tcPr>
            <w:tcW w:w="3500" w:type="dxa"/>
          </w:tcPr>
          <w:p w14:paraId="40FE1897" w14:textId="77777777" w:rsidR="008C20EB" w:rsidRDefault="008D25BE">
            <w:pPr>
              <w:pStyle w:val="TableParagraph"/>
              <w:ind w:left="177" w:right="64"/>
              <w:jc w:val="both"/>
            </w:pPr>
            <w:r>
              <w:t>Se modifica el Manual de Contabilidad con el fin de adecuar al Reglamento de Operaciones con Dinero Electrónico, así como al Reglamento de las Empresas Emisoras de Dinero Electrónico.</w:t>
            </w:r>
          </w:p>
          <w:p w14:paraId="40FE1898" w14:textId="77777777" w:rsidR="008C20EB" w:rsidRDefault="008C20EB">
            <w:pPr>
              <w:pStyle w:val="TableParagraph"/>
              <w:spacing w:before="9"/>
              <w:jc w:val="both"/>
              <w:rPr>
                <w:rFonts w:ascii="Arial"/>
                <w:b/>
                <w:sz w:val="20"/>
              </w:rPr>
            </w:pPr>
          </w:p>
          <w:p w14:paraId="40FE1899" w14:textId="77777777" w:rsidR="008C20EB" w:rsidRDefault="008D25BE">
            <w:pPr>
              <w:pStyle w:val="TableParagraph"/>
              <w:tabs>
                <w:tab w:val="left" w:pos="1746"/>
                <w:tab w:val="left" w:pos="2481"/>
              </w:tabs>
              <w:ind w:left="177" w:right="66"/>
              <w:jc w:val="both"/>
            </w:pPr>
            <w:r>
              <w:t>Se modifica el Capítulo II “Estados Financieros</w:t>
            </w:r>
            <w:r>
              <w:tab/>
              <w:t>e</w:t>
            </w:r>
            <w:r>
              <w:tab/>
            </w:r>
            <w:r>
              <w:rPr>
                <w:spacing w:val="-1"/>
              </w:rPr>
              <w:t xml:space="preserve">Información </w:t>
            </w:r>
            <w:r>
              <w:t>Complementaria”.</w:t>
            </w:r>
          </w:p>
          <w:p w14:paraId="40FE189A" w14:textId="77777777" w:rsidR="008C20EB" w:rsidRDefault="008C20EB">
            <w:pPr>
              <w:pStyle w:val="TableParagraph"/>
              <w:spacing w:before="5"/>
              <w:jc w:val="both"/>
              <w:rPr>
                <w:rFonts w:ascii="Arial"/>
                <w:b/>
              </w:rPr>
            </w:pPr>
          </w:p>
          <w:p w14:paraId="40FE189B" w14:textId="77777777" w:rsidR="008C20EB" w:rsidRDefault="008D25BE">
            <w:pPr>
              <w:pStyle w:val="TableParagraph"/>
              <w:spacing w:line="237" w:lineRule="auto"/>
              <w:ind w:left="177" w:right="65"/>
              <w:jc w:val="both"/>
            </w:pPr>
            <w:r>
              <w:t>Se modifica el Capítulo III “Catálogo de Cuentas”.</w:t>
            </w:r>
          </w:p>
          <w:p w14:paraId="40FE189C" w14:textId="77777777" w:rsidR="008C20EB" w:rsidRDefault="008C20EB">
            <w:pPr>
              <w:pStyle w:val="TableParagraph"/>
              <w:spacing w:before="11"/>
              <w:jc w:val="both"/>
              <w:rPr>
                <w:rFonts w:ascii="Arial"/>
                <w:b/>
                <w:sz w:val="21"/>
              </w:rPr>
            </w:pPr>
          </w:p>
          <w:p w14:paraId="40FE189D" w14:textId="77777777" w:rsidR="008C20EB" w:rsidRDefault="008D25BE">
            <w:pPr>
              <w:pStyle w:val="TableParagraph"/>
              <w:ind w:left="177" w:right="60"/>
              <w:jc w:val="both"/>
            </w:pPr>
            <w:r>
              <w:t>Se modifica el Capítulo IV “Descripción y Dinámica de</w:t>
            </w:r>
            <w:r>
              <w:rPr>
                <w:spacing w:val="-5"/>
              </w:rPr>
              <w:t xml:space="preserve"> </w:t>
            </w:r>
            <w:r>
              <w:t>Cuentas”.</w:t>
            </w:r>
          </w:p>
          <w:p w14:paraId="40FE189E" w14:textId="77777777" w:rsidR="008C20EB" w:rsidRDefault="008C20EB">
            <w:pPr>
              <w:pStyle w:val="TableParagraph"/>
              <w:jc w:val="both"/>
              <w:rPr>
                <w:rFonts w:ascii="Arial"/>
                <w:b/>
              </w:rPr>
            </w:pPr>
          </w:p>
          <w:p w14:paraId="40FE189F" w14:textId="77777777" w:rsidR="008C20EB" w:rsidRDefault="008D25BE">
            <w:pPr>
              <w:pStyle w:val="TableParagraph"/>
              <w:spacing w:line="242" w:lineRule="auto"/>
              <w:ind w:left="177" w:right="65"/>
              <w:jc w:val="both"/>
            </w:pPr>
            <w:r>
              <w:t>Se modifica el Capítulo V “Información Complementaria”.</w:t>
            </w:r>
          </w:p>
          <w:p w14:paraId="40FE18A0" w14:textId="77777777" w:rsidR="008C20EB" w:rsidRDefault="008C20EB">
            <w:pPr>
              <w:pStyle w:val="TableParagraph"/>
              <w:spacing w:before="8"/>
              <w:jc w:val="both"/>
              <w:rPr>
                <w:rFonts w:ascii="Arial"/>
                <w:b/>
                <w:sz w:val="21"/>
              </w:rPr>
            </w:pPr>
          </w:p>
          <w:p w14:paraId="40FE18A1" w14:textId="77777777" w:rsidR="008C20EB" w:rsidRDefault="008D25BE">
            <w:pPr>
              <w:pStyle w:val="TableParagraph"/>
              <w:spacing w:line="245" w:lineRule="exact"/>
              <w:ind w:left="177"/>
              <w:jc w:val="both"/>
            </w:pPr>
            <w:r>
              <w:t>La vigencia es a partir de la información</w:t>
            </w:r>
          </w:p>
        </w:tc>
        <w:tc>
          <w:tcPr>
            <w:tcW w:w="8162" w:type="dxa"/>
          </w:tcPr>
          <w:p w14:paraId="40FE18A2" w14:textId="77777777" w:rsidR="008C20EB" w:rsidRDefault="008D25BE">
            <w:pPr>
              <w:pStyle w:val="TableParagraph"/>
              <w:numPr>
                <w:ilvl w:val="0"/>
                <w:numId w:val="73"/>
              </w:numPr>
              <w:tabs>
                <w:tab w:val="left" w:pos="371"/>
              </w:tabs>
              <w:spacing w:line="235" w:lineRule="auto"/>
              <w:ind w:right="224"/>
              <w:jc w:val="both"/>
            </w:pPr>
            <w:r>
              <w:t>Se</w:t>
            </w:r>
            <w:r>
              <w:rPr>
                <w:spacing w:val="-6"/>
              </w:rPr>
              <w:t xml:space="preserve"> </w:t>
            </w:r>
            <w:r>
              <w:t>modifica</w:t>
            </w:r>
            <w:r>
              <w:rPr>
                <w:spacing w:val="-5"/>
              </w:rPr>
              <w:t xml:space="preserve"> </w:t>
            </w:r>
            <w:r>
              <w:t>el</w:t>
            </w:r>
            <w:r>
              <w:rPr>
                <w:spacing w:val="-3"/>
              </w:rPr>
              <w:t xml:space="preserve"> </w:t>
            </w:r>
            <w:r>
              <w:t>Anexo</w:t>
            </w:r>
            <w:r>
              <w:rPr>
                <w:spacing w:val="-5"/>
              </w:rPr>
              <w:t xml:space="preserve"> </w:t>
            </w:r>
            <w:r>
              <w:t>N°</w:t>
            </w:r>
            <w:r>
              <w:rPr>
                <w:spacing w:val="-8"/>
              </w:rPr>
              <w:t xml:space="preserve"> </w:t>
            </w:r>
            <w:r>
              <w:t>2B del</w:t>
            </w:r>
            <w:r>
              <w:rPr>
                <w:spacing w:val="-2"/>
              </w:rPr>
              <w:t xml:space="preserve"> </w:t>
            </w:r>
            <w:r>
              <w:t>Reglamento</w:t>
            </w:r>
            <w:r>
              <w:rPr>
                <w:spacing w:val="-1"/>
              </w:rPr>
              <w:t xml:space="preserve"> </w:t>
            </w:r>
            <w:r>
              <w:t>Para</w:t>
            </w:r>
            <w:r>
              <w:rPr>
                <w:spacing w:val="-6"/>
              </w:rPr>
              <w:t xml:space="preserve"> </w:t>
            </w:r>
            <w:r>
              <w:t>el</w:t>
            </w:r>
            <w:r>
              <w:rPr>
                <w:spacing w:val="-7"/>
              </w:rPr>
              <w:t xml:space="preserve"> </w:t>
            </w:r>
            <w:r>
              <w:t>Requerimiento</w:t>
            </w:r>
            <w:r>
              <w:rPr>
                <w:spacing w:val="-6"/>
              </w:rPr>
              <w:t xml:space="preserve"> </w:t>
            </w:r>
            <w:r>
              <w:t>de</w:t>
            </w:r>
            <w:r>
              <w:rPr>
                <w:spacing w:val="-1"/>
              </w:rPr>
              <w:t xml:space="preserve"> </w:t>
            </w:r>
            <w:r>
              <w:t>Patrimonio</w:t>
            </w:r>
            <w:r>
              <w:rPr>
                <w:spacing w:val="-1"/>
              </w:rPr>
              <w:t xml:space="preserve"> </w:t>
            </w:r>
            <w:r>
              <w:t>Efectivo</w:t>
            </w:r>
            <w:r>
              <w:rPr>
                <w:spacing w:val="-5"/>
              </w:rPr>
              <w:t xml:space="preserve"> </w:t>
            </w:r>
            <w:r>
              <w:t>por Riesgo</w:t>
            </w:r>
            <w:r>
              <w:rPr>
                <w:spacing w:val="-4"/>
              </w:rPr>
              <w:t xml:space="preserve"> </w:t>
            </w:r>
            <w:r>
              <w:t>Operacional</w:t>
            </w:r>
          </w:p>
          <w:p w14:paraId="40FE18A3" w14:textId="77777777" w:rsidR="008C20EB" w:rsidRDefault="008D25BE">
            <w:pPr>
              <w:pStyle w:val="TableParagraph"/>
              <w:numPr>
                <w:ilvl w:val="0"/>
                <w:numId w:val="73"/>
              </w:numPr>
              <w:tabs>
                <w:tab w:val="left" w:pos="371"/>
              </w:tabs>
              <w:spacing w:line="237" w:lineRule="auto"/>
              <w:ind w:right="151"/>
              <w:jc w:val="both"/>
            </w:pPr>
            <w:r>
              <w:t>Se modifican las normas de agrupación del Capítulo II “Estados Financieros e Información Complementaria”</w:t>
            </w:r>
            <w:r>
              <w:rPr>
                <w:spacing w:val="-8"/>
              </w:rPr>
              <w:t xml:space="preserve"> </w:t>
            </w:r>
            <w:r>
              <w:t>del</w:t>
            </w:r>
            <w:r>
              <w:rPr>
                <w:spacing w:val="-4"/>
              </w:rPr>
              <w:t xml:space="preserve"> </w:t>
            </w:r>
            <w:r>
              <w:t>Manual</w:t>
            </w:r>
            <w:r>
              <w:rPr>
                <w:spacing w:val="-7"/>
              </w:rPr>
              <w:t xml:space="preserve"> </w:t>
            </w:r>
            <w:r>
              <w:t>de</w:t>
            </w:r>
            <w:r>
              <w:rPr>
                <w:spacing w:val="-6"/>
              </w:rPr>
              <w:t xml:space="preserve"> </w:t>
            </w:r>
            <w:r>
              <w:t>Contabilidad</w:t>
            </w:r>
            <w:r>
              <w:rPr>
                <w:spacing w:val="-1"/>
              </w:rPr>
              <w:t xml:space="preserve"> </w:t>
            </w:r>
            <w:r>
              <w:t>para</w:t>
            </w:r>
            <w:r>
              <w:rPr>
                <w:spacing w:val="-7"/>
              </w:rPr>
              <w:t xml:space="preserve"> </w:t>
            </w:r>
            <w:r>
              <w:t>las</w:t>
            </w:r>
            <w:r>
              <w:rPr>
                <w:spacing w:val="-5"/>
              </w:rPr>
              <w:t xml:space="preserve"> </w:t>
            </w:r>
            <w:r>
              <w:t>Empresas</w:t>
            </w:r>
            <w:r>
              <w:rPr>
                <w:spacing w:val="-5"/>
              </w:rPr>
              <w:t xml:space="preserve"> </w:t>
            </w:r>
            <w:r>
              <w:t>del</w:t>
            </w:r>
            <w:r>
              <w:rPr>
                <w:spacing w:val="-7"/>
              </w:rPr>
              <w:t xml:space="preserve"> </w:t>
            </w:r>
            <w:r>
              <w:t>Sistema</w:t>
            </w:r>
            <w:r>
              <w:rPr>
                <w:spacing w:val="-2"/>
              </w:rPr>
              <w:t xml:space="preserve"> </w:t>
            </w:r>
            <w:r>
              <w:t>Financiero</w:t>
            </w:r>
            <w:r>
              <w:rPr>
                <w:spacing w:val="1"/>
              </w:rPr>
              <w:t xml:space="preserve"> </w:t>
            </w:r>
            <w:r>
              <w:t>Forma A y Forma</w:t>
            </w:r>
            <w:r>
              <w:rPr>
                <w:spacing w:val="-9"/>
              </w:rPr>
              <w:t xml:space="preserve"> </w:t>
            </w:r>
            <w:r>
              <w:t>B-1</w:t>
            </w:r>
          </w:p>
          <w:p w14:paraId="40FE18A4" w14:textId="77777777" w:rsidR="008C20EB" w:rsidRDefault="008D25BE">
            <w:pPr>
              <w:pStyle w:val="TableParagraph"/>
              <w:numPr>
                <w:ilvl w:val="0"/>
                <w:numId w:val="73"/>
              </w:numPr>
              <w:tabs>
                <w:tab w:val="left" w:pos="371"/>
              </w:tabs>
              <w:spacing w:before="2"/>
              <w:ind w:right="54"/>
              <w:jc w:val="both"/>
            </w:pPr>
            <w:r>
              <w:t>Se modifican los Capítulos III “Catálogo de Cuentas” y IV “Descripción y Dinámica de Cuentas” del Manual de Contabilidad para las Empresas del Sistema Financiero, con la finalidad de lograr una adecuada identificación y registro de las operaciones con dinero electrónico que realicen los emisores de dinero</w:t>
            </w:r>
            <w:r>
              <w:rPr>
                <w:spacing w:val="-9"/>
              </w:rPr>
              <w:t xml:space="preserve"> </w:t>
            </w:r>
            <w:r>
              <w:t>electrónico</w:t>
            </w:r>
          </w:p>
          <w:p w14:paraId="40FE18A5" w14:textId="77777777" w:rsidR="008C20EB" w:rsidRDefault="008D25BE">
            <w:pPr>
              <w:pStyle w:val="TableParagraph"/>
              <w:numPr>
                <w:ilvl w:val="0"/>
                <w:numId w:val="73"/>
              </w:numPr>
              <w:tabs>
                <w:tab w:val="left" w:pos="371"/>
              </w:tabs>
              <w:ind w:right="58"/>
              <w:jc w:val="both"/>
            </w:pPr>
            <w:r>
              <w:t>Se modifica el Capítulo V “Información Complementaria” del Manual de Contabilidad para las Empresas del Sistema</w:t>
            </w:r>
            <w:r>
              <w:rPr>
                <w:spacing w:val="-10"/>
              </w:rPr>
              <w:t xml:space="preserve"> </w:t>
            </w:r>
            <w:r>
              <w:t>Financiero:</w:t>
            </w:r>
          </w:p>
          <w:p w14:paraId="40FE18A6" w14:textId="77777777" w:rsidR="008C20EB" w:rsidRDefault="008D25BE">
            <w:pPr>
              <w:pStyle w:val="TableParagraph"/>
              <w:numPr>
                <w:ilvl w:val="1"/>
                <w:numId w:val="73"/>
              </w:numPr>
              <w:tabs>
                <w:tab w:val="left" w:pos="779"/>
              </w:tabs>
              <w:ind w:right="55" w:hanging="423"/>
              <w:jc w:val="both"/>
            </w:pPr>
            <w:r>
              <w:t xml:space="preserve">Se modifica </w:t>
            </w:r>
            <w:r>
              <w:rPr>
                <w:spacing w:val="3"/>
              </w:rPr>
              <w:t xml:space="preserve">el </w:t>
            </w:r>
            <w:r>
              <w:t>Anexo N° 7-A “Medición del Riesgo de Tasa de Interés – Ganancias en Riesgo” y el Anexo N° 7-B “Medición del Riesgo de Tasa de Interés – Valor Patrimonial en Riesgo”</w:t>
            </w:r>
          </w:p>
          <w:p w14:paraId="40FE18A7" w14:textId="77777777" w:rsidR="008C20EB" w:rsidRDefault="008D25BE">
            <w:pPr>
              <w:pStyle w:val="TableParagraph"/>
              <w:numPr>
                <w:ilvl w:val="1"/>
                <w:numId w:val="73"/>
              </w:numPr>
              <w:tabs>
                <w:tab w:val="left" w:pos="779"/>
              </w:tabs>
              <w:spacing w:line="269" w:lineRule="exact"/>
              <w:ind w:left="778" w:hanging="409"/>
              <w:jc w:val="both"/>
            </w:pPr>
            <w:r>
              <w:t>Se realizan modificaciones en los Anexos N° 15-A, 15-B, 15-C, 16-A y</w:t>
            </w:r>
            <w:r>
              <w:rPr>
                <w:spacing w:val="-36"/>
              </w:rPr>
              <w:t xml:space="preserve"> </w:t>
            </w:r>
            <w:r>
              <w:t>16-B.</w:t>
            </w:r>
          </w:p>
        </w:tc>
      </w:tr>
    </w:tbl>
    <w:p w14:paraId="40FE18A9" w14:textId="77777777" w:rsidR="008C20EB" w:rsidRDefault="008C20EB">
      <w:pPr>
        <w:spacing w:line="269"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AE" w14:textId="77777777">
        <w:trPr>
          <w:trHeight w:val="254"/>
        </w:trPr>
        <w:tc>
          <w:tcPr>
            <w:tcW w:w="1445" w:type="dxa"/>
            <w:vAlign w:val="bottom"/>
          </w:tcPr>
          <w:p w14:paraId="40FE18AA"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AB" w14:textId="77777777" w:rsidR="008C20EB" w:rsidRDefault="008D25BE">
            <w:pPr>
              <w:pStyle w:val="TableParagraph"/>
              <w:spacing w:line="234" w:lineRule="exact"/>
              <w:ind w:left="556"/>
              <w:jc w:val="both"/>
              <w:rPr>
                <w:b/>
              </w:rPr>
            </w:pPr>
            <w:r>
              <w:rPr>
                <w:b/>
              </w:rPr>
              <w:t>FECHA</w:t>
            </w:r>
          </w:p>
        </w:tc>
        <w:tc>
          <w:tcPr>
            <w:tcW w:w="3500" w:type="dxa"/>
            <w:vAlign w:val="bottom"/>
          </w:tcPr>
          <w:p w14:paraId="40FE18AC"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AD" w14:textId="77777777" w:rsidR="008C20EB" w:rsidRDefault="008D25BE">
            <w:pPr>
              <w:pStyle w:val="TableParagraph"/>
              <w:spacing w:line="234" w:lineRule="exact"/>
              <w:ind w:left="3271" w:right="3265"/>
              <w:jc w:val="both"/>
              <w:rPr>
                <w:b/>
              </w:rPr>
            </w:pPr>
            <w:r>
              <w:rPr>
                <w:b/>
              </w:rPr>
              <w:t>MODIFICATORIAS</w:t>
            </w:r>
          </w:p>
        </w:tc>
      </w:tr>
      <w:tr w:rsidR="008C20EB" w14:paraId="40FE18B3" w14:textId="77777777">
        <w:trPr>
          <w:trHeight w:val="428"/>
        </w:trPr>
        <w:tc>
          <w:tcPr>
            <w:tcW w:w="1445" w:type="dxa"/>
          </w:tcPr>
          <w:p w14:paraId="40FE18AF" w14:textId="77777777" w:rsidR="008C20EB" w:rsidRDefault="008C20EB">
            <w:pPr>
              <w:pStyle w:val="TableParagraph"/>
              <w:jc w:val="both"/>
              <w:rPr>
                <w:rFonts w:ascii="Times New Roman"/>
              </w:rPr>
            </w:pPr>
          </w:p>
        </w:tc>
        <w:tc>
          <w:tcPr>
            <w:tcW w:w="1733" w:type="dxa"/>
          </w:tcPr>
          <w:p w14:paraId="40FE18B0" w14:textId="77777777" w:rsidR="008C20EB" w:rsidRDefault="008C20EB">
            <w:pPr>
              <w:pStyle w:val="TableParagraph"/>
              <w:jc w:val="both"/>
              <w:rPr>
                <w:rFonts w:ascii="Times New Roman"/>
              </w:rPr>
            </w:pPr>
          </w:p>
        </w:tc>
        <w:tc>
          <w:tcPr>
            <w:tcW w:w="3500" w:type="dxa"/>
          </w:tcPr>
          <w:p w14:paraId="40FE18B1" w14:textId="77777777" w:rsidR="008C20EB" w:rsidRDefault="008D25BE">
            <w:pPr>
              <w:pStyle w:val="TableParagraph"/>
              <w:spacing w:line="242" w:lineRule="exact"/>
              <w:ind w:left="177"/>
              <w:jc w:val="both"/>
            </w:pPr>
            <w:r>
              <w:t>del mes de julio 2014.</w:t>
            </w:r>
          </w:p>
        </w:tc>
        <w:tc>
          <w:tcPr>
            <w:tcW w:w="8162" w:type="dxa"/>
          </w:tcPr>
          <w:p w14:paraId="40FE18B2" w14:textId="77777777" w:rsidR="008C20EB" w:rsidRDefault="008C20EB">
            <w:pPr>
              <w:pStyle w:val="TableParagraph"/>
              <w:jc w:val="both"/>
              <w:rPr>
                <w:rFonts w:ascii="Times New Roman"/>
              </w:rPr>
            </w:pPr>
          </w:p>
        </w:tc>
      </w:tr>
      <w:tr w:rsidR="008C20EB" w14:paraId="40FE18C9" w14:textId="77777777">
        <w:trPr>
          <w:trHeight w:val="745"/>
        </w:trPr>
        <w:tc>
          <w:tcPr>
            <w:tcW w:w="1445" w:type="dxa"/>
            <w:tcBorders>
              <w:bottom w:val="nil"/>
            </w:tcBorders>
          </w:tcPr>
          <w:p w14:paraId="40FE18B4" w14:textId="77777777" w:rsidR="008C20EB" w:rsidRDefault="008D25BE">
            <w:pPr>
              <w:pStyle w:val="TableParagraph"/>
              <w:spacing w:line="237" w:lineRule="exact"/>
              <w:ind w:left="71"/>
              <w:jc w:val="both"/>
              <w:rPr>
                <w:b/>
              </w:rPr>
            </w:pPr>
            <w:r>
              <w:rPr>
                <w:b/>
              </w:rPr>
              <w:t>Resolución</w:t>
            </w:r>
          </w:p>
          <w:p w14:paraId="40FE18B5" w14:textId="77777777" w:rsidR="008C20EB" w:rsidRDefault="008D25BE">
            <w:pPr>
              <w:pStyle w:val="TableParagraph"/>
              <w:spacing w:before="2"/>
              <w:ind w:left="71"/>
              <w:jc w:val="both"/>
              <w:rPr>
                <w:b/>
              </w:rPr>
            </w:pPr>
            <w:r>
              <w:rPr>
                <w:b/>
              </w:rPr>
              <w:t>SBS N° 3225-</w:t>
            </w:r>
          </w:p>
          <w:p w14:paraId="40FE18B6" w14:textId="77777777" w:rsidR="008C20EB" w:rsidRDefault="008D25BE">
            <w:pPr>
              <w:pStyle w:val="TableParagraph"/>
              <w:spacing w:before="2" w:line="232" w:lineRule="exact"/>
              <w:ind w:left="71"/>
              <w:jc w:val="both"/>
              <w:rPr>
                <w:b/>
              </w:rPr>
            </w:pPr>
            <w:r>
              <w:rPr>
                <w:b/>
              </w:rPr>
              <w:t>2014</w:t>
            </w:r>
          </w:p>
        </w:tc>
        <w:tc>
          <w:tcPr>
            <w:tcW w:w="1733" w:type="dxa"/>
            <w:tcBorders>
              <w:bottom w:val="nil"/>
            </w:tcBorders>
          </w:tcPr>
          <w:p w14:paraId="40FE18B7"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29.05.2014</w:t>
            </w:r>
            <w:r>
              <w:rPr>
                <w:b/>
              </w:rPr>
              <w:tab/>
              <w:t>/</w:t>
            </w:r>
          </w:p>
          <w:p w14:paraId="40FE18B8" w14:textId="77777777" w:rsidR="008C20EB" w:rsidRDefault="008D25BE">
            <w:pPr>
              <w:pStyle w:val="TableParagraph"/>
              <w:spacing w:before="2"/>
              <w:jc w:val="both"/>
              <w:rPr>
                <w:b/>
              </w:rPr>
            </w:pPr>
            <w:r>
              <w:rPr>
                <w:b/>
              </w:rPr>
              <w:t>Pub. 31.05.2014)</w:t>
            </w:r>
          </w:p>
        </w:tc>
        <w:tc>
          <w:tcPr>
            <w:tcW w:w="3500" w:type="dxa"/>
            <w:tcBorders>
              <w:bottom w:val="nil"/>
            </w:tcBorders>
          </w:tcPr>
          <w:p w14:paraId="40FE18B9" w14:textId="77777777" w:rsidR="008C20EB" w:rsidRDefault="008D25BE">
            <w:pPr>
              <w:pStyle w:val="TableParagraph"/>
              <w:spacing w:line="237" w:lineRule="exact"/>
              <w:ind w:left="177"/>
              <w:jc w:val="both"/>
            </w:pPr>
            <w:r>
              <w:t>Se modifica la tabla de empresas del</w:t>
            </w:r>
          </w:p>
          <w:p w14:paraId="40FE18BA" w14:textId="77777777" w:rsidR="008C20EB" w:rsidRDefault="008D25BE">
            <w:pPr>
              <w:pStyle w:val="TableParagraph"/>
              <w:spacing w:before="2"/>
              <w:ind w:left="177"/>
              <w:jc w:val="both"/>
            </w:pPr>
            <w:r>
              <w:t>Capítulo I “Disposiciones Generales”.</w:t>
            </w:r>
          </w:p>
        </w:tc>
        <w:tc>
          <w:tcPr>
            <w:tcW w:w="8162" w:type="dxa"/>
            <w:vMerge w:val="restart"/>
          </w:tcPr>
          <w:p w14:paraId="40FE18BB" w14:textId="77777777" w:rsidR="008C20EB" w:rsidRDefault="008D25BE">
            <w:pPr>
              <w:pStyle w:val="TableParagraph"/>
              <w:numPr>
                <w:ilvl w:val="0"/>
                <w:numId w:val="74"/>
              </w:numPr>
              <w:tabs>
                <w:tab w:val="left" w:pos="371"/>
              </w:tabs>
              <w:spacing w:line="258" w:lineRule="exact"/>
              <w:ind w:hanging="285"/>
              <w:jc w:val="both"/>
            </w:pPr>
            <w:r>
              <w:t>Se actualizan las tablas de empresas</w:t>
            </w:r>
            <w:r>
              <w:rPr>
                <w:spacing w:val="-7"/>
              </w:rPr>
              <w:t xml:space="preserve"> </w:t>
            </w:r>
            <w:r>
              <w:t>supervisadas.</w:t>
            </w:r>
          </w:p>
          <w:p w14:paraId="40FE18BC" w14:textId="77777777" w:rsidR="008C20EB" w:rsidRDefault="008C20EB">
            <w:pPr>
              <w:pStyle w:val="TableParagraph"/>
              <w:spacing w:before="7"/>
              <w:jc w:val="both"/>
              <w:rPr>
                <w:rFonts w:ascii="Arial"/>
                <w:b/>
                <w:sz w:val="21"/>
              </w:rPr>
            </w:pPr>
          </w:p>
          <w:p w14:paraId="40FE18BD" w14:textId="77777777" w:rsidR="008C20EB" w:rsidRDefault="008D25BE">
            <w:pPr>
              <w:pStyle w:val="TableParagraph"/>
              <w:numPr>
                <w:ilvl w:val="0"/>
                <w:numId w:val="74"/>
              </w:numPr>
              <w:tabs>
                <w:tab w:val="left" w:pos="371"/>
              </w:tabs>
              <w:ind w:right="57"/>
              <w:jc w:val="both"/>
            </w:pPr>
            <w:r>
              <w:t>Se incorpora la subcuenta 1102.05 Depósitos a plazo en el BCRP, la cuenta analítica 1302.05.12 Certificados de depósito negociables, la cuenta analítica 1304.05.12 Certificados de depósito negociables, la cuenta analítica 1305.05.12 Certificados de depósito negociables”, la subcuenta analítica 1309.04.05.12 Certificados de depósito negociables, la subcuenta analítica 1309.05.05.12 Certificados de depósito negociables, la subcuenta 2807.03 Certificados de depósito negociables y la cuenta analítica 5107.04.09</w:t>
            </w:r>
            <w:r>
              <w:t xml:space="preserve"> Créditos a Empresas del Sistema Financiero</w:t>
            </w:r>
          </w:p>
          <w:p w14:paraId="40FE18BE" w14:textId="77777777" w:rsidR="008C20EB" w:rsidRDefault="008C20EB">
            <w:pPr>
              <w:pStyle w:val="TableParagraph"/>
              <w:spacing w:before="3"/>
              <w:jc w:val="both"/>
              <w:rPr>
                <w:rFonts w:ascii="Arial"/>
                <w:b/>
              </w:rPr>
            </w:pPr>
          </w:p>
          <w:p w14:paraId="40FE18BF" w14:textId="77777777" w:rsidR="008C20EB" w:rsidRDefault="008D25BE">
            <w:pPr>
              <w:pStyle w:val="TableParagraph"/>
              <w:numPr>
                <w:ilvl w:val="0"/>
                <w:numId w:val="74"/>
              </w:numPr>
              <w:tabs>
                <w:tab w:val="left" w:pos="371"/>
                <w:tab w:val="left" w:pos="4101"/>
              </w:tabs>
              <w:spacing w:before="1" w:line="235" w:lineRule="auto"/>
              <w:ind w:right="62"/>
              <w:jc w:val="both"/>
            </w:pPr>
            <w:r>
              <w:t>Se  elimina  la  subcuenta</w:t>
            </w:r>
            <w:r>
              <w:rPr>
                <w:spacing w:val="34"/>
              </w:rPr>
              <w:t xml:space="preserve"> </w:t>
            </w:r>
            <w:r>
              <w:t>1308.19  “Otros”,</w:t>
            </w:r>
            <w:r>
              <w:tab/>
              <w:t>la cuenta 2103.01.01 “Certificados de depósito negociable” y las siguientes cuentas analíticas y subcuentas</w:t>
            </w:r>
            <w:r>
              <w:rPr>
                <w:spacing w:val="-24"/>
              </w:rPr>
              <w:t xml:space="preserve"> </w:t>
            </w:r>
            <w:r>
              <w:t>analíticas:</w:t>
            </w:r>
          </w:p>
          <w:p w14:paraId="40FE18C0" w14:textId="77777777" w:rsidR="008C20EB" w:rsidRDefault="008D25BE">
            <w:pPr>
              <w:pStyle w:val="TableParagraph"/>
              <w:tabs>
                <w:tab w:val="left" w:pos="2636"/>
              </w:tabs>
              <w:spacing w:before="3" w:line="251" w:lineRule="exact"/>
              <w:ind w:left="888"/>
              <w:jc w:val="both"/>
            </w:pPr>
            <w:r>
              <w:t>4109.13.08</w:t>
            </w:r>
            <w:r>
              <w:tab/>
              <w:t>Acciones de</w:t>
            </w:r>
            <w:r>
              <w:rPr>
                <w:spacing w:val="-6"/>
              </w:rPr>
              <w:t xml:space="preserve"> </w:t>
            </w:r>
            <w:r>
              <w:t>tesorería</w:t>
            </w:r>
          </w:p>
          <w:p w14:paraId="40FE18C1" w14:textId="77777777" w:rsidR="008C20EB" w:rsidRDefault="008D25BE">
            <w:pPr>
              <w:pStyle w:val="TableParagraph"/>
              <w:tabs>
                <w:tab w:val="left" w:pos="2636"/>
              </w:tabs>
              <w:ind w:left="888" w:right="4012"/>
              <w:jc w:val="both"/>
            </w:pPr>
            <w:r>
              <w:t>4109.13.08.01</w:t>
            </w:r>
            <w:r>
              <w:tab/>
              <w:t>Valor nominal 4109.13.08.02</w:t>
            </w:r>
            <w:r>
              <w:tab/>
              <w:t>Prima o</w:t>
            </w:r>
            <w:r>
              <w:rPr>
                <w:spacing w:val="-12"/>
              </w:rPr>
              <w:t xml:space="preserve"> </w:t>
            </w:r>
            <w:r>
              <w:t>descuento</w:t>
            </w:r>
          </w:p>
          <w:p w14:paraId="40FE18C2" w14:textId="77777777" w:rsidR="008C20EB" w:rsidRDefault="008D25BE">
            <w:pPr>
              <w:pStyle w:val="TableParagraph"/>
              <w:tabs>
                <w:tab w:val="left" w:pos="2636"/>
              </w:tabs>
              <w:spacing w:before="2"/>
              <w:ind w:left="888" w:right="1374"/>
              <w:jc w:val="both"/>
            </w:pPr>
            <w:r>
              <w:t>4109.14.08</w:t>
            </w:r>
            <w:r>
              <w:tab/>
              <w:t>Instrumentos representativos de deuda en</w:t>
            </w:r>
            <w:r>
              <w:rPr>
                <w:spacing w:val="-33"/>
              </w:rPr>
              <w:t xml:space="preserve"> </w:t>
            </w:r>
            <w:r>
              <w:t>tesorería 4301.01.04.08</w:t>
            </w:r>
            <w:r>
              <w:tab/>
              <w:t>Instrumentos representativos de deuda en</w:t>
            </w:r>
            <w:r>
              <w:rPr>
                <w:spacing w:val="-33"/>
              </w:rPr>
              <w:t xml:space="preserve"> </w:t>
            </w:r>
            <w:r>
              <w:t>tesorería 5103.04.08</w:t>
            </w:r>
            <w:r>
              <w:tab/>
            </w:r>
            <w:r>
              <w:t>Instrumentos representativos de deuda en</w:t>
            </w:r>
            <w:r>
              <w:rPr>
                <w:spacing w:val="-33"/>
              </w:rPr>
              <w:t xml:space="preserve"> </w:t>
            </w:r>
            <w:r>
              <w:t>tesorería 5109.13.08</w:t>
            </w:r>
            <w:r>
              <w:tab/>
              <w:t>Acciones de</w:t>
            </w:r>
            <w:r>
              <w:rPr>
                <w:spacing w:val="-5"/>
              </w:rPr>
              <w:t xml:space="preserve"> </w:t>
            </w:r>
            <w:r>
              <w:t>tesorería</w:t>
            </w:r>
          </w:p>
          <w:p w14:paraId="40FE18C3" w14:textId="77777777" w:rsidR="008C20EB" w:rsidRDefault="008D25BE">
            <w:pPr>
              <w:pStyle w:val="TableParagraph"/>
              <w:tabs>
                <w:tab w:val="left" w:pos="2636"/>
              </w:tabs>
              <w:spacing w:line="251" w:lineRule="exact"/>
              <w:ind w:left="888"/>
              <w:jc w:val="both"/>
            </w:pPr>
            <w:r>
              <w:t>5109.14.08</w:t>
            </w:r>
            <w:r>
              <w:tab/>
              <w:t>Instrumentos representativos de deuda en</w:t>
            </w:r>
            <w:r>
              <w:rPr>
                <w:spacing w:val="-16"/>
              </w:rPr>
              <w:t xml:space="preserve"> </w:t>
            </w:r>
            <w:r>
              <w:t>tesorería</w:t>
            </w:r>
          </w:p>
          <w:p w14:paraId="40FE18C4" w14:textId="77777777" w:rsidR="008C20EB" w:rsidRDefault="008C20EB">
            <w:pPr>
              <w:pStyle w:val="TableParagraph"/>
              <w:jc w:val="both"/>
              <w:rPr>
                <w:rFonts w:ascii="Arial"/>
                <w:b/>
                <w:sz w:val="24"/>
              </w:rPr>
            </w:pPr>
          </w:p>
          <w:p w14:paraId="40FE18C5" w14:textId="77777777" w:rsidR="008C20EB" w:rsidRDefault="008C20EB">
            <w:pPr>
              <w:pStyle w:val="TableParagraph"/>
              <w:jc w:val="both"/>
              <w:rPr>
                <w:rFonts w:ascii="Arial"/>
                <w:b/>
                <w:sz w:val="24"/>
              </w:rPr>
            </w:pPr>
          </w:p>
          <w:p w14:paraId="40FE18C6" w14:textId="77777777" w:rsidR="008C20EB" w:rsidRDefault="008C20EB">
            <w:pPr>
              <w:pStyle w:val="TableParagraph"/>
              <w:jc w:val="both"/>
              <w:rPr>
                <w:rFonts w:ascii="Arial"/>
                <w:b/>
                <w:sz w:val="24"/>
              </w:rPr>
            </w:pPr>
          </w:p>
          <w:p w14:paraId="40FE18C7" w14:textId="77777777" w:rsidR="008C20EB" w:rsidRDefault="008D25BE">
            <w:pPr>
              <w:pStyle w:val="TableParagraph"/>
              <w:numPr>
                <w:ilvl w:val="0"/>
                <w:numId w:val="74"/>
              </w:numPr>
              <w:tabs>
                <w:tab w:val="left" w:pos="371"/>
              </w:tabs>
              <w:spacing w:before="182" w:line="269" w:lineRule="exact"/>
              <w:ind w:hanging="285"/>
              <w:jc w:val="both"/>
            </w:pPr>
            <w:r>
              <w:t>Se</w:t>
            </w:r>
            <w:r>
              <w:rPr>
                <w:spacing w:val="-4"/>
              </w:rPr>
              <w:t xml:space="preserve"> </w:t>
            </w:r>
            <w:r>
              <w:t>modifican</w:t>
            </w:r>
            <w:r>
              <w:rPr>
                <w:spacing w:val="-3"/>
              </w:rPr>
              <w:t xml:space="preserve"> </w:t>
            </w:r>
            <w:r>
              <w:t>los</w:t>
            </w:r>
            <w:r>
              <w:rPr>
                <w:spacing w:val="-1"/>
              </w:rPr>
              <w:t xml:space="preserve"> </w:t>
            </w:r>
            <w:r>
              <w:t>Anexos</w:t>
            </w:r>
            <w:r>
              <w:rPr>
                <w:spacing w:val="-3"/>
              </w:rPr>
              <w:t xml:space="preserve"> </w:t>
            </w:r>
            <w:r>
              <w:t>15-A</w:t>
            </w:r>
            <w:r>
              <w:rPr>
                <w:spacing w:val="-4"/>
              </w:rPr>
              <w:t xml:space="preserve"> </w:t>
            </w:r>
            <w:r>
              <w:t>15-B</w:t>
            </w:r>
            <w:r>
              <w:rPr>
                <w:spacing w:val="-4"/>
              </w:rPr>
              <w:t xml:space="preserve"> </w:t>
            </w:r>
            <w:r>
              <w:t>15-C</w:t>
            </w:r>
            <w:r>
              <w:rPr>
                <w:spacing w:val="-5"/>
              </w:rPr>
              <w:t xml:space="preserve"> </w:t>
            </w:r>
            <w:r>
              <w:t>16-A</w:t>
            </w:r>
            <w:r>
              <w:rPr>
                <w:spacing w:val="-4"/>
              </w:rPr>
              <w:t xml:space="preserve"> </w:t>
            </w:r>
            <w:r>
              <w:t>16-B</w:t>
            </w:r>
            <w:r>
              <w:rPr>
                <w:spacing w:val="-4"/>
              </w:rPr>
              <w:t xml:space="preserve"> </w:t>
            </w:r>
            <w:r>
              <w:t>y</w:t>
            </w:r>
            <w:r>
              <w:rPr>
                <w:spacing w:val="-2"/>
              </w:rPr>
              <w:t xml:space="preserve"> </w:t>
            </w:r>
            <w:r>
              <w:t>sus</w:t>
            </w:r>
            <w:r>
              <w:rPr>
                <w:spacing w:val="-3"/>
              </w:rPr>
              <w:t xml:space="preserve"> </w:t>
            </w:r>
            <w:r>
              <w:t>notas</w:t>
            </w:r>
            <w:r>
              <w:rPr>
                <w:spacing w:val="-2"/>
              </w:rPr>
              <w:t xml:space="preserve"> </w:t>
            </w:r>
            <w:r>
              <w:t>metodológicas</w:t>
            </w:r>
          </w:p>
          <w:p w14:paraId="40FE18C8" w14:textId="77777777" w:rsidR="008C20EB" w:rsidRDefault="008D25BE">
            <w:pPr>
              <w:pStyle w:val="TableParagraph"/>
              <w:numPr>
                <w:ilvl w:val="0"/>
                <w:numId w:val="74"/>
              </w:numPr>
              <w:tabs>
                <w:tab w:val="left" w:pos="371"/>
              </w:tabs>
              <w:spacing w:before="4" w:line="235" w:lineRule="auto"/>
              <w:ind w:right="56"/>
              <w:jc w:val="both"/>
            </w:pPr>
            <w:r>
              <w:t>Se modifica la denominación la denominación del Reporte 8 por “Registro de Cuentas Corrientes y</w:t>
            </w:r>
            <w:r>
              <w:rPr>
                <w:spacing w:val="-5"/>
              </w:rPr>
              <w:t xml:space="preserve"> </w:t>
            </w:r>
            <w:r>
              <w:t>Rectificaciones”.</w:t>
            </w:r>
          </w:p>
        </w:tc>
      </w:tr>
      <w:tr w:rsidR="008C20EB" w14:paraId="40FE18CE" w14:textId="77777777">
        <w:trPr>
          <w:trHeight w:val="621"/>
        </w:trPr>
        <w:tc>
          <w:tcPr>
            <w:tcW w:w="1445" w:type="dxa"/>
            <w:tcBorders>
              <w:top w:val="nil"/>
              <w:bottom w:val="nil"/>
            </w:tcBorders>
          </w:tcPr>
          <w:p w14:paraId="40FE18CA" w14:textId="77777777" w:rsidR="008C20EB" w:rsidRDefault="008C20EB">
            <w:pPr>
              <w:pStyle w:val="TableParagraph"/>
              <w:jc w:val="both"/>
              <w:rPr>
                <w:rFonts w:ascii="Times New Roman"/>
              </w:rPr>
            </w:pPr>
          </w:p>
        </w:tc>
        <w:tc>
          <w:tcPr>
            <w:tcW w:w="1733" w:type="dxa"/>
            <w:tcBorders>
              <w:top w:val="nil"/>
              <w:bottom w:val="nil"/>
            </w:tcBorders>
          </w:tcPr>
          <w:p w14:paraId="40FE18CB" w14:textId="77777777" w:rsidR="008C20EB" w:rsidRDefault="008C20EB">
            <w:pPr>
              <w:pStyle w:val="TableParagraph"/>
              <w:jc w:val="both"/>
              <w:rPr>
                <w:rFonts w:ascii="Times New Roman"/>
              </w:rPr>
            </w:pPr>
          </w:p>
        </w:tc>
        <w:tc>
          <w:tcPr>
            <w:tcW w:w="3500" w:type="dxa"/>
            <w:tcBorders>
              <w:top w:val="nil"/>
              <w:bottom w:val="nil"/>
            </w:tcBorders>
          </w:tcPr>
          <w:p w14:paraId="40FE18CC" w14:textId="77777777" w:rsidR="008C20EB" w:rsidRDefault="008D25BE">
            <w:pPr>
              <w:pStyle w:val="TableParagraph"/>
              <w:spacing w:line="242" w:lineRule="auto"/>
              <w:ind w:left="177"/>
              <w:jc w:val="both"/>
            </w:pPr>
            <w:r>
              <w:t>Se modifica el Capítulo III “Catálogo de Cuentas”.</w:t>
            </w:r>
          </w:p>
        </w:tc>
        <w:tc>
          <w:tcPr>
            <w:tcW w:w="8162" w:type="dxa"/>
            <w:vMerge/>
            <w:tcBorders>
              <w:top w:val="nil"/>
            </w:tcBorders>
          </w:tcPr>
          <w:p w14:paraId="40FE18CD" w14:textId="77777777" w:rsidR="008C20EB" w:rsidRDefault="008C20EB">
            <w:pPr>
              <w:jc w:val="both"/>
              <w:rPr>
                <w:sz w:val="2"/>
                <w:szCs w:val="2"/>
              </w:rPr>
            </w:pPr>
          </w:p>
        </w:tc>
      </w:tr>
      <w:tr w:rsidR="008C20EB" w14:paraId="40FE18D3" w14:textId="77777777">
        <w:trPr>
          <w:trHeight w:val="748"/>
        </w:trPr>
        <w:tc>
          <w:tcPr>
            <w:tcW w:w="1445" w:type="dxa"/>
            <w:tcBorders>
              <w:top w:val="nil"/>
              <w:bottom w:val="nil"/>
            </w:tcBorders>
          </w:tcPr>
          <w:p w14:paraId="40FE18CF" w14:textId="77777777" w:rsidR="008C20EB" w:rsidRDefault="008C20EB">
            <w:pPr>
              <w:pStyle w:val="TableParagraph"/>
              <w:jc w:val="both"/>
              <w:rPr>
                <w:rFonts w:ascii="Times New Roman"/>
              </w:rPr>
            </w:pPr>
          </w:p>
        </w:tc>
        <w:tc>
          <w:tcPr>
            <w:tcW w:w="1733" w:type="dxa"/>
            <w:tcBorders>
              <w:top w:val="nil"/>
              <w:bottom w:val="nil"/>
            </w:tcBorders>
          </w:tcPr>
          <w:p w14:paraId="40FE18D0" w14:textId="77777777" w:rsidR="008C20EB" w:rsidRDefault="008C20EB">
            <w:pPr>
              <w:pStyle w:val="TableParagraph"/>
              <w:jc w:val="both"/>
              <w:rPr>
                <w:rFonts w:ascii="Times New Roman"/>
              </w:rPr>
            </w:pPr>
          </w:p>
        </w:tc>
        <w:tc>
          <w:tcPr>
            <w:tcW w:w="3500" w:type="dxa"/>
            <w:tcBorders>
              <w:top w:val="nil"/>
              <w:bottom w:val="nil"/>
            </w:tcBorders>
          </w:tcPr>
          <w:p w14:paraId="40FE18D1" w14:textId="77777777" w:rsidR="008C20EB" w:rsidRDefault="008D25BE">
            <w:pPr>
              <w:pStyle w:val="TableParagraph"/>
              <w:spacing w:before="114"/>
              <w:ind w:left="177" w:right="98"/>
              <w:jc w:val="both"/>
            </w:pPr>
            <w:r>
              <w:t>Se modifica el Capítulo IV “Descripción y Dinámica de</w:t>
            </w:r>
            <w:r>
              <w:rPr>
                <w:spacing w:val="-5"/>
              </w:rPr>
              <w:t xml:space="preserve"> </w:t>
            </w:r>
            <w:r>
              <w:t>Cuentas”.</w:t>
            </w:r>
          </w:p>
        </w:tc>
        <w:tc>
          <w:tcPr>
            <w:tcW w:w="8162" w:type="dxa"/>
            <w:vMerge/>
            <w:tcBorders>
              <w:top w:val="nil"/>
            </w:tcBorders>
          </w:tcPr>
          <w:p w14:paraId="40FE18D2" w14:textId="77777777" w:rsidR="008C20EB" w:rsidRDefault="008C20EB">
            <w:pPr>
              <w:jc w:val="both"/>
              <w:rPr>
                <w:sz w:val="2"/>
                <w:szCs w:val="2"/>
              </w:rPr>
            </w:pPr>
          </w:p>
        </w:tc>
      </w:tr>
      <w:tr w:rsidR="008C20EB" w14:paraId="40FE18D8" w14:textId="77777777">
        <w:trPr>
          <w:trHeight w:val="743"/>
        </w:trPr>
        <w:tc>
          <w:tcPr>
            <w:tcW w:w="1445" w:type="dxa"/>
            <w:tcBorders>
              <w:top w:val="nil"/>
              <w:bottom w:val="nil"/>
            </w:tcBorders>
          </w:tcPr>
          <w:p w14:paraId="40FE18D4" w14:textId="77777777" w:rsidR="008C20EB" w:rsidRDefault="008C20EB">
            <w:pPr>
              <w:pStyle w:val="TableParagraph"/>
              <w:jc w:val="both"/>
              <w:rPr>
                <w:rFonts w:ascii="Times New Roman"/>
              </w:rPr>
            </w:pPr>
          </w:p>
        </w:tc>
        <w:tc>
          <w:tcPr>
            <w:tcW w:w="1733" w:type="dxa"/>
            <w:tcBorders>
              <w:top w:val="nil"/>
              <w:bottom w:val="nil"/>
            </w:tcBorders>
          </w:tcPr>
          <w:p w14:paraId="40FE18D5" w14:textId="77777777" w:rsidR="008C20EB" w:rsidRDefault="008C20EB">
            <w:pPr>
              <w:pStyle w:val="TableParagraph"/>
              <w:jc w:val="both"/>
              <w:rPr>
                <w:rFonts w:ascii="Times New Roman"/>
              </w:rPr>
            </w:pPr>
          </w:p>
        </w:tc>
        <w:tc>
          <w:tcPr>
            <w:tcW w:w="3500" w:type="dxa"/>
            <w:tcBorders>
              <w:top w:val="nil"/>
              <w:bottom w:val="nil"/>
            </w:tcBorders>
          </w:tcPr>
          <w:p w14:paraId="40FE18D6" w14:textId="77777777" w:rsidR="008C20EB" w:rsidRDefault="008D25BE">
            <w:pPr>
              <w:pStyle w:val="TableParagraph"/>
              <w:spacing w:before="117" w:line="237" w:lineRule="auto"/>
              <w:ind w:left="177"/>
              <w:jc w:val="both"/>
            </w:pPr>
            <w:r>
              <w:t>Se modifica el Capítulo V “Información Complementaria”.</w:t>
            </w:r>
          </w:p>
        </w:tc>
        <w:tc>
          <w:tcPr>
            <w:tcW w:w="8162" w:type="dxa"/>
            <w:vMerge/>
            <w:tcBorders>
              <w:top w:val="nil"/>
            </w:tcBorders>
          </w:tcPr>
          <w:p w14:paraId="40FE18D7" w14:textId="77777777" w:rsidR="008C20EB" w:rsidRDefault="008C20EB">
            <w:pPr>
              <w:jc w:val="both"/>
              <w:rPr>
                <w:sz w:val="2"/>
                <w:szCs w:val="2"/>
              </w:rPr>
            </w:pPr>
          </w:p>
        </w:tc>
      </w:tr>
      <w:tr w:rsidR="008C20EB" w14:paraId="40FE18DD" w14:textId="77777777">
        <w:trPr>
          <w:trHeight w:val="4499"/>
        </w:trPr>
        <w:tc>
          <w:tcPr>
            <w:tcW w:w="1445" w:type="dxa"/>
            <w:tcBorders>
              <w:top w:val="nil"/>
            </w:tcBorders>
          </w:tcPr>
          <w:p w14:paraId="40FE18D9" w14:textId="77777777" w:rsidR="008C20EB" w:rsidRDefault="008C20EB">
            <w:pPr>
              <w:pStyle w:val="TableParagraph"/>
              <w:jc w:val="both"/>
              <w:rPr>
                <w:rFonts w:ascii="Times New Roman"/>
              </w:rPr>
            </w:pPr>
          </w:p>
        </w:tc>
        <w:tc>
          <w:tcPr>
            <w:tcW w:w="1733" w:type="dxa"/>
            <w:tcBorders>
              <w:top w:val="nil"/>
            </w:tcBorders>
          </w:tcPr>
          <w:p w14:paraId="40FE18DA" w14:textId="77777777" w:rsidR="008C20EB" w:rsidRDefault="008C20EB">
            <w:pPr>
              <w:pStyle w:val="TableParagraph"/>
              <w:jc w:val="both"/>
              <w:rPr>
                <w:rFonts w:ascii="Times New Roman"/>
              </w:rPr>
            </w:pPr>
          </w:p>
        </w:tc>
        <w:tc>
          <w:tcPr>
            <w:tcW w:w="3500" w:type="dxa"/>
            <w:tcBorders>
              <w:top w:val="nil"/>
            </w:tcBorders>
          </w:tcPr>
          <w:p w14:paraId="40FE18DB" w14:textId="77777777" w:rsidR="008C20EB" w:rsidRDefault="008D25BE">
            <w:pPr>
              <w:pStyle w:val="TableParagraph"/>
              <w:spacing w:before="114" w:line="242" w:lineRule="auto"/>
              <w:ind w:left="177"/>
              <w:jc w:val="both"/>
            </w:pPr>
            <w:r>
              <w:t>La vigencia es a partir de la información del mes de julio 2014.</w:t>
            </w:r>
          </w:p>
        </w:tc>
        <w:tc>
          <w:tcPr>
            <w:tcW w:w="8162" w:type="dxa"/>
            <w:vMerge/>
            <w:tcBorders>
              <w:top w:val="nil"/>
            </w:tcBorders>
          </w:tcPr>
          <w:p w14:paraId="40FE18DC" w14:textId="77777777" w:rsidR="008C20EB" w:rsidRDefault="008C20EB">
            <w:pPr>
              <w:jc w:val="both"/>
              <w:rPr>
                <w:sz w:val="2"/>
                <w:szCs w:val="2"/>
              </w:rPr>
            </w:pPr>
          </w:p>
        </w:tc>
      </w:tr>
    </w:tbl>
    <w:p w14:paraId="40FE18DE" w14:textId="77777777" w:rsidR="008C20EB" w:rsidRDefault="008D25BE">
      <w:pPr>
        <w:jc w:val="both"/>
        <w:rPr>
          <w:sz w:val="2"/>
          <w:szCs w:val="2"/>
        </w:rPr>
      </w:pPr>
      <w:r>
        <w:rPr>
          <w:noProof/>
          <w:lang w:val="es-PE" w:eastAsia="es-PE" w:bidi="ar-SA"/>
        </w:rPr>
        <mc:AlternateContent>
          <mc:Choice Requires="wps">
            <w:drawing>
              <wp:anchor distT="0" distB="0" distL="114300" distR="114300" simplePos="0" relativeHeight="251658240" behindDoc="0" locked="0" layoutInCell="1" allowOverlap="1" wp14:anchorId="40FE1D46" wp14:editId="40FE1D47">
                <wp:simplePos x="0" y="0"/>
                <wp:positionH relativeFrom="page">
                  <wp:posOffset>5336540</wp:posOffset>
                </wp:positionH>
                <wp:positionV relativeFrom="page">
                  <wp:posOffset>3359785</wp:posOffset>
                </wp:positionV>
                <wp:extent cx="3992880" cy="128333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283335"/>
                        </a:xfrm>
                        <a:prstGeom prst="rect">
                          <a:avLst/>
                        </a:prstGeom>
                        <a:noFill/>
                        <a:ln>
                          <a:noFill/>
                        </a:ln>
                      </wps:spPr>
                      <wps:txbx>
                        <w:txbxContent>
                          <w:tbl>
                            <w:tblPr>
                              <w:tblStyle w:val="TableNormal"/>
                              <w:tblW w:w="0" w:type="auto"/>
                              <w:tblInd w:w="7" w:type="dxa"/>
                              <w:tblLayout w:type="fixed"/>
                              <w:tblLook w:val="04A0" w:firstRow="1" w:lastRow="0" w:firstColumn="1" w:lastColumn="0" w:noHBand="0" w:noVBand="1"/>
                            </w:tblPr>
                            <w:tblGrid>
                              <w:gridCol w:w="1650"/>
                              <w:gridCol w:w="4638"/>
                            </w:tblGrid>
                            <w:tr w:rsidR="008C20EB" w14:paraId="40FE1D4F" w14:textId="77777777">
                              <w:trPr>
                                <w:trHeight w:val="251"/>
                              </w:trPr>
                              <w:tc>
                                <w:tcPr>
                                  <w:tcW w:w="1650" w:type="dxa"/>
                                </w:tcPr>
                                <w:p w14:paraId="40FE1D4D" w14:textId="77777777" w:rsidR="008C20EB" w:rsidRDefault="008C20EB">
                                  <w:pPr>
                                    <w:pStyle w:val="TableParagraph"/>
                                    <w:rPr>
                                      <w:rFonts w:ascii="Times New Roman"/>
                                      <w:sz w:val="18"/>
                                    </w:rPr>
                                  </w:pPr>
                                </w:p>
                              </w:tc>
                              <w:tc>
                                <w:tcPr>
                                  <w:tcW w:w="4638" w:type="dxa"/>
                                </w:tcPr>
                                <w:p w14:paraId="40FE1D4E" w14:textId="77777777" w:rsidR="008C20EB" w:rsidRDefault="008C20EB">
                                  <w:pPr>
                                    <w:pStyle w:val="TableParagraph"/>
                                    <w:rPr>
                                      <w:rFonts w:ascii="Times New Roman"/>
                                      <w:sz w:val="18"/>
                                    </w:rPr>
                                  </w:pPr>
                                </w:p>
                              </w:tc>
                            </w:tr>
                            <w:tr w:rsidR="008C20EB" w14:paraId="40FE1D52" w14:textId="77777777">
                              <w:trPr>
                                <w:trHeight w:val="252"/>
                              </w:trPr>
                              <w:tc>
                                <w:tcPr>
                                  <w:tcW w:w="1650" w:type="dxa"/>
                                </w:tcPr>
                                <w:p w14:paraId="40FE1D50" w14:textId="77777777" w:rsidR="008C20EB" w:rsidRDefault="008C20EB">
                                  <w:pPr>
                                    <w:pStyle w:val="TableParagraph"/>
                                    <w:rPr>
                                      <w:rFonts w:ascii="Times New Roman"/>
                                      <w:sz w:val="18"/>
                                    </w:rPr>
                                  </w:pPr>
                                </w:p>
                              </w:tc>
                              <w:tc>
                                <w:tcPr>
                                  <w:tcW w:w="4638" w:type="dxa"/>
                                </w:tcPr>
                                <w:p w14:paraId="40FE1D51" w14:textId="77777777" w:rsidR="008C20EB" w:rsidRDefault="008C20EB">
                                  <w:pPr>
                                    <w:pStyle w:val="TableParagraph"/>
                                    <w:rPr>
                                      <w:rFonts w:ascii="Times New Roman"/>
                                      <w:sz w:val="18"/>
                                    </w:rPr>
                                  </w:pPr>
                                </w:p>
                              </w:tc>
                            </w:tr>
                            <w:tr w:rsidR="008C20EB" w14:paraId="40FE1D55" w14:textId="77777777">
                              <w:trPr>
                                <w:trHeight w:val="254"/>
                              </w:trPr>
                              <w:tc>
                                <w:tcPr>
                                  <w:tcW w:w="1650" w:type="dxa"/>
                                </w:tcPr>
                                <w:p w14:paraId="40FE1D53" w14:textId="77777777" w:rsidR="008C20EB" w:rsidRDefault="008C20EB">
                                  <w:pPr>
                                    <w:pStyle w:val="TableParagraph"/>
                                    <w:rPr>
                                      <w:rFonts w:ascii="Times New Roman"/>
                                      <w:sz w:val="18"/>
                                    </w:rPr>
                                  </w:pPr>
                                </w:p>
                              </w:tc>
                              <w:tc>
                                <w:tcPr>
                                  <w:tcW w:w="4638" w:type="dxa"/>
                                </w:tcPr>
                                <w:p w14:paraId="40FE1D54" w14:textId="77777777" w:rsidR="008C20EB" w:rsidRDefault="008C20EB">
                                  <w:pPr>
                                    <w:pStyle w:val="TableParagraph"/>
                                    <w:rPr>
                                      <w:rFonts w:ascii="Times New Roman"/>
                                      <w:sz w:val="18"/>
                                    </w:rPr>
                                  </w:pPr>
                                </w:p>
                              </w:tc>
                            </w:tr>
                            <w:tr w:rsidR="008C20EB" w14:paraId="40FE1D58" w14:textId="77777777">
                              <w:trPr>
                                <w:trHeight w:val="251"/>
                              </w:trPr>
                              <w:tc>
                                <w:tcPr>
                                  <w:tcW w:w="1650" w:type="dxa"/>
                                </w:tcPr>
                                <w:p w14:paraId="40FE1D56" w14:textId="77777777" w:rsidR="008C20EB" w:rsidRDefault="008C20EB">
                                  <w:pPr>
                                    <w:pStyle w:val="TableParagraph"/>
                                    <w:rPr>
                                      <w:rFonts w:ascii="Times New Roman"/>
                                      <w:sz w:val="18"/>
                                    </w:rPr>
                                  </w:pPr>
                                </w:p>
                              </w:tc>
                              <w:tc>
                                <w:tcPr>
                                  <w:tcW w:w="4638" w:type="dxa"/>
                                </w:tcPr>
                                <w:p w14:paraId="40FE1D57" w14:textId="77777777" w:rsidR="008C20EB" w:rsidRDefault="008C20EB">
                                  <w:pPr>
                                    <w:pStyle w:val="TableParagraph"/>
                                    <w:rPr>
                                      <w:rFonts w:ascii="Times New Roman"/>
                                      <w:sz w:val="18"/>
                                    </w:rPr>
                                  </w:pPr>
                                </w:p>
                              </w:tc>
                            </w:tr>
                            <w:tr w:rsidR="008C20EB" w14:paraId="40FE1D5B" w14:textId="77777777">
                              <w:trPr>
                                <w:trHeight w:val="251"/>
                              </w:trPr>
                              <w:tc>
                                <w:tcPr>
                                  <w:tcW w:w="1650" w:type="dxa"/>
                                </w:tcPr>
                                <w:p w14:paraId="40FE1D59" w14:textId="77777777" w:rsidR="008C20EB" w:rsidRDefault="008C20EB">
                                  <w:pPr>
                                    <w:pStyle w:val="TableParagraph"/>
                                    <w:rPr>
                                      <w:rFonts w:ascii="Times New Roman"/>
                                      <w:sz w:val="18"/>
                                    </w:rPr>
                                  </w:pPr>
                                </w:p>
                              </w:tc>
                              <w:tc>
                                <w:tcPr>
                                  <w:tcW w:w="4638" w:type="dxa"/>
                                </w:tcPr>
                                <w:p w14:paraId="40FE1D5A" w14:textId="77777777" w:rsidR="008C20EB" w:rsidRDefault="008C20EB">
                                  <w:pPr>
                                    <w:pStyle w:val="TableParagraph"/>
                                    <w:rPr>
                                      <w:rFonts w:ascii="Times New Roman"/>
                                      <w:sz w:val="18"/>
                                    </w:rPr>
                                  </w:pPr>
                                </w:p>
                              </w:tc>
                            </w:tr>
                            <w:tr w:rsidR="008C20EB" w14:paraId="40FE1D5E" w14:textId="77777777">
                              <w:trPr>
                                <w:trHeight w:val="252"/>
                              </w:trPr>
                              <w:tc>
                                <w:tcPr>
                                  <w:tcW w:w="1650" w:type="dxa"/>
                                </w:tcPr>
                                <w:p w14:paraId="40FE1D5C" w14:textId="77777777" w:rsidR="008C20EB" w:rsidRDefault="008C20EB">
                                  <w:pPr>
                                    <w:pStyle w:val="TableParagraph"/>
                                    <w:rPr>
                                      <w:rFonts w:ascii="Times New Roman"/>
                                      <w:sz w:val="18"/>
                                    </w:rPr>
                                  </w:pPr>
                                </w:p>
                              </w:tc>
                              <w:tc>
                                <w:tcPr>
                                  <w:tcW w:w="4638" w:type="dxa"/>
                                </w:tcPr>
                                <w:p w14:paraId="40FE1D5D" w14:textId="77777777" w:rsidR="008C20EB" w:rsidRDefault="008C20EB">
                                  <w:pPr>
                                    <w:pStyle w:val="TableParagraph"/>
                                    <w:rPr>
                                      <w:rFonts w:ascii="Times New Roman"/>
                                      <w:sz w:val="18"/>
                                    </w:rPr>
                                  </w:pPr>
                                </w:p>
                              </w:tc>
                            </w:tr>
                            <w:tr w:rsidR="008C20EB" w14:paraId="40FE1D61" w14:textId="77777777">
                              <w:trPr>
                                <w:trHeight w:val="252"/>
                              </w:trPr>
                              <w:tc>
                                <w:tcPr>
                                  <w:tcW w:w="1650" w:type="dxa"/>
                                </w:tcPr>
                                <w:p w14:paraId="40FE1D5F" w14:textId="77777777" w:rsidR="008C20EB" w:rsidRDefault="008C20EB">
                                  <w:pPr>
                                    <w:pStyle w:val="TableParagraph"/>
                                    <w:rPr>
                                      <w:rFonts w:ascii="Times New Roman"/>
                                      <w:sz w:val="18"/>
                                    </w:rPr>
                                  </w:pPr>
                                </w:p>
                              </w:tc>
                              <w:tc>
                                <w:tcPr>
                                  <w:tcW w:w="4638" w:type="dxa"/>
                                </w:tcPr>
                                <w:p w14:paraId="40FE1D60" w14:textId="77777777" w:rsidR="008C20EB" w:rsidRDefault="008C20EB">
                                  <w:pPr>
                                    <w:pStyle w:val="TableParagraph"/>
                                    <w:rPr>
                                      <w:rFonts w:ascii="Times New Roman"/>
                                      <w:sz w:val="18"/>
                                    </w:rPr>
                                  </w:pPr>
                                </w:p>
                              </w:tc>
                            </w:tr>
                            <w:tr w:rsidR="008C20EB" w14:paraId="40FE1D64" w14:textId="77777777">
                              <w:trPr>
                                <w:trHeight w:val="253"/>
                              </w:trPr>
                              <w:tc>
                                <w:tcPr>
                                  <w:tcW w:w="1650" w:type="dxa"/>
                                </w:tcPr>
                                <w:p w14:paraId="40FE1D62" w14:textId="77777777" w:rsidR="008C20EB" w:rsidRDefault="008C20EB">
                                  <w:pPr>
                                    <w:pStyle w:val="TableParagraph"/>
                                    <w:rPr>
                                      <w:rFonts w:ascii="Times New Roman"/>
                                      <w:sz w:val="18"/>
                                    </w:rPr>
                                  </w:pPr>
                                </w:p>
                              </w:tc>
                              <w:tc>
                                <w:tcPr>
                                  <w:tcW w:w="4638" w:type="dxa"/>
                                </w:tcPr>
                                <w:p w14:paraId="40FE1D63" w14:textId="77777777" w:rsidR="008C20EB" w:rsidRDefault="008C20EB">
                                  <w:pPr>
                                    <w:pStyle w:val="TableParagraph"/>
                                    <w:rPr>
                                      <w:rFonts w:ascii="Times New Roman"/>
                                      <w:sz w:val="18"/>
                                    </w:rPr>
                                  </w:pPr>
                                </w:p>
                              </w:tc>
                            </w:tr>
                          </w:tbl>
                          <w:p w14:paraId="40FE1D65" w14:textId="77777777" w:rsidR="008C20EB" w:rsidRDefault="008C20EB">
                            <w:pPr>
                              <w:pStyle w:val="Textoindependiente"/>
                            </w:pPr>
                          </w:p>
                        </w:txbxContent>
                      </wps:txbx>
                      <wps:bodyPr rot="0" vert="horz" wrap="square" lIns="0" tIns="0" rIns="0" bIns="0" anchor="t" anchorCtr="0" upright="1">
                        <a:noAutofit/>
                      </wps:bodyPr>
                    </wps:wsp>
                  </a:graphicData>
                </a:graphic>
              </wp:anchor>
            </w:drawing>
          </mc:Choice>
          <mc:Fallback>
            <w:pict>
              <v:shapetype w14:anchorId="40FE1D46" id="_x0000_t202" coordsize="21600,21600" o:spt="202" path="m,l,21600r21600,l21600,xe">
                <v:stroke joinstyle="miter"/>
                <v:path gradientshapeok="t" o:connecttype="rect"/>
              </v:shapetype>
              <v:shape id="Cuadro de texto 3" o:spid="_x0000_s1026" type="#_x0000_t202" style="position:absolute;left:0;text-align:left;margin-left:420.2pt;margin-top:264.55pt;width:314.4pt;height:101.0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" filled="f" stroked="f">
                <v:textbox inset="0,0,0,0">
                  <w:txbxContent>
                    <w:tbl>
                      <w:tblPr>
                        <w:tblStyle w:val="TableNormal"/>
                        <w:tblW w:w="0" w:type="auto"/>
                        <w:tblInd w:w="7" w:type="dxa"/>
                        <w:tblLayout w:type="fixed"/>
                        <w:tblLook w:val="04A0" w:firstRow="1" w:lastRow="0" w:firstColumn="1" w:lastColumn="0" w:noHBand="0" w:noVBand="1"/>
                      </w:tblPr>
                      <w:tblGrid>
                        <w:gridCol w:w="1650"/>
                        <w:gridCol w:w="4638"/>
                      </w:tblGrid>
                      <w:tr w:rsidR="008C20EB" w14:paraId="40FE1D4F" w14:textId="77777777">
                        <w:trPr>
                          <w:trHeight w:val="251"/>
                        </w:trPr>
                        <w:tc>
                          <w:tcPr>
                            <w:tcW w:w="1650" w:type="dxa"/>
                          </w:tcPr>
                          <w:p w14:paraId="40FE1D4D" w14:textId="77777777" w:rsidR="008C20EB" w:rsidRDefault="008C20EB">
                            <w:pPr>
                              <w:pStyle w:val="TableParagraph"/>
                              <w:rPr>
                                <w:rFonts w:ascii="Times New Roman"/>
                                <w:sz w:val="18"/>
                              </w:rPr>
                            </w:pPr>
                          </w:p>
                        </w:tc>
                        <w:tc>
                          <w:tcPr>
                            <w:tcW w:w="4638" w:type="dxa"/>
                          </w:tcPr>
                          <w:p w14:paraId="40FE1D4E" w14:textId="77777777" w:rsidR="008C20EB" w:rsidRDefault="008C20EB">
                            <w:pPr>
                              <w:pStyle w:val="TableParagraph"/>
                              <w:rPr>
                                <w:rFonts w:ascii="Times New Roman"/>
                                <w:sz w:val="18"/>
                              </w:rPr>
                            </w:pPr>
                          </w:p>
                        </w:tc>
                      </w:tr>
                      <w:tr w:rsidR="008C20EB" w14:paraId="40FE1D52" w14:textId="77777777">
                        <w:trPr>
                          <w:trHeight w:val="252"/>
                        </w:trPr>
                        <w:tc>
                          <w:tcPr>
                            <w:tcW w:w="1650" w:type="dxa"/>
                          </w:tcPr>
                          <w:p w14:paraId="40FE1D50" w14:textId="77777777" w:rsidR="008C20EB" w:rsidRDefault="008C20EB">
                            <w:pPr>
                              <w:pStyle w:val="TableParagraph"/>
                              <w:rPr>
                                <w:rFonts w:ascii="Times New Roman"/>
                                <w:sz w:val="18"/>
                              </w:rPr>
                            </w:pPr>
                          </w:p>
                        </w:tc>
                        <w:tc>
                          <w:tcPr>
                            <w:tcW w:w="4638" w:type="dxa"/>
                          </w:tcPr>
                          <w:p w14:paraId="40FE1D51" w14:textId="77777777" w:rsidR="008C20EB" w:rsidRDefault="008C20EB">
                            <w:pPr>
                              <w:pStyle w:val="TableParagraph"/>
                              <w:rPr>
                                <w:rFonts w:ascii="Times New Roman"/>
                                <w:sz w:val="18"/>
                              </w:rPr>
                            </w:pPr>
                          </w:p>
                        </w:tc>
                      </w:tr>
                      <w:tr w:rsidR="008C20EB" w14:paraId="40FE1D55" w14:textId="77777777">
                        <w:trPr>
                          <w:trHeight w:val="254"/>
                        </w:trPr>
                        <w:tc>
                          <w:tcPr>
                            <w:tcW w:w="1650" w:type="dxa"/>
                          </w:tcPr>
                          <w:p w14:paraId="40FE1D53" w14:textId="77777777" w:rsidR="008C20EB" w:rsidRDefault="008C20EB">
                            <w:pPr>
                              <w:pStyle w:val="TableParagraph"/>
                              <w:rPr>
                                <w:rFonts w:ascii="Times New Roman"/>
                                <w:sz w:val="18"/>
                              </w:rPr>
                            </w:pPr>
                          </w:p>
                        </w:tc>
                        <w:tc>
                          <w:tcPr>
                            <w:tcW w:w="4638" w:type="dxa"/>
                          </w:tcPr>
                          <w:p w14:paraId="40FE1D54" w14:textId="77777777" w:rsidR="008C20EB" w:rsidRDefault="008C20EB">
                            <w:pPr>
                              <w:pStyle w:val="TableParagraph"/>
                              <w:rPr>
                                <w:rFonts w:ascii="Times New Roman"/>
                                <w:sz w:val="18"/>
                              </w:rPr>
                            </w:pPr>
                          </w:p>
                        </w:tc>
                      </w:tr>
                      <w:tr w:rsidR="008C20EB" w14:paraId="40FE1D58" w14:textId="77777777">
                        <w:trPr>
                          <w:trHeight w:val="251"/>
                        </w:trPr>
                        <w:tc>
                          <w:tcPr>
                            <w:tcW w:w="1650" w:type="dxa"/>
                          </w:tcPr>
                          <w:p w14:paraId="40FE1D56" w14:textId="77777777" w:rsidR="008C20EB" w:rsidRDefault="008C20EB">
                            <w:pPr>
                              <w:pStyle w:val="TableParagraph"/>
                              <w:rPr>
                                <w:rFonts w:ascii="Times New Roman"/>
                                <w:sz w:val="18"/>
                              </w:rPr>
                            </w:pPr>
                          </w:p>
                        </w:tc>
                        <w:tc>
                          <w:tcPr>
                            <w:tcW w:w="4638" w:type="dxa"/>
                          </w:tcPr>
                          <w:p w14:paraId="40FE1D57" w14:textId="77777777" w:rsidR="008C20EB" w:rsidRDefault="008C20EB">
                            <w:pPr>
                              <w:pStyle w:val="TableParagraph"/>
                              <w:rPr>
                                <w:rFonts w:ascii="Times New Roman"/>
                                <w:sz w:val="18"/>
                              </w:rPr>
                            </w:pPr>
                          </w:p>
                        </w:tc>
                      </w:tr>
                      <w:tr w:rsidR="008C20EB" w14:paraId="40FE1D5B" w14:textId="77777777">
                        <w:trPr>
                          <w:trHeight w:val="251"/>
                        </w:trPr>
                        <w:tc>
                          <w:tcPr>
                            <w:tcW w:w="1650" w:type="dxa"/>
                          </w:tcPr>
                          <w:p w14:paraId="40FE1D59" w14:textId="77777777" w:rsidR="008C20EB" w:rsidRDefault="008C20EB">
                            <w:pPr>
                              <w:pStyle w:val="TableParagraph"/>
                              <w:rPr>
                                <w:rFonts w:ascii="Times New Roman"/>
                                <w:sz w:val="18"/>
                              </w:rPr>
                            </w:pPr>
                          </w:p>
                        </w:tc>
                        <w:tc>
                          <w:tcPr>
                            <w:tcW w:w="4638" w:type="dxa"/>
                          </w:tcPr>
                          <w:p w14:paraId="40FE1D5A" w14:textId="77777777" w:rsidR="008C20EB" w:rsidRDefault="008C20EB">
                            <w:pPr>
                              <w:pStyle w:val="TableParagraph"/>
                              <w:rPr>
                                <w:rFonts w:ascii="Times New Roman"/>
                                <w:sz w:val="18"/>
                              </w:rPr>
                            </w:pPr>
                          </w:p>
                        </w:tc>
                      </w:tr>
                      <w:tr w:rsidR="008C20EB" w14:paraId="40FE1D5E" w14:textId="77777777">
                        <w:trPr>
                          <w:trHeight w:val="252"/>
                        </w:trPr>
                        <w:tc>
                          <w:tcPr>
                            <w:tcW w:w="1650" w:type="dxa"/>
                          </w:tcPr>
                          <w:p w14:paraId="40FE1D5C" w14:textId="77777777" w:rsidR="008C20EB" w:rsidRDefault="008C20EB">
                            <w:pPr>
                              <w:pStyle w:val="TableParagraph"/>
                              <w:rPr>
                                <w:rFonts w:ascii="Times New Roman"/>
                                <w:sz w:val="18"/>
                              </w:rPr>
                            </w:pPr>
                          </w:p>
                        </w:tc>
                        <w:tc>
                          <w:tcPr>
                            <w:tcW w:w="4638" w:type="dxa"/>
                          </w:tcPr>
                          <w:p w14:paraId="40FE1D5D" w14:textId="77777777" w:rsidR="008C20EB" w:rsidRDefault="008C20EB">
                            <w:pPr>
                              <w:pStyle w:val="TableParagraph"/>
                              <w:rPr>
                                <w:rFonts w:ascii="Times New Roman"/>
                                <w:sz w:val="18"/>
                              </w:rPr>
                            </w:pPr>
                          </w:p>
                        </w:tc>
                      </w:tr>
                      <w:tr w:rsidR="008C20EB" w14:paraId="40FE1D61" w14:textId="77777777">
                        <w:trPr>
                          <w:trHeight w:val="252"/>
                        </w:trPr>
                        <w:tc>
                          <w:tcPr>
                            <w:tcW w:w="1650" w:type="dxa"/>
                          </w:tcPr>
                          <w:p w14:paraId="40FE1D5F" w14:textId="77777777" w:rsidR="008C20EB" w:rsidRDefault="008C20EB">
                            <w:pPr>
                              <w:pStyle w:val="TableParagraph"/>
                              <w:rPr>
                                <w:rFonts w:ascii="Times New Roman"/>
                                <w:sz w:val="18"/>
                              </w:rPr>
                            </w:pPr>
                          </w:p>
                        </w:tc>
                        <w:tc>
                          <w:tcPr>
                            <w:tcW w:w="4638" w:type="dxa"/>
                          </w:tcPr>
                          <w:p w14:paraId="40FE1D60" w14:textId="77777777" w:rsidR="008C20EB" w:rsidRDefault="008C20EB">
                            <w:pPr>
                              <w:pStyle w:val="TableParagraph"/>
                              <w:rPr>
                                <w:rFonts w:ascii="Times New Roman"/>
                                <w:sz w:val="18"/>
                              </w:rPr>
                            </w:pPr>
                          </w:p>
                        </w:tc>
                      </w:tr>
                      <w:tr w:rsidR="008C20EB" w14:paraId="40FE1D64" w14:textId="77777777">
                        <w:trPr>
                          <w:trHeight w:val="253"/>
                        </w:trPr>
                        <w:tc>
                          <w:tcPr>
                            <w:tcW w:w="1650" w:type="dxa"/>
                          </w:tcPr>
                          <w:p w14:paraId="40FE1D62" w14:textId="77777777" w:rsidR="008C20EB" w:rsidRDefault="008C20EB">
                            <w:pPr>
                              <w:pStyle w:val="TableParagraph"/>
                              <w:rPr>
                                <w:rFonts w:ascii="Times New Roman"/>
                                <w:sz w:val="18"/>
                              </w:rPr>
                            </w:pPr>
                          </w:p>
                        </w:tc>
                        <w:tc>
                          <w:tcPr>
                            <w:tcW w:w="4638" w:type="dxa"/>
                          </w:tcPr>
                          <w:p w14:paraId="40FE1D63" w14:textId="77777777" w:rsidR="008C20EB" w:rsidRDefault="008C20EB">
                            <w:pPr>
                              <w:pStyle w:val="TableParagraph"/>
                              <w:rPr>
                                <w:rFonts w:ascii="Times New Roman"/>
                                <w:sz w:val="18"/>
                              </w:rPr>
                            </w:pPr>
                          </w:p>
                        </w:tc>
                      </w:tr>
                    </w:tbl>
                    <w:p w14:paraId="40FE1D65" w14:textId="77777777" w:rsidR="008C20EB" w:rsidRDefault="008C20EB">
                      <w:pPr>
                        <w:pStyle w:val="Textoindependiente"/>
                      </w:pPr>
                    </w:p>
                  </w:txbxContent>
                </v:textbox>
                <w10:wrap anchorx="page" anchory="page"/>
              </v:shape>
            </w:pict>
          </mc:Fallback>
        </mc:AlternateContent>
      </w:r>
    </w:p>
    <w:p w14:paraId="40FE18DF" w14:textId="77777777" w:rsidR="008C20EB" w:rsidRDefault="008C20EB">
      <w:pPr>
        <w:jc w:val="both"/>
        <w:rPr>
          <w:sz w:val="2"/>
          <w:szCs w:val="2"/>
        </w:rPr>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8E4" w14:textId="77777777">
        <w:trPr>
          <w:trHeight w:val="254"/>
        </w:trPr>
        <w:tc>
          <w:tcPr>
            <w:tcW w:w="1445" w:type="dxa"/>
            <w:vAlign w:val="bottom"/>
          </w:tcPr>
          <w:p w14:paraId="40FE18E0"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8E1" w14:textId="77777777" w:rsidR="008C20EB" w:rsidRDefault="008D25BE">
            <w:pPr>
              <w:pStyle w:val="TableParagraph"/>
              <w:spacing w:line="234" w:lineRule="exact"/>
              <w:ind w:left="556"/>
              <w:jc w:val="both"/>
              <w:rPr>
                <w:b/>
              </w:rPr>
            </w:pPr>
            <w:r>
              <w:rPr>
                <w:b/>
              </w:rPr>
              <w:t>FECHA</w:t>
            </w:r>
          </w:p>
        </w:tc>
        <w:tc>
          <w:tcPr>
            <w:tcW w:w="3500" w:type="dxa"/>
            <w:vAlign w:val="bottom"/>
          </w:tcPr>
          <w:p w14:paraId="40FE18E2"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8E3" w14:textId="77777777" w:rsidR="008C20EB" w:rsidRDefault="008D25BE">
            <w:pPr>
              <w:pStyle w:val="TableParagraph"/>
              <w:spacing w:line="234" w:lineRule="exact"/>
              <w:ind w:left="3271" w:right="3265"/>
              <w:jc w:val="both"/>
              <w:rPr>
                <w:b/>
              </w:rPr>
            </w:pPr>
            <w:r>
              <w:rPr>
                <w:b/>
              </w:rPr>
              <w:t>MODIFICATORIAS</w:t>
            </w:r>
          </w:p>
        </w:tc>
      </w:tr>
      <w:tr w:rsidR="008C20EB" w14:paraId="40FE18F7" w14:textId="77777777">
        <w:trPr>
          <w:trHeight w:val="6165"/>
        </w:trPr>
        <w:tc>
          <w:tcPr>
            <w:tcW w:w="1445" w:type="dxa"/>
          </w:tcPr>
          <w:p w14:paraId="40FE18E5" w14:textId="77777777" w:rsidR="008C20EB" w:rsidRDefault="008D25BE">
            <w:pPr>
              <w:pStyle w:val="TableParagraph"/>
              <w:spacing w:line="237" w:lineRule="auto"/>
              <w:ind w:left="71" w:right="42"/>
              <w:jc w:val="both"/>
              <w:rPr>
                <w:b/>
              </w:rPr>
            </w:pPr>
            <w:r>
              <w:rPr>
                <w:b/>
              </w:rPr>
              <w:t>Resolución SBS N° 1882-</w:t>
            </w:r>
          </w:p>
          <w:p w14:paraId="40FE18E6" w14:textId="77777777" w:rsidR="008C20EB" w:rsidRDefault="008D25BE">
            <w:pPr>
              <w:pStyle w:val="TableParagraph"/>
              <w:ind w:left="71"/>
              <w:jc w:val="both"/>
              <w:rPr>
                <w:b/>
              </w:rPr>
            </w:pPr>
            <w:r>
              <w:rPr>
                <w:b/>
              </w:rPr>
              <w:t>2014</w:t>
            </w:r>
          </w:p>
        </w:tc>
        <w:tc>
          <w:tcPr>
            <w:tcW w:w="1733" w:type="dxa"/>
          </w:tcPr>
          <w:p w14:paraId="40FE18E7"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26.03.2014</w:t>
            </w:r>
            <w:r>
              <w:rPr>
                <w:b/>
              </w:rPr>
              <w:tab/>
              <w:t>/</w:t>
            </w:r>
          </w:p>
          <w:p w14:paraId="40FE18E8" w14:textId="77777777" w:rsidR="008C20EB" w:rsidRDefault="008D25BE">
            <w:pPr>
              <w:pStyle w:val="TableParagraph"/>
              <w:spacing w:line="251" w:lineRule="exact"/>
              <w:jc w:val="both"/>
              <w:rPr>
                <w:b/>
              </w:rPr>
            </w:pPr>
            <w:r>
              <w:rPr>
                <w:b/>
              </w:rPr>
              <w:t>Pub. 29.03.2014)</w:t>
            </w:r>
          </w:p>
        </w:tc>
        <w:tc>
          <w:tcPr>
            <w:tcW w:w="3500" w:type="dxa"/>
          </w:tcPr>
          <w:p w14:paraId="40FE18E9" w14:textId="77777777" w:rsidR="008C20EB" w:rsidRDefault="008D25BE">
            <w:pPr>
              <w:pStyle w:val="TableParagraph"/>
              <w:tabs>
                <w:tab w:val="left" w:pos="1746"/>
                <w:tab w:val="left" w:pos="2481"/>
              </w:tabs>
              <w:ind w:left="177" w:right="65"/>
              <w:jc w:val="both"/>
            </w:pPr>
            <w:r>
              <w:t>Se modifican el Capítulo II “Estados Financieros</w:t>
            </w:r>
            <w:r>
              <w:tab/>
              <w:t>e</w:t>
            </w:r>
            <w:r>
              <w:tab/>
            </w:r>
            <w:r>
              <w:rPr>
                <w:spacing w:val="-1"/>
              </w:rPr>
              <w:t xml:space="preserve">Información </w:t>
            </w:r>
            <w:r>
              <w:t>Complementaria”, el Capítulo III “Catálogo de Cuentas” y Capítulo IV “Descripción y Dinámica de Cuentas”. Asimismo, se amplía el alcance de la remisión del Reporte N° 31 “Detalle de Fideicomisos por</w:t>
            </w:r>
            <w:r>
              <w:rPr>
                <w:spacing w:val="-5"/>
              </w:rPr>
              <w:t xml:space="preserve"> </w:t>
            </w:r>
            <w:r>
              <w:t>Contrato”.</w:t>
            </w:r>
          </w:p>
          <w:p w14:paraId="40FE18EA" w14:textId="77777777" w:rsidR="008C20EB" w:rsidRDefault="008C20EB">
            <w:pPr>
              <w:pStyle w:val="TableParagraph"/>
              <w:spacing w:before="11"/>
              <w:jc w:val="both"/>
              <w:rPr>
                <w:rFonts w:ascii="Arial"/>
                <w:b/>
                <w:sz w:val="20"/>
              </w:rPr>
            </w:pPr>
          </w:p>
          <w:p w14:paraId="40FE18EB" w14:textId="77777777" w:rsidR="008C20EB" w:rsidRDefault="008D25BE">
            <w:pPr>
              <w:pStyle w:val="TableParagraph"/>
              <w:ind w:left="177" w:right="67"/>
              <w:jc w:val="both"/>
            </w:pPr>
            <w:r>
              <w:t>La vigencia de estas modificaciones es a partir de la información de junio de 2014.</w:t>
            </w:r>
          </w:p>
        </w:tc>
        <w:tc>
          <w:tcPr>
            <w:tcW w:w="8162" w:type="dxa"/>
          </w:tcPr>
          <w:p w14:paraId="40FE18EC" w14:textId="77777777" w:rsidR="008C20EB" w:rsidRDefault="008D25BE">
            <w:pPr>
              <w:pStyle w:val="TableParagraph"/>
              <w:numPr>
                <w:ilvl w:val="0"/>
                <w:numId w:val="75"/>
              </w:numPr>
              <w:tabs>
                <w:tab w:val="left" w:pos="413"/>
                <w:tab w:val="left" w:pos="414"/>
              </w:tabs>
              <w:spacing w:line="258" w:lineRule="exact"/>
              <w:ind w:left="413" w:hanging="342"/>
              <w:jc w:val="both"/>
            </w:pPr>
            <w:r>
              <w:t>Se modifica el Capítulo II “Estados Financieros e Información</w:t>
            </w:r>
            <w:r>
              <w:rPr>
                <w:spacing w:val="-21"/>
              </w:rPr>
              <w:t xml:space="preserve"> </w:t>
            </w:r>
            <w:r>
              <w:t>Complementaria”:</w:t>
            </w:r>
          </w:p>
          <w:p w14:paraId="40FE18ED" w14:textId="77777777" w:rsidR="008C20EB" w:rsidRDefault="008C20EB">
            <w:pPr>
              <w:pStyle w:val="TableParagraph"/>
              <w:spacing w:before="10"/>
              <w:jc w:val="both"/>
              <w:rPr>
                <w:rFonts w:ascii="Arial"/>
                <w:b/>
                <w:sz w:val="21"/>
              </w:rPr>
            </w:pPr>
          </w:p>
          <w:p w14:paraId="40FE18EE" w14:textId="77777777" w:rsidR="008C20EB" w:rsidRDefault="008D25BE">
            <w:pPr>
              <w:pStyle w:val="TableParagraph"/>
              <w:numPr>
                <w:ilvl w:val="0"/>
                <w:numId w:val="75"/>
              </w:numPr>
              <w:tabs>
                <w:tab w:val="left" w:pos="371"/>
              </w:tabs>
              <w:spacing w:line="237" w:lineRule="auto"/>
              <w:ind w:right="62" w:hanging="284"/>
              <w:jc w:val="both"/>
            </w:pPr>
            <w:r>
              <w:t>Se incorpora en la parte I “Estados Financieros”, en el literal B “Notas a los Estados Financieros”, acápite 4 “Notas Específicas” como numeral 11 “Bienes Otorgados en Garantía”, requisitos de información sobre fideicomisos,</w:t>
            </w:r>
            <w:r>
              <w:rPr>
                <w:spacing w:val="-14"/>
              </w:rPr>
              <w:t xml:space="preserve"> </w:t>
            </w:r>
            <w:r>
              <w:t>incluyendo:</w:t>
            </w:r>
          </w:p>
          <w:p w14:paraId="40FE18EF" w14:textId="77777777" w:rsidR="008C20EB" w:rsidRDefault="008D25BE">
            <w:pPr>
              <w:pStyle w:val="TableParagraph"/>
              <w:numPr>
                <w:ilvl w:val="1"/>
                <w:numId w:val="75"/>
              </w:numPr>
              <w:tabs>
                <w:tab w:val="left" w:pos="1488"/>
                <w:tab w:val="left" w:pos="1489"/>
              </w:tabs>
              <w:spacing w:before="4" w:line="269" w:lineRule="exact"/>
              <w:ind w:hanging="697"/>
              <w:jc w:val="both"/>
            </w:pPr>
            <w:r>
              <w:t>Cartera de Créditos Otorgada en</w:t>
            </w:r>
            <w:r>
              <w:rPr>
                <w:spacing w:val="-15"/>
              </w:rPr>
              <w:t xml:space="preserve"> </w:t>
            </w:r>
            <w:r>
              <w:t>Garantía.</w:t>
            </w:r>
          </w:p>
          <w:p w14:paraId="40FE18F0" w14:textId="77777777" w:rsidR="008C20EB" w:rsidRDefault="008D25BE">
            <w:pPr>
              <w:pStyle w:val="TableParagraph"/>
              <w:numPr>
                <w:ilvl w:val="1"/>
                <w:numId w:val="75"/>
              </w:numPr>
              <w:tabs>
                <w:tab w:val="left" w:pos="1488"/>
                <w:tab w:val="left" w:pos="1489"/>
              </w:tabs>
              <w:spacing w:line="269" w:lineRule="exact"/>
              <w:ind w:hanging="697"/>
              <w:jc w:val="both"/>
            </w:pPr>
            <w:r>
              <w:t>Otros Bienes Otorgados en</w:t>
            </w:r>
            <w:r>
              <w:rPr>
                <w:spacing w:val="-10"/>
              </w:rPr>
              <w:t xml:space="preserve"> </w:t>
            </w:r>
            <w:r>
              <w:t>Garantía</w:t>
            </w:r>
          </w:p>
          <w:p w14:paraId="40FE18F1" w14:textId="77777777" w:rsidR="008C20EB" w:rsidRDefault="008C20EB">
            <w:pPr>
              <w:pStyle w:val="TableParagraph"/>
              <w:spacing w:before="10"/>
              <w:jc w:val="both"/>
              <w:rPr>
                <w:rFonts w:ascii="Arial"/>
                <w:b/>
                <w:sz w:val="21"/>
              </w:rPr>
            </w:pPr>
          </w:p>
          <w:p w14:paraId="40FE18F2" w14:textId="77777777" w:rsidR="008C20EB" w:rsidRDefault="008D25BE">
            <w:pPr>
              <w:pStyle w:val="TableParagraph"/>
              <w:numPr>
                <w:ilvl w:val="0"/>
                <w:numId w:val="75"/>
              </w:numPr>
              <w:tabs>
                <w:tab w:val="left" w:pos="371"/>
              </w:tabs>
              <w:spacing w:line="237" w:lineRule="auto"/>
              <w:ind w:right="63" w:hanging="284"/>
              <w:jc w:val="both"/>
            </w:pPr>
            <w:r>
              <w:t>Se sustituye en la parte IV “Publicación de Información Financiera”, el acápite “Información a ser publicada” y se incluye un formato denominado “Activos Otorgados en Garantía de Financiamientos</w:t>
            </w:r>
            <w:r>
              <w:rPr>
                <w:spacing w:val="-3"/>
              </w:rPr>
              <w:t xml:space="preserve"> </w:t>
            </w:r>
            <w:r>
              <w:t>Recibidos”.</w:t>
            </w:r>
          </w:p>
          <w:p w14:paraId="40FE18F3" w14:textId="77777777" w:rsidR="008C20EB" w:rsidRDefault="008C20EB">
            <w:pPr>
              <w:pStyle w:val="TableParagraph"/>
              <w:spacing w:before="8"/>
              <w:jc w:val="both"/>
              <w:rPr>
                <w:rFonts w:ascii="Arial"/>
                <w:b/>
              </w:rPr>
            </w:pPr>
          </w:p>
          <w:p w14:paraId="40FE18F4" w14:textId="77777777" w:rsidR="008C20EB" w:rsidRDefault="008D25BE">
            <w:pPr>
              <w:pStyle w:val="TableParagraph"/>
              <w:numPr>
                <w:ilvl w:val="0"/>
                <w:numId w:val="75"/>
              </w:numPr>
              <w:tabs>
                <w:tab w:val="left" w:pos="414"/>
              </w:tabs>
              <w:spacing w:line="237" w:lineRule="auto"/>
              <w:ind w:left="413" w:right="58"/>
              <w:jc w:val="both"/>
            </w:pPr>
            <w:r>
              <w:t>Se modifican el Capítulo III “Catálogo de Cuentas” y Capítulo IV “Descripción y Dinámica de Cuentas”, eliminando la cuenta analítica 1504.04.01 “Fideicomiso en garantía”, así como sus subcuentas analíticas, cuyos saldos serán reclasificados a la subcuenta analítica 1504.04.09.09 “Otros</w:t>
            </w:r>
            <w:r>
              <w:rPr>
                <w:spacing w:val="-3"/>
              </w:rPr>
              <w:t xml:space="preserve"> </w:t>
            </w:r>
            <w:r>
              <w:t>Contratos”.</w:t>
            </w:r>
          </w:p>
          <w:p w14:paraId="40FE18F5" w14:textId="77777777" w:rsidR="008C20EB" w:rsidRDefault="008C20EB">
            <w:pPr>
              <w:pStyle w:val="TableParagraph"/>
              <w:spacing w:before="7"/>
              <w:jc w:val="both"/>
              <w:rPr>
                <w:rFonts w:ascii="Arial"/>
                <w:b/>
              </w:rPr>
            </w:pPr>
          </w:p>
          <w:p w14:paraId="40FE18F6" w14:textId="77777777" w:rsidR="008C20EB" w:rsidRDefault="008D25BE">
            <w:pPr>
              <w:pStyle w:val="TableParagraph"/>
              <w:numPr>
                <w:ilvl w:val="0"/>
                <w:numId w:val="75"/>
              </w:numPr>
              <w:tabs>
                <w:tab w:val="left" w:pos="414"/>
              </w:tabs>
              <w:spacing w:before="1" w:line="237" w:lineRule="auto"/>
              <w:ind w:left="413" w:right="60"/>
              <w:jc w:val="both"/>
            </w:pPr>
            <w:r>
              <w:t>Se amplía el ámbito de aplicación del Reporte N° 31 “Detalle de Fideicomisos por Contrato”, a las empresas comprendidas en el literal A del artículo 16° de la Ley General, a las empresas afianzadoras</w:t>
            </w:r>
            <w:r>
              <w:rPr>
                <w:spacing w:val="-4"/>
              </w:rPr>
              <w:t xml:space="preserve"> </w:t>
            </w:r>
            <w:r>
              <w:t>y</w:t>
            </w:r>
            <w:r>
              <w:rPr>
                <w:spacing w:val="-4"/>
              </w:rPr>
              <w:t xml:space="preserve"> </w:t>
            </w:r>
            <w:r>
              <w:t>de</w:t>
            </w:r>
            <w:r>
              <w:rPr>
                <w:spacing w:val="-5"/>
              </w:rPr>
              <w:t xml:space="preserve"> </w:t>
            </w:r>
            <w:r>
              <w:t>garantías,</w:t>
            </w:r>
            <w:r>
              <w:rPr>
                <w:spacing w:val="-7"/>
              </w:rPr>
              <w:t xml:space="preserve"> </w:t>
            </w:r>
            <w:r>
              <w:t>al</w:t>
            </w:r>
            <w:r>
              <w:rPr>
                <w:spacing w:val="-2"/>
              </w:rPr>
              <w:t xml:space="preserve"> </w:t>
            </w:r>
            <w:r>
              <w:t>Banco</w:t>
            </w:r>
            <w:r>
              <w:rPr>
                <w:spacing w:val="-4"/>
              </w:rPr>
              <w:t xml:space="preserve"> </w:t>
            </w:r>
            <w:r>
              <w:t>de</w:t>
            </w:r>
            <w:r>
              <w:rPr>
                <w:spacing w:val="-5"/>
              </w:rPr>
              <w:t xml:space="preserve"> </w:t>
            </w:r>
            <w:r>
              <w:t>la Nación,</w:t>
            </w:r>
            <w:r>
              <w:rPr>
                <w:spacing w:val="-7"/>
              </w:rPr>
              <w:t xml:space="preserve"> </w:t>
            </w:r>
            <w:r>
              <w:t>al</w:t>
            </w:r>
            <w:r>
              <w:rPr>
                <w:spacing w:val="-7"/>
              </w:rPr>
              <w:t xml:space="preserve"> </w:t>
            </w:r>
            <w:r>
              <w:t>Banco Agropecuario</w:t>
            </w:r>
            <w:r>
              <w:rPr>
                <w:spacing w:val="-4"/>
              </w:rPr>
              <w:t xml:space="preserve"> </w:t>
            </w:r>
            <w:r>
              <w:t>(AGROBANCO)</w:t>
            </w:r>
            <w:r>
              <w:rPr>
                <w:spacing w:val="-3"/>
              </w:rPr>
              <w:t xml:space="preserve"> </w:t>
            </w:r>
            <w:r>
              <w:t>y</w:t>
            </w:r>
            <w:r>
              <w:rPr>
                <w:spacing w:val="-4"/>
              </w:rPr>
              <w:t xml:space="preserve"> </w:t>
            </w:r>
            <w:r>
              <w:t>al Fondo</w:t>
            </w:r>
            <w:r>
              <w:rPr>
                <w:spacing w:val="-4"/>
              </w:rPr>
              <w:t xml:space="preserve"> </w:t>
            </w:r>
            <w:r>
              <w:t>MIVIVIENDA.</w:t>
            </w:r>
          </w:p>
        </w:tc>
      </w:tr>
      <w:tr w:rsidR="008C20EB" w14:paraId="40FE1901" w14:textId="77777777">
        <w:trPr>
          <w:trHeight w:val="1310"/>
        </w:trPr>
        <w:tc>
          <w:tcPr>
            <w:tcW w:w="1445" w:type="dxa"/>
          </w:tcPr>
          <w:p w14:paraId="40FE18F8" w14:textId="77777777" w:rsidR="008C20EB" w:rsidRDefault="008D25BE">
            <w:pPr>
              <w:pStyle w:val="TableParagraph"/>
              <w:spacing w:line="237" w:lineRule="auto"/>
              <w:ind w:left="71" w:right="42"/>
              <w:jc w:val="both"/>
              <w:rPr>
                <w:b/>
              </w:rPr>
            </w:pPr>
            <w:r>
              <w:rPr>
                <w:b/>
              </w:rPr>
              <w:t>Resolución SBS N° 1014-</w:t>
            </w:r>
          </w:p>
          <w:p w14:paraId="40FE18F9" w14:textId="77777777" w:rsidR="008C20EB" w:rsidRDefault="008D25BE">
            <w:pPr>
              <w:pStyle w:val="TableParagraph"/>
              <w:ind w:left="71"/>
              <w:jc w:val="both"/>
              <w:rPr>
                <w:b/>
              </w:rPr>
            </w:pPr>
            <w:r>
              <w:rPr>
                <w:b/>
              </w:rPr>
              <w:t>2014</w:t>
            </w:r>
          </w:p>
        </w:tc>
        <w:tc>
          <w:tcPr>
            <w:tcW w:w="1733" w:type="dxa"/>
          </w:tcPr>
          <w:p w14:paraId="40FE18FA"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13.02.2014</w:t>
            </w:r>
            <w:r>
              <w:rPr>
                <w:b/>
              </w:rPr>
              <w:tab/>
              <w:t>/</w:t>
            </w:r>
          </w:p>
          <w:p w14:paraId="40FE18FB" w14:textId="77777777" w:rsidR="008C20EB" w:rsidRDefault="008D25BE">
            <w:pPr>
              <w:pStyle w:val="TableParagraph"/>
              <w:spacing w:line="251" w:lineRule="exact"/>
              <w:jc w:val="both"/>
              <w:rPr>
                <w:b/>
              </w:rPr>
            </w:pPr>
            <w:r>
              <w:rPr>
                <w:b/>
              </w:rPr>
              <w:t>Pub. 16.02.2014)</w:t>
            </w:r>
          </w:p>
        </w:tc>
        <w:tc>
          <w:tcPr>
            <w:tcW w:w="3500" w:type="dxa"/>
          </w:tcPr>
          <w:p w14:paraId="40FE18FC" w14:textId="77777777" w:rsidR="008C20EB" w:rsidRDefault="008D25BE">
            <w:pPr>
              <w:pStyle w:val="TableParagraph"/>
              <w:tabs>
                <w:tab w:val="left" w:pos="2259"/>
              </w:tabs>
              <w:ind w:left="177" w:right="62"/>
              <w:jc w:val="both"/>
            </w:pPr>
            <w:r>
              <w:t>Se modifican el Capítulo V “Información Complementaria”,</w:t>
            </w:r>
            <w:r>
              <w:tab/>
            </w:r>
            <w:r>
              <w:rPr>
                <w:spacing w:val="-1"/>
              </w:rPr>
              <w:t xml:space="preserve">modificándose </w:t>
            </w:r>
            <w:r>
              <w:t>reportes de Medición del Riesgo de Tasa de</w:t>
            </w:r>
            <w:r>
              <w:rPr>
                <w:spacing w:val="-6"/>
              </w:rPr>
              <w:t xml:space="preserve"> </w:t>
            </w:r>
            <w:r>
              <w:t>Interés</w:t>
            </w:r>
          </w:p>
        </w:tc>
        <w:tc>
          <w:tcPr>
            <w:tcW w:w="8162" w:type="dxa"/>
          </w:tcPr>
          <w:p w14:paraId="40FE18FD" w14:textId="77777777" w:rsidR="008C20EB" w:rsidRDefault="008D25BE">
            <w:pPr>
              <w:pStyle w:val="TableParagraph"/>
              <w:spacing w:line="242" w:lineRule="exact"/>
              <w:ind w:left="72"/>
              <w:jc w:val="both"/>
            </w:pPr>
            <w:r>
              <w:t>Se modifican los Anexos del Manual de Contabilidad:</w:t>
            </w:r>
          </w:p>
          <w:p w14:paraId="40FE18FE" w14:textId="77777777" w:rsidR="008C20EB" w:rsidRDefault="008D25BE">
            <w:pPr>
              <w:pStyle w:val="TableParagraph"/>
              <w:numPr>
                <w:ilvl w:val="0"/>
                <w:numId w:val="76"/>
              </w:numPr>
              <w:tabs>
                <w:tab w:val="left" w:pos="413"/>
                <w:tab w:val="left" w:pos="414"/>
              </w:tabs>
              <w:spacing w:before="1" w:line="267" w:lineRule="exact"/>
              <w:ind w:hanging="342"/>
              <w:jc w:val="both"/>
            </w:pPr>
            <w:r>
              <w:t>Anexo N° 7-A “Medición del Riesgo de Tasa de Interés – Ganancias en</w:t>
            </w:r>
            <w:r>
              <w:rPr>
                <w:spacing w:val="-24"/>
              </w:rPr>
              <w:t xml:space="preserve"> </w:t>
            </w:r>
            <w:r>
              <w:t>Riesgo”</w:t>
            </w:r>
          </w:p>
          <w:p w14:paraId="40FE18FF" w14:textId="77777777" w:rsidR="008C20EB" w:rsidRDefault="008D25BE">
            <w:pPr>
              <w:pStyle w:val="TableParagraph"/>
              <w:numPr>
                <w:ilvl w:val="0"/>
                <w:numId w:val="76"/>
              </w:numPr>
              <w:tabs>
                <w:tab w:val="left" w:pos="413"/>
                <w:tab w:val="left" w:pos="414"/>
              </w:tabs>
              <w:spacing w:line="267" w:lineRule="exact"/>
              <w:ind w:hanging="342"/>
              <w:jc w:val="both"/>
            </w:pPr>
            <w:r>
              <w:t>Anexo N° 7-B “Medición del Riesgo de Tasa de Interés – Valor Patrimonial en</w:t>
            </w:r>
            <w:r>
              <w:rPr>
                <w:spacing w:val="-32"/>
              </w:rPr>
              <w:t xml:space="preserve"> </w:t>
            </w:r>
            <w:r>
              <w:t>Riesgo”</w:t>
            </w:r>
          </w:p>
          <w:p w14:paraId="40FE1900" w14:textId="77777777" w:rsidR="008C20EB" w:rsidRDefault="008D25BE">
            <w:pPr>
              <w:pStyle w:val="TableParagraph"/>
              <w:numPr>
                <w:ilvl w:val="0"/>
                <w:numId w:val="76"/>
              </w:numPr>
              <w:tabs>
                <w:tab w:val="left" w:pos="413"/>
                <w:tab w:val="left" w:pos="414"/>
              </w:tabs>
              <w:ind w:hanging="342"/>
              <w:jc w:val="both"/>
            </w:pPr>
            <w:r>
              <w:t>La vigencia de estos reportes es a partir de marzo</w:t>
            </w:r>
            <w:r>
              <w:rPr>
                <w:spacing w:val="-23"/>
              </w:rPr>
              <w:t xml:space="preserve"> </w:t>
            </w:r>
            <w:r>
              <w:t>2014</w:t>
            </w:r>
          </w:p>
        </w:tc>
      </w:tr>
      <w:tr w:rsidR="008C20EB" w14:paraId="40FE1910" w14:textId="77777777">
        <w:trPr>
          <w:trHeight w:val="1526"/>
        </w:trPr>
        <w:tc>
          <w:tcPr>
            <w:tcW w:w="1445" w:type="dxa"/>
          </w:tcPr>
          <w:p w14:paraId="40FE1902" w14:textId="77777777" w:rsidR="008C20EB" w:rsidRDefault="008D25BE">
            <w:pPr>
              <w:pStyle w:val="TableParagraph"/>
              <w:spacing w:line="237" w:lineRule="exact"/>
              <w:ind w:left="71"/>
              <w:jc w:val="both"/>
              <w:rPr>
                <w:b/>
              </w:rPr>
            </w:pPr>
            <w:r>
              <w:rPr>
                <w:b/>
              </w:rPr>
              <w:t>Resolución</w:t>
            </w:r>
          </w:p>
          <w:p w14:paraId="40FE1903" w14:textId="77777777" w:rsidR="008C20EB" w:rsidRDefault="008D25BE">
            <w:pPr>
              <w:pStyle w:val="TableParagraph"/>
              <w:spacing w:before="2" w:line="251" w:lineRule="exact"/>
              <w:ind w:left="71"/>
              <w:jc w:val="both"/>
              <w:rPr>
                <w:b/>
              </w:rPr>
            </w:pPr>
            <w:r>
              <w:rPr>
                <w:b/>
              </w:rPr>
              <w:t>SBS N° 272-</w:t>
            </w:r>
          </w:p>
          <w:p w14:paraId="40FE1904" w14:textId="77777777" w:rsidR="008C20EB" w:rsidRDefault="008D25BE">
            <w:pPr>
              <w:pStyle w:val="TableParagraph"/>
              <w:spacing w:line="251" w:lineRule="exact"/>
              <w:ind w:left="71"/>
              <w:jc w:val="both"/>
              <w:rPr>
                <w:b/>
              </w:rPr>
            </w:pPr>
            <w:r>
              <w:rPr>
                <w:b/>
              </w:rPr>
              <w:t>2014</w:t>
            </w:r>
          </w:p>
        </w:tc>
        <w:tc>
          <w:tcPr>
            <w:tcW w:w="1733" w:type="dxa"/>
          </w:tcPr>
          <w:p w14:paraId="40FE1905"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16.01.2014</w:t>
            </w:r>
            <w:r>
              <w:rPr>
                <w:b/>
              </w:rPr>
              <w:tab/>
              <w:t>/</w:t>
            </w:r>
          </w:p>
          <w:p w14:paraId="40FE1906" w14:textId="77777777" w:rsidR="008C20EB" w:rsidRDefault="008D25BE">
            <w:pPr>
              <w:pStyle w:val="TableParagraph"/>
              <w:spacing w:before="2"/>
              <w:jc w:val="both"/>
              <w:rPr>
                <w:b/>
              </w:rPr>
            </w:pPr>
            <w:r>
              <w:rPr>
                <w:b/>
              </w:rPr>
              <w:t>Pub. 20.01.2014)</w:t>
            </w:r>
          </w:p>
        </w:tc>
        <w:tc>
          <w:tcPr>
            <w:tcW w:w="3500" w:type="dxa"/>
          </w:tcPr>
          <w:p w14:paraId="40FE1907" w14:textId="77777777" w:rsidR="008C20EB" w:rsidRDefault="008D25BE">
            <w:pPr>
              <w:pStyle w:val="TableParagraph"/>
              <w:spacing w:line="237" w:lineRule="exact"/>
              <w:ind w:left="177"/>
              <w:jc w:val="both"/>
            </w:pPr>
            <w:r>
              <w:t>Se modifica el Capítulo V “Información</w:t>
            </w:r>
          </w:p>
          <w:p w14:paraId="40FE1908" w14:textId="77777777" w:rsidR="008C20EB" w:rsidRDefault="008D25BE">
            <w:pPr>
              <w:pStyle w:val="TableParagraph"/>
              <w:tabs>
                <w:tab w:val="left" w:pos="2259"/>
              </w:tabs>
              <w:spacing w:before="4" w:line="237" w:lineRule="auto"/>
              <w:ind w:left="177" w:right="62"/>
              <w:jc w:val="both"/>
            </w:pPr>
            <w:r>
              <w:t>Complementaria”,</w:t>
            </w:r>
            <w:r>
              <w:tab/>
            </w:r>
            <w:r>
              <w:rPr>
                <w:spacing w:val="-1"/>
              </w:rPr>
              <w:t xml:space="preserve">modificándose </w:t>
            </w:r>
            <w:r>
              <w:t>reportes de Grupo</w:t>
            </w:r>
            <w:r>
              <w:rPr>
                <w:spacing w:val="-9"/>
              </w:rPr>
              <w:t xml:space="preserve"> </w:t>
            </w:r>
            <w:r>
              <w:t>económico.</w:t>
            </w:r>
          </w:p>
          <w:p w14:paraId="40FE1909" w14:textId="77777777" w:rsidR="008C20EB" w:rsidRDefault="008C20EB">
            <w:pPr>
              <w:pStyle w:val="TableParagraph"/>
              <w:spacing w:before="6"/>
              <w:jc w:val="both"/>
              <w:rPr>
                <w:rFonts w:ascii="Arial"/>
                <w:b/>
              </w:rPr>
            </w:pPr>
          </w:p>
          <w:p w14:paraId="40FE190A" w14:textId="77777777" w:rsidR="008C20EB" w:rsidRDefault="008D25BE">
            <w:pPr>
              <w:pStyle w:val="TableParagraph"/>
              <w:spacing w:line="237" w:lineRule="auto"/>
              <w:ind w:left="177"/>
              <w:jc w:val="both"/>
            </w:pPr>
            <w:r>
              <w:t>La vigencia de estos reportes es a partir de la presentación de la información</w:t>
            </w:r>
          </w:p>
        </w:tc>
        <w:tc>
          <w:tcPr>
            <w:tcW w:w="8162" w:type="dxa"/>
          </w:tcPr>
          <w:p w14:paraId="40FE190B" w14:textId="77777777" w:rsidR="008C20EB" w:rsidRDefault="008D25BE">
            <w:pPr>
              <w:pStyle w:val="TableParagraph"/>
              <w:spacing w:line="237" w:lineRule="exact"/>
              <w:ind w:left="72"/>
              <w:jc w:val="both"/>
            </w:pPr>
            <w:r>
              <w:t>Se sustituyen los formatos de los Reportes N° 19 y N° 19-A del Manual de Contabilidad, por los</w:t>
            </w:r>
          </w:p>
          <w:p w14:paraId="40FE190C" w14:textId="77777777" w:rsidR="008C20EB" w:rsidRDefault="008D25BE">
            <w:pPr>
              <w:pStyle w:val="TableParagraph"/>
              <w:spacing w:before="2"/>
              <w:ind w:left="72"/>
              <w:jc w:val="both"/>
            </w:pPr>
            <w:r>
              <w:t>siguientes:</w:t>
            </w:r>
          </w:p>
          <w:p w14:paraId="40FE190D" w14:textId="77777777" w:rsidR="008C20EB" w:rsidRDefault="008C20EB">
            <w:pPr>
              <w:pStyle w:val="TableParagraph"/>
              <w:spacing w:before="9"/>
              <w:jc w:val="both"/>
              <w:rPr>
                <w:rFonts w:ascii="Arial"/>
                <w:b/>
                <w:sz w:val="21"/>
              </w:rPr>
            </w:pPr>
          </w:p>
          <w:p w14:paraId="40FE190E" w14:textId="77777777" w:rsidR="008C20EB" w:rsidRDefault="008D25BE">
            <w:pPr>
              <w:pStyle w:val="TableParagraph"/>
              <w:numPr>
                <w:ilvl w:val="0"/>
                <w:numId w:val="77"/>
              </w:numPr>
              <w:tabs>
                <w:tab w:val="left" w:pos="413"/>
                <w:tab w:val="left" w:pos="414"/>
              </w:tabs>
              <w:jc w:val="both"/>
            </w:pPr>
            <w:r>
              <w:t>Reporte</w:t>
            </w:r>
            <w:r>
              <w:rPr>
                <w:spacing w:val="-6"/>
              </w:rPr>
              <w:t xml:space="preserve"> </w:t>
            </w:r>
            <w:r>
              <w:t>N°</w:t>
            </w:r>
            <w:r>
              <w:rPr>
                <w:spacing w:val="-7"/>
              </w:rPr>
              <w:t xml:space="preserve"> </w:t>
            </w:r>
            <w:r>
              <w:t>19</w:t>
            </w:r>
            <w:r>
              <w:rPr>
                <w:spacing w:val="5"/>
              </w:rPr>
              <w:t xml:space="preserve"> </w:t>
            </w:r>
            <w:r>
              <w:t>“Información</w:t>
            </w:r>
            <w:r>
              <w:rPr>
                <w:spacing w:val="-5"/>
              </w:rPr>
              <w:t xml:space="preserve"> </w:t>
            </w:r>
            <w:r>
              <w:t>sobre</w:t>
            </w:r>
            <w:r>
              <w:rPr>
                <w:spacing w:val="-6"/>
              </w:rPr>
              <w:t xml:space="preserve"> </w:t>
            </w:r>
            <w:r>
              <w:t>el</w:t>
            </w:r>
            <w:r>
              <w:rPr>
                <w:spacing w:val="-2"/>
              </w:rPr>
              <w:t xml:space="preserve"> </w:t>
            </w:r>
            <w:r>
              <w:t>Grupo</w:t>
            </w:r>
            <w:r>
              <w:rPr>
                <w:spacing w:val="-4"/>
              </w:rPr>
              <w:t xml:space="preserve"> </w:t>
            </w:r>
            <w:r>
              <w:t>Económico de</w:t>
            </w:r>
            <w:r>
              <w:rPr>
                <w:spacing w:val="-5"/>
              </w:rPr>
              <w:t xml:space="preserve"> </w:t>
            </w:r>
            <w:r>
              <w:t>la</w:t>
            </w:r>
            <w:r>
              <w:rPr>
                <w:spacing w:val="4"/>
              </w:rPr>
              <w:t xml:space="preserve"> </w:t>
            </w:r>
            <w:r>
              <w:t>empresa”,</w:t>
            </w:r>
            <w:r>
              <w:rPr>
                <w:spacing w:val="-3"/>
              </w:rPr>
              <w:t xml:space="preserve"> </w:t>
            </w:r>
            <w:r>
              <w:t>el</w:t>
            </w:r>
            <w:r>
              <w:rPr>
                <w:spacing w:val="-3"/>
              </w:rPr>
              <w:t xml:space="preserve"> </w:t>
            </w:r>
            <w:r>
              <w:t>cual</w:t>
            </w:r>
            <w:r>
              <w:rPr>
                <w:spacing w:val="-6"/>
              </w:rPr>
              <w:t xml:space="preserve"> </w:t>
            </w:r>
            <w:r>
              <w:t>está conformado</w:t>
            </w:r>
          </w:p>
          <w:p w14:paraId="40FE190F" w14:textId="77777777" w:rsidR="008C20EB" w:rsidRDefault="008D25BE">
            <w:pPr>
              <w:pStyle w:val="TableParagraph"/>
              <w:spacing w:before="7" w:line="250" w:lineRule="exact"/>
              <w:ind w:left="413"/>
              <w:jc w:val="both"/>
            </w:pPr>
            <w:r>
              <w:t>por los Reportes N° 19-I “Información General” y N° 19-II “Persona jurídica sobre la cual ejerce control”.</w:t>
            </w:r>
          </w:p>
        </w:tc>
      </w:tr>
    </w:tbl>
    <w:p w14:paraId="40FE1911" w14:textId="77777777" w:rsidR="008C20EB" w:rsidRDefault="008C20EB">
      <w:pPr>
        <w:spacing w:line="25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916" w14:textId="77777777">
        <w:trPr>
          <w:trHeight w:val="254"/>
        </w:trPr>
        <w:tc>
          <w:tcPr>
            <w:tcW w:w="1445" w:type="dxa"/>
            <w:vAlign w:val="bottom"/>
          </w:tcPr>
          <w:p w14:paraId="40FE1912"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913" w14:textId="77777777" w:rsidR="008C20EB" w:rsidRDefault="008D25BE">
            <w:pPr>
              <w:pStyle w:val="TableParagraph"/>
              <w:spacing w:line="234" w:lineRule="exact"/>
              <w:ind w:left="556"/>
              <w:jc w:val="both"/>
              <w:rPr>
                <w:b/>
              </w:rPr>
            </w:pPr>
            <w:r>
              <w:rPr>
                <w:b/>
              </w:rPr>
              <w:t>FECHA</w:t>
            </w:r>
          </w:p>
        </w:tc>
        <w:tc>
          <w:tcPr>
            <w:tcW w:w="3500" w:type="dxa"/>
            <w:vAlign w:val="bottom"/>
          </w:tcPr>
          <w:p w14:paraId="40FE1914"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915" w14:textId="77777777" w:rsidR="008C20EB" w:rsidRDefault="008D25BE">
            <w:pPr>
              <w:pStyle w:val="TableParagraph"/>
              <w:spacing w:line="234" w:lineRule="exact"/>
              <w:ind w:left="3271" w:right="3265"/>
              <w:jc w:val="both"/>
              <w:rPr>
                <w:b/>
              </w:rPr>
            </w:pPr>
            <w:r>
              <w:rPr>
                <w:b/>
              </w:rPr>
              <w:t>MODIFICATORIAS</w:t>
            </w:r>
          </w:p>
        </w:tc>
      </w:tr>
      <w:tr w:rsidR="008C20EB" w14:paraId="40FE191C" w14:textId="77777777">
        <w:trPr>
          <w:trHeight w:val="570"/>
        </w:trPr>
        <w:tc>
          <w:tcPr>
            <w:tcW w:w="1445" w:type="dxa"/>
          </w:tcPr>
          <w:p w14:paraId="40FE1917" w14:textId="77777777" w:rsidR="008C20EB" w:rsidRDefault="008C20EB">
            <w:pPr>
              <w:pStyle w:val="TableParagraph"/>
              <w:jc w:val="both"/>
              <w:rPr>
                <w:rFonts w:ascii="Times New Roman"/>
              </w:rPr>
            </w:pPr>
          </w:p>
        </w:tc>
        <w:tc>
          <w:tcPr>
            <w:tcW w:w="1733" w:type="dxa"/>
          </w:tcPr>
          <w:p w14:paraId="40FE1918" w14:textId="77777777" w:rsidR="008C20EB" w:rsidRDefault="008C20EB">
            <w:pPr>
              <w:pStyle w:val="TableParagraph"/>
              <w:jc w:val="both"/>
              <w:rPr>
                <w:rFonts w:ascii="Times New Roman"/>
              </w:rPr>
            </w:pPr>
          </w:p>
        </w:tc>
        <w:tc>
          <w:tcPr>
            <w:tcW w:w="3500" w:type="dxa"/>
          </w:tcPr>
          <w:p w14:paraId="40FE1919" w14:textId="77777777" w:rsidR="008C20EB" w:rsidRDefault="008D25BE">
            <w:pPr>
              <w:pStyle w:val="TableParagraph"/>
              <w:spacing w:line="242" w:lineRule="exact"/>
              <w:ind w:left="177"/>
              <w:jc w:val="both"/>
            </w:pPr>
            <w:r>
              <w:t>anual del periodo 2013.</w:t>
            </w:r>
          </w:p>
        </w:tc>
        <w:tc>
          <w:tcPr>
            <w:tcW w:w="8162" w:type="dxa"/>
          </w:tcPr>
          <w:p w14:paraId="40FE191A" w14:textId="77777777" w:rsidR="008C20EB" w:rsidRDefault="008D25BE">
            <w:pPr>
              <w:pStyle w:val="TableParagraph"/>
              <w:numPr>
                <w:ilvl w:val="0"/>
                <w:numId w:val="78"/>
              </w:numPr>
              <w:tabs>
                <w:tab w:val="left" w:pos="413"/>
                <w:tab w:val="left" w:pos="414"/>
              </w:tabs>
              <w:spacing w:line="235" w:lineRule="auto"/>
              <w:ind w:right="62"/>
              <w:jc w:val="both"/>
            </w:pPr>
            <w:r>
              <w:t>Reporte N° 19-A “Información sobre personas jurídicas integrantes del Grupo Económico de la empresa”.</w:t>
            </w:r>
          </w:p>
          <w:p w14:paraId="40FE191B" w14:textId="77777777" w:rsidR="008C20EB" w:rsidRDefault="008C20EB">
            <w:pPr>
              <w:pStyle w:val="TableParagraph"/>
              <w:ind w:left="72"/>
              <w:jc w:val="both"/>
              <w:rPr>
                <w:rFonts w:ascii="Symbol" w:hAnsi="Symbol"/>
              </w:rPr>
            </w:pPr>
          </w:p>
        </w:tc>
      </w:tr>
      <w:tr w:rsidR="008C20EB" w14:paraId="40FE1927" w14:textId="77777777">
        <w:trPr>
          <w:trHeight w:val="1545"/>
        </w:trPr>
        <w:tc>
          <w:tcPr>
            <w:tcW w:w="1445" w:type="dxa"/>
          </w:tcPr>
          <w:p w14:paraId="40FE191D" w14:textId="77777777" w:rsidR="008C20EB" w:rsidRDefault="008D25BE">
            <w:pPr>
              <w:pStyle w:val="TableParagraph"/>
              <w:spacing w:line="237" w:lineRule="exact"/>
              <w:ind w:left="71"/>
              <w:jc w:val="both"/>
              <w:rPr>
                <w:b/>
              </w:rPr>
            </w:pPr>
            <w:r>
              <w:rPr>
                <w:b/>
              </w:rPr>
              <w:t>Resolución</w:t>
            </w:r>
          </w:p>
          <w:p w14:paraId="40FE191E" w14:textId="77777777" w:rsidR="008C20EB" w:rsidRDefault="008D25BE">
            <w:pPr>
              <w:pStyle w:val="TableParagraph"/>
              <w:spacing w:before="2"/>
              <w:ind w:left="71"/>
              <w:jc w:val="both"/>
              <w:rPr>
                <w:b/>
              </w:rPr>
            </w:pPr>
            <w:r>
              <w:rPr>
                <w:b/>
              </w:rPr>
              <w:t>SBS N° 6283-</w:t>
            </w:r>
          </w:p>
          <w:p w14:paraId="40FE191F" w14:textId="77777777" w:rsidR="008C20EB" w:rsidRDefault="008D25BE">
            <w:pPr>
              <w:pStyle w:val="TableParagraph"/>
              <w:spacing w:before="2"/>
              <w:ind w:left="71"/>
              <w:jc w:val="both"/>
              <w:rPr>
                <w:b/>
              </w:rPr>
            </w:pPr>
            <w:r>
              <w:rPr>
                <w:b/>
              </w:rPr>
              <w:t>2013</w:t>
            </w:r>
          </w:p>
        </w:tc>
        <w:tc>
          <w:tcPr>
            <w:tcW w:w="1733" w:type="dxa"/>
          </w:tcPr>
          <w:p w14:paraId="40FE1920" w14:textId="77777777" w:rsidR="008C20EB" w:rsidRDefault="008D25BE">
            <w:pPr>
              <w:pStyle w:val="TableParagraph"/>
              <w:tabs>
                <w:tab w:val="left" w:pos="1607"/>
              </w:tabs>
              <w:spacing w:line="237" w:lineRule="exact"/>
              <w:jc w:val="both"/>
              <w:rPr>
                <w:b/>
              </w:rPr>
            </w:pPr>
            <w:r>
              <w:rPr>
                <w:b/>
              </w:rPr>
              <w:t xml:space="preserve">(Pr.  </w:t>
            </w:r>
            <w:r>
              <w:rPr>
                <w:b/>
                <w:spacing w:val="44"/>
              </w:rPr>
              <w:t xml:space="preserve"> </w:t>
            </w:r>
            <w:r>
              <w:rPr>
                <w:b/>
              </w:rPr>
              <w:t>18.10.2013</w:t>
            </w:r>
            <w:r>
              <w:rPr>
                <w:b/>
              </w:rPr>
              <w:tab/>
              <w:t>/</w:t>
            </w:r>
          </w:p>
          <w:p w14:paraId="40FE1921" w14:textId="77777777" w:rsidR="008C20EB" w:rsidRDefault="008D25BE">
            <w:pPr>
              <w:pStyle w:val="TableParagraph"/>
              <w:spacing w:before="2"/>
              <w:jc w:val="both"/>
              <w:rPr>
                <w:b/>
              </w:rPr>
            </w:pPr>
            <w:r>
              <w:rPr>
                <w:b/>
              </w:rPr>
              <w:t>Pub. 21.10.2013)</w:t>
            </w:r>
          </w:p>
        </w:tc>
        <w:tc>
          <w:tcPr>
            <w:tcW w:w="3500" w:type="dxa"/>
          </w:tcPr>
          <w:p w14:paraId="40FE1922" w14:textId="77777777" w:rsidR="008C20EB" w:rsidRDefault="008D25BE">
            <w:pPr>
              <w:pStyle w:val="TableParagraph"/>
              <w:spacing w:line="237" w:lineRule="exact"/>
              <w:ind w:left="177"/>
              <w:jc w:val="both"/>
            </w:pPr>
            <w:r>
              <w:t>Se modifican el Capítulo V “Información</w:t>
            </w:r>
          </w:p>
          <w:p w14:paraId="40FE1923" w14:textId="77777777" w:rsidR="008C20EB" w:rsidRDefault="008D25BE">
            <w:pPr>
              <w:pStyle w:val="TableParagraph"/>
              <w:tabs>
                <w:tab w:val="left" w:pos="2178"/>
              </w:tabs>
              <w:spacing w:before="2"/>
              <w:ind w:left="177" w:right="57"/>
              <w:jc w:val="both"/>
            </w:pPr>
            <w:r>
              <w:t>Complementaria”,</w:t>
            </w:r>
            <w:r>
              <w:tab/>
            </w:r>
            <w:r>
              <w:t>incorporándose reportes de dinero</w:t>
            </w:r>
            <w:r>
              <w:rPr>
                <w:spacing w:val="-10"/>
              </w:rPr>
              <w:t xml:space="preserve"> </w:t>
            </w:r>
            <w:r>
              <w:t>electrónico.</w:t>
            </w:r>
          </w:p>
        </w:tc>
        <w:tc>
          <w:tcPr>
            <w:tcW w:w="8162" w:type="dxa"/>
          </w:tcPr>
          <w:p w14:paraId="40FE1924" w14:textId="77777777" w:rsidR="008C20EB" w:rsidRDefault="008D25BE">
            <w:pPr>
              <w:pStyle w:val="TableParagraph"/>
              <w:numPr>
                <w:ilvl w:val="0"/>
                <w:numId w:val="79"/>
              </w:numPr>
              <w:tabs>
                <w:tab w:val="left" w:pos="433"/>
              </w:tabs>
              <w:spacing w:line="237" w:lineRule="auto"/>
              <w:ind w:right="59"/>
              <w:jc w:val="both"/>
            </w:pPr>
            <w:r>
              <w:t>Se incorporan los Reportes los Reportes N° 32-A “Reporte Diario de Dinero Electrónico” de periodicidad diaria y N° 32-B “Reporte Mensual de Dinero Electrónico” de periodicidad mensual.</w:t>
            </w:r>
          </w:p>
          <w:p w14:paraId="40FE1925" w14:textId="77777777" w:rsidR="008C20EB" w:rsidRDefault="008C20EB">
            <w:pPr>
              <w:pStyle w:val="TableParagraph"/>
              <w:spacing w:before="3"/>
              <w:jc w:val="both"/>
              <w:rPr>
                <w:rFonts w:ascii="Arial"/>
                <w:b/>
                <w:sz w:val="21"/>
              </w:rPr>
            </w:pPr>
          </w:p>
          <w:p w14:paraId="40FE1926" w14:textId="77777777" w:rsidR="008C20EB" w:rsidRDefault="008D25BE">
            <w:pPr>
              <w:pStyle w:val="TableParagraph"/>
              <w:numPr>
                <w:ilvl w:val="0"/>
                <w:numId w:val="79"/>
              </w:numPr>
              <w:tabs>
                <w:tab w:val="left" w:pos="432"/>
                <w:tab w:val="left" w:pos="433"/>
              </w:tabs>
              <w:ind w:hanging="361"/>
              <w:jc w:val="both"/>
              <w:rPr>
                <w:b/>
              </w:rPr>
            </w:pPr>
            <w:r>
              <w:t xml:space="preserve">La vigencia es a partir de la información de </w:t>
            </w:r>
            <w:r>
              <w:rPr>
                <w:b/>
              </w:rPr>
              <w:t>enero</w:t>
            </w:r>
            <w:r>
              <w:rPr>
                <w:b/>
                <w:spacing w:val="-21"/>
              </w:rPr>
              <w:t xml:space="preserve"> </w:t>
            </w:r>
            <w:r>
              <w:rPr>
                <w:b/>
              </w:rPr>
              <w:t>2014.</w:t>
            </w:r>
          </w:p>
        </w:tc>
      </w:tr>
      <w:tr w:rsidR="008C20EB" w14:paraId="40FE1931" w14:textId="77777777">
        <w:trPr>
          <w:trHeight w:val="1037"/>
        </w:trPr>
        <w:tc>
          <w:tcPr>
            <w:tcW w:w="1445" w:type="dxa"/>
          </w:tcPr>
          <w:p w14:paraId="40FE1928" w14:textId="77777777" w:rsidR="008C20EB" w:rsidRDefault="008D25BE">
            <w:pPr>
              <w:pStyle w:val="TableParagraph"/>
              <w:spacing w:line="237" w:lineRule="exact"/>
              <w:ind w:left="71"/>
              <w:jc w:val="both"/>
              <w:rPr>
                <w:b/>
              </w:rPr>
            </w:pPr>
            <w:r>
              <w:rPr>
                <w:b/>
              </w:rPr>
              <w:t>Resolución</w:t>
            </w:r>
          </w:p>
          <w:p w14:paraId="40FE1929" w14:textId="77777777" w:rsidR="008C20EB" w:rsidRDefault="008D25BE">
            <w:pPr>
              <w:pStyle w:val="TableParagraph"/>
              <w:spacing w:before="2" w:line="251" w:lineRule="exact"/>
              <w:ind w:left="71"/>
              <w:jc w:val="both"/>
              <w:rPr>
                <w:b/>
              </w:rPr>
            </w:pPr>
            <w:r>
              <w:rPr>
                <w:b/>
              </w:rPr>
              <w:t>SBS N° 6284-</w:t>
            </w:r>
          </w:p>
          <w:p w14:paraId="40FE192A" w14:textId="77777777" w:rsidR="008C20EB" w:rsidRDefault="008D25BE">
            <w:pPr>
              <w:pStyle w:val="TableParagraph"/>
              <w:spacing w:line="251" w:lineRule="exact"/>
              <w:ind w:left="71"/>
              <w:jc w:val="both"/>
              <w:rPr>
                <w:b/>
              </w:rPr>
            </w:pPr>
            <w:r>
              <w:rPr>
                <w:b/>
              </w:rPr>
              <w:t>2013</w:t>
            </w:r>
          </w:p>
        </w:tc>
        <w:tc>
          <w:tcPr>
            <w:tcW w:w="1733" w:type="dxa"/>
          </w:tcPr>
          <w:p w14:paraId="40FE192B"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18.10.2013</w:t>
            </w:r>
            <w:r>
              <w:rPr>
                <w:b/>
              </w:rPr>
              <w:tab/>
              <w:t>/</w:t>
            </w:r>
          </w:p>
          <w:p w14:paraId="40FE192C" w14:textId="77777777" w:rsidR="008C20EB" w:rsidRDefault="008D25BE">
            <w:pPr>
              <w:pStyle w:val="TableParagraph"/>
              <w:spacing w:before="2"/>
              <w:jc w:val="both"/>
              <w:rPr>
                <w:b/>
              </w:rPr>
            </w:pPr>
            <w:r>
              <w:rPr>
                <w:b/>
              </w:rPr>
              <w:t>Pub. 21.10.2013)</w:t>
            </w:r>
          </w:p>
        </w:tc>
        <w:tc>
          <w:tcPr>
            <w:tcW w:w="3500" w:type="dxa"/>
          </w:tcPr>
          <w:p w14:paraId="40FE192D" w14:textId="77777777" w:rsidR="008C20EB" w:rsidRDefault="008D25BE">
            <w:pPr>
              <w:pStyle w:val="TableParagraph"/>
              <w:spacing w:line="237" w:lineRule="exact"/>
              <w:ind w:left="177"/>
              <w:jc w:val="both"/>
            </w:pPr>
            <w:r>
              <w:t>Se modifica el Capítulo I a efectos de</w:t>
            </w:r>
          </w:p>
          <w:p w14:paraId="40FE192E" w14:textId="77777777" w:rsidR="008C20EB" w:rsidRDefault="008D25BE">
            <w:pPr>
              <w:pStyle w:val="TableParagraph"/>
              <w:spacing w:before="2"/>
              <w:ind w:left="177" w:right="63"/>
              <w:jc w:val="both"/>
            </w:pPr>
            <w:r>
              <w:t>incorporar en el alcance de la aplicación del Manual a las Empresas Emisoras de Dinero Electrónico (EEDE)</w:t>
            </w:r>
          </w:p>
        </w:tc>
        <w:tc>
          <w:tcPr>
            <w:tcW w:w="8162" w:type="dxa"/>
          </w:tcPr>
          <w:p w14:paraId="40FE192F" w14:textId="77777777" w:rsidR="008C20EB" w:rsidRDefault="008D25BE">
            <w:pPr>
              <w:pStyle w:val="TableParagraph"/>
              <w:numPr>
                <w:ilvl w:val="0"/>
                <w:numId w:val="80"/>
              </w:numPr>
              <w:tabs>
                <w:tab w:val="left" w:pos="432"/>
                <w:tab w:val="left" w:pos="433"/>
              </w:tabs>
              <w:spacing w:line="253" w:lineRule="exact"/>
              <w:ind w:hanging="361"/>
              <w:jc w:val="both"/>
            </w:pPr>
            <w:r>
              <w:t>Se modifican el numeral 1 del literal B del Capítulo I del</w:t>
            </w:r>
            <w:r>
              <w:rPr>
                <w:spacing w:val="-30"/>
              </w:rPr>
              <w:t xml:space="preserve"> </w:t>
            </w:r>
            <w:r>
              <w:t>Manual.</w:t>
            </w:r>
          </w:p>
          <w:p w14:paraId="40FE1930" w14:textId="77777777" w:rsidR="008C20EB" w:rsidRDefault="008D25BE">
            <w:pPr>
              <w:pStyle w:val="TableParagraph"/>
              <w:numPr>
                <w:ilvl w:val="0"/>
                <w:numId w:val="80"/>
              </w:numPr>
              <w:tabs>
                <w:tab w:val="left" w:pos="432"/>
                <w:tab w:val="left" w:pos="433"/>
              </w:tabs>
              <w:spacing w:line="269" w:lineRule="exact"/>
              <w:ind w:hanging="361"/>
              <w:jc w:val="both"/>
              <w:rPr>
                <w:b/>
              </w:rPr>
            </w:pPr>
            <w:r>
              <w:t xml:space="preserve">La vigencia es a partir de la información de </w:t>
            </w:r>
            <w:r>
              <w:rPr>
                <w:b/>
              </w:rPr>
              <w:t>octubre</w:t>
            </w:r>
            <w:r>
              <w:rPr>
                <w:b/>
                <w:spacing w:val="-20"/>
              </w:rPr>
              <w:t xml:space="preserve"> </w:t>
            </w:r>
            <w:r>
              <w:rPr>
                <w:b/>
              </w:rPr>
              <w:t>2013.</w:t>
            </w:r>
          </w:p>
        </w:tc>
      </w:tr>
      <w:tr w:rsidR="008C20EB" w14:paraId="40FE193A" w14:textId="77777777">
        <w:trPr>
          <w:trHeight w:val="1262"/>
        </w:trPr>
        <w:tc>
          <w:tcPr>
            <w:tcW w:w="1445" w:type="dxa"/>
          </w:tcPr>
          <w:p w14:paraId="40FE1932" w14:textId="77777777" w:rsidR="008C20EB" w:rsidRDefault="008D25BE">
            <w:pPr>
              <w:pStyle w:val="TableParagraph"/>
              <w:spacing w:line="242" w:lineRule="auto"/>
              <w:ind w:left="71" w:right="42"/>
              <w:jc w:val="both"/>
              <w:rPr>
                <w:b/>
              </w:rPr>
            </w:pPr>
            <w:r>
              <w:rPr>
                <w:b/>
              </w:rPr>
              <w:t>Resolución SBS N° 5760-</w:t>
            </w:r>
          </w:p>
          <w:p w14:paraId="40FE1933" w14:textId="77777777" w:rsidR="008C20EB" w:rsidRDefault="008D25BE">
            <w:pPr>
              <w:pStyle w:val="TableParagraph"/>
              <w:spacing w:line="247" w:lineRule="exact"/>
              <w:ind w:left="71"/>
              <w:jc w:val="both"/>
              <w:rPr>
                <w:b/>
              </w:rPr>
            </w:pPr>
            <w:r>
              <w:rPr>
                <w:b/>
              </w:rPr>
              <w:t>2013</w:t>
            </w:r>
          </w:p>
        </w:tc>
        <w:tc>
          <w:tcPr>
            <w:tcW w:w="1733" w:type="dxa"/>
          </w:tcPr>
          <w:p w14:paraId="40FE1934"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19.09.2013</w:t>
            </w:r>
            <w:r>
              <w:rPr>
                <w:b/>
              </w:rPr>
              <w:tab/>
              <w:t>/</w:t>
            </w:r>
          </w:p>
          <w:p w14:paraId="40FE1935" w14:textId="77777777" w:rsidR="008C20EB" w:rsidRDefault="008D25BE">
            <w:pPr>
              <w:pStyle w:val="TableParagraph"/>
              <w:spacing w:before="2"/>
              <w:jc w:val="both"/>
              <w:rPr>
                <w:b/>
              </w:rPr>
            </w:pPr>
            <w:r>
              <w:rPr>
                <w:b/>
              </w:rPr>
              <w:t>Pub. 23.09.2013)</w:t>
            </w:r>
          </w:p>
        </w:tc>
        <w:tc>
          <w:tcPr>
            <w:tcW w:w="3500" w:type="dxa"/>
          </w:tcPr>
          <w:p w14:paraId="40FE1936" w14:textId="77777777" w:rsidR="008C20EB" w:rsidRDefault="008D25BE">
            <w:pPr>
              <w:pStyle w:val="TableParagraph"/>
              <w:ind w:left="177" w:right="63"/>
              <w:jc w:val="both"/>
            </w:pPr>
            <w:r>
              <w:t>Se prorroga la vigencia de los nuevos anexos de liquidez. Asimismo, se modifica el capítulo V “Información</w:t>
            </w:r>
          </w:p>
          <w:p w14:paraId="40FE1937" w14:textId="77777777" w:rsidR="008C20EB" w:rsidRDefault="008D25BE">
            <w:pPr>
              <w:pStyle w:val="TableParagraph"/>
              <w:spacing w:line="250" w:lineRule="exact"/>
              <w:ind w:left="177" w:right="64"/>
              <w:jc w:val="both"/>
            </w:pPr>
            <w:r>
              <w:t>Complementaria” referida a notas del Anexo 16-B.</w:t>
            </w:r>
          </w:p>
        </w:tc>
        <w:tc>
          <w:tcPr>
            <w:tcW w:w="8162" w:type="dxa"/>
          </w:tcPr>
          <w:p w14:paraId="40FE1938" w14:textId="77777777" w:rsidR="008C20EB" w:rsidRDefault="008D25BE">
            <w:pPr>
              <w:pStyle w:val="TableParagraph"/>
              <w:numPr>
                <w:ilvl w:val="0"/>
                <w:numId w:val="81"/>
              </w:numPr>
              <w:tabs>
                <w:tab w:val="left" w:pos="432"/>
                <w:tab w:val="left" w:pos="433"/>
              </w:tabs>
              <w:spacing w:line="258" w:lineRule="exact"/>
              <w:ind w:hanging="361"/>
              <w:jc w:val="both"/>
            </w:pPr>
            <w:r>
              <w:t>Se modifican notas a nuevo Anexo</w:t>
            </w:r>
            <w:r>
              <w:rPr>
                <w:spacing w:val="-18"/>
              </w:rPr>
              <w:t xml:space="preserve"> </w:t>
            </w:r>
            <w:r>
              <w:t>16-B.</w:t>
            </w:r>
          </w:p>
          <w:p w14:paraId="40FE1939" w14:textId="77777777" w:rsidR="008C20EB" w:rsidRDefault="008D25BE">
            <w:pPr>
              <w:pStyle w:val="TableParagraph"/>
              <w:numPr>
                <w:ilvl w:val="0"/>
                <w:numId w:val="81"/>
              </w:numPr>
              <w:tabs>
                <w:tab w:val="left" w:pos="432"/>
                <w:tab w:val="left" w:pos="433"/>
              </w:tabs>
              <w:spacing w:line="269" w:lineRule="exact"/>
              <w:ind w:hanging="361"/>
              <w:jc w:val="both"/>
            </w:pPr>
            <w:r>
              <w:t>La</w:t>
            </w:r>
            <w:r>
              <w:rPr>
                <w:spacing w:val="-4"/>
              </w:rPr>
              <w:t xml:space="preserve"> </w:t>
            </w:r>
            <w:r>
              <w:t>vigencia</w:t>
            </w:r>
            <w:r>
              <w:rPr>
                <w:spacing w:val="-3"/>
              </w:rPr>
              <w:t xml:space="preserve"> </w:t>
            </w:r>
            <w:r>
              <w:t>de</w:t>
            </w:r>
            <w:r>
              <w:rPr>
                <w:spacing w:val="-4"/>
              </w:rPr>
              <w:t xml:space="preserve"> </w:t>
            </w:r>
            <w:r>
              <w:t>los</w:t>
            </w:r>
            <w:r>
              <w:rPr>
                <w:spacing w:val="-3"/>
              </w:rPr>
              <w:t xml:space="preserve"> </w:t>
            </w:r>
            <w:r>
              <w:t>nuevos</w:t>
            </w:r>
            <w:r>
              <w:rPr>
                <w:spacing w:val="-3"/>
              </w:rPr>
              <w:t xml:space="preserve"> </w:t>
            </w:r>
            <w:r>
              <w:t>anexos</w:t>
            </w:r>
            <w:r>
              <w:rPr>
                <w:spacing w:val="-3"/>
              </w:rPr>
              <w:t xml:space="preserve"> </w:t>
            </w:r>
            <w:r>
              <w:t>de</w:t>
            </w:r>
            <w:r>
              <w:rPr>
                <w:spacing w:val="-4"/>
              </w:rPr>
              <w:t xml:space="preserve"> </w:t>
            </w:r>
            <w:r>
              <w:t>liquidez</w:t>
            </w:r>
            <w:r>
              <w:rPr>
                <w:spacing w:val="-3"/>
              </w:rPr>
              <w:t xml:space="preserve"> </w:t>
            </w:r>
            <w:r>
              <w:t>es</w:t>
            </w:r>
            <w:r>
              <w:rPr>
                <w:spacing w:val="-3"/>
              </w:rPr>
              <w:t xml:space="preserve"> </w:t>
            </w:r>
            <w:r>
              <w:t>a</w:t>
            </w:r>
            <w:r>
              <w:rPr>
                <w:spacing w:val="-4"/>
              </w:rPr>
              <w:t xml:space="preserve"> </w:t>
            </w:r>
            <w:r>
              <w:t>partir</w:t>
            </w:r>
            <w:r>
              <w:rPr>
                <w:spacing w:val="-2"/>
              </w:rPr>
              <w:t xml:space="preserve"> </w:t>
            </w:r>
            <w:r>
              <w:t>de</w:t>
            </w:r>
            <w:r>
              <w:rPr>
                <w:spacing w:val="1"/>
              </w:rPr>
              <w:t xml:space="preserve"> </w:t>
            </w:r>
            <w:r>
              <w:t>la</w:t>
            </w:r>
            <w:r>
              <w:rPr>
                <w:spacing w:val="-4"/>
              </w:rPr>
              <w:t xml:space="preserve"> </w:t>
            </w:r>
            <w:r>
              <w:t>información</w:t>
            </w:r>
            <w:r>
              <w:rPr>
                <w:spacing w:val="-4"/>
              </w:rPr>
              <w:t xml:space="preserve"> </w:t>
            </w:r>
            <w:r>
              <w:t>de</w:t>
            </w:r>
            <w:r>
              <w:rPr>
                <w:spacing w:val="-4"/>
              </w:rPr>
              <w:t xml:space="preserve"> </w:t>
            </w:r>
            <w:r>
              <w:t>diciembre</w:t>
            </w:r>
            <w:r>
              <w:rPr>
                <w:spacing w:val="-1"/>
              </w:rPr>
              <w:t xml:space="preserve"> </w:t>
            </w:r>
            <w:r>
              <w:t>2013.</w:t>
            </w:r>
          </w:p>
        </w:tc>
      </w:tr>
      <w:tr w:rsidR="008C20EB" w14:paraId="40FE1946" w14:textId="77777777">
        <w:trPr>
          <w:trHeight w:val="3538"/>
        </w:trPr>
        <w:tc>
          <w:tcPr>
            <w:tcW w:w="1445" w:type="dxa"/>
          </w:tcPr>
          <w:p w14:paraId="40FE193B" w14:textId="77777777" w:rsidR="008C20EB" w:rsidRDefault="008D25BE">
            <w:pPr>
              <w:pStyle w:val="TableParagraph"/>
              <w:spacing w:line="242" w:lineRule="auto"/>
              <w:ind w:left="71" w:right="42"/>
              <w:jc w:val="both"/>
              <w:rPr>
                <w:b/>
              </w:rPr>
            </w:pPr>
            <w:r>
              <w:rPr>
                <w:b/>
              </w:rPr>
              <w:t>Resolución SBS N° 4829-</w:t>
            </w:r>
          </w:p>
          <w:p w14:paraId="40FE193C" w14:textId="77777777" w:rsidR="008C20EB" w:rsidRDefault="008D25BE">
            <w:pPr>
              <w:pStyle w:val="TableParagraph"/>
              <w:spacing w:line="247" w:lineRule="exact"/>
              <w:ind w:left="71"/>
              <w:jc w:val="both"/>
              <w:rPr>
                <w:b/>
              </w:rPr>
            </w:pPr>
            <w:r>
              <w:rPr>
                <w:b/>
              </w:rPr>
              <w:t>2013</w:t>
            </w:r>
          </w:p>
        </w:tc>
        <w:tc>
          <w:tcPr>
            <w:tcW w:w="1733" w:type="dxa"/>
          </w:tcPr>
          <w:p w14:paraId="40FE193D"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15.08.2013</w:t>
            </w:r>
            <w:r>
              <w:rPr>
                <w:b/>
              </w:rPr>
              <w:tab/>
              <w:t>/</w:t>
            </w:r>
          </w:p>
          <w:p w14:paraId="40FE193E" w14:textId="77777777" w:rsidR="008C20EB" w:rsidRDefault="008D25BE">
            <w:pPr>
              <w:pStyle w:val="TableParagraph"/>
              <w:spacing w:before="2"/>
              <w:jc w:val="both"/>
              <w:rPr>
                <w:b/>
              </w:rPr>
            </w:pPr>
            <w:r>
              <w:rPr>
                <w:b/>
              </w:rPr>
              <w:t>Pub. 17.08.2013)</w:t>
            </w:r>
          </w:p>
        </w:tc>
        <w:tc>
          <w:tcPr>
            <w:tcW w:w="3500" w:type="dxa"/>
          </w:tcPr>
          <w:p w14:paraId="40FE193F" w14:textId="77777777" w:rsidR="008C20EB" w:rsidRDefault="008D25BE">
            <w:pPr>
              <w:pStyle w:val="TableParagraph"/>
              <w:ind w:left="177" w:right="65"/>
              <w:jc w:val="both"/>
            </w:pPr>
            <w:r>
              <w:t>Se modifican los Capítulos III “Catálogo de Cuentas”, IV “Descripción y Dinámica de Cuentas” y V “Información Complementaria” referida a cuentas multilíneas y cuentas de líneas de crédito</w:t>
            </w:r>
          </w:p>
        </w:tc>
        <w:tc>
          <w:tcPr>
            <w:tcW w:w="8162" w:type="dxa"/>
          </w:tcPr>
          <w:p w14:paraId="40FE1940" w14:textId="77777777" w:rsidR="008C20EB" w:rsidRDefault="008D25BE">
            <w:pPr>
              <w:pStyle w:val="TableParagraph"/>
              <w:numPr>
                <w:ilvl w:val="0"/>
                <w:numId w:val="82"/>
              </w:numPr>
              <w:tabs>
                <w:tab w:val="left" w:pos="433"/>
              </w:tabs>
              <w:ind w:right="55"/>
              <w:jc w:val="both"/>
            </w:pPr>
            <w:r>
              <w:t>Se incorpora e en la cuenta 8109 “Otras cuentas de orden deudoras”, la subcuenta 8109.32 Líneas de crédito no utilizadas que se encuentran bloqueadas. Asimismo, se modifica el Anexo N°15B “Ratio de Cobertura de Liquidez”, vigente a partir del 1 de octubre 2013, a efectos de incorporar la nueva cuenta</w:t>
            </w:r>
            <w:r>
              <w:rPr>
                <w:spacing w:val="-11"/>
              </w:rPr>
              <w:t xml:space="preserve"> </w:t>
            </w:r>
            <w:r>
              <w:t>creada.</w:t>
            </w:r>
          </w:p>
          <w:p w14:paraId="40FE1941" w14:textId="77777777" w:rsidR="008C20EB" w:rsidRDefault="008D25BE">
            <w:pPr>
              <w:pStyle w:val="TableParagraph"/>
              <w:spacing w:line="249" w:lineRule="exact"/>
              <w:ind w:left="370"/>
              <w:jc w:val="both"/>
            </w:pPr>
            <w:r>
              <w:t xml:space="preserve">La vigencia de dichos cambios es a partir de la información de </w:t>
            </w:r>
            <w:r>
              <w:rPr>
                <w:b/>
              </w:rPr>
              <w:t>octubre 2013</w:t>
            </w:r>
            <w:r>
              <w:t>.</w:t>
            </w:r>
          </w:p>
          <w:p w14:paraId="40FE1942" w14:textId="77777777" w:rsidR="008C20EB" w:rsidRDefault="008C20EB">
            <w:pPr>
              <w:pStyle w:val="TableParagraph"/>
              <w:spacing w:before="11"/>
              <w:jc w:val="both"/>
              <w:rPr>
                <w:rFonts w:ascii="Arial"/>
                <w:b/>
                <w:sz w:val="19"/>
              </w:rPr>
            </w:pPr>
          </w:p>
          <w:p w14:paraId="40FE1943" w14:textId="77777777" w:rsidR="008C20EB" w:rsidRDefault="008D25BE">
            <w:pPr>
              <w:pStyle w:val="TableParagraph"/>
              <w:numPr>
                <w:ilvl w:val="0"/>
                <w:numId w:val="82"/>
              </w:numPr>
              <w:tabs>
                <w:tab w:val="left" w:pos="433"/>
              </w:tabs>
              <w:ind w:right="55"/>
              <w:jc w:val="both"/>
            </w:pPr>
            <w:r>
              <w:t>Se incorporan las subcuentas y cuentas analíticas a mayor detalle: 7205.08 Responsabilidad por otras líneas de crédito, 7205.09 Responsabilidad por líneas de crédito bajo esquema multilínea y 8109.31 Total de líneas de crédito bajo el esquema</w:t>
            </w:r>
            <w:r>
              <w:rPr>
                <w:spacing w:val="-21"/>
              </w:rPr>
              <w:t xml:space="preserve"> </w:t>
            </w:r>
            <w:r>
              <w:t>multilínea.</w:t>
            </w:r>
          </w:p>
          <w:p w14:paraId="40FE1944" w14:textId="77777777" w:rsidR="008C20EB" w:rsidRDefault="008D25BE">
            <w:pPr>
              <w:pStyle w:val="TableParagraph"/>
              <w:spacing w:before="2" w:line="237" w:lineRule="auto"/>
              <w:ind w:left="432" w:right="60"/>
              <w:jc w:val="both"/>
            </w:pPr>
            <w:r>
              <w:t>Asimismo, se incorpora en el Catálogo del RCD las subcuentas y cuentas a mayor detalle, antes citadas.</w:t>
            </w:r>
          </w:p>
          <w:p w14:paraId="40FE1945" w14:textId="77777777" w:rsidR="008C20EB" w:rsidRDefault="008D25BE">
            <w:pPr>
              <w:pStyle w:val="TableParagraph"/>
              <w:spacing w:line="250" w:lineRule="exact"/>
              <w:ind w:left="370"/>
              <w:jc w:val="both"/>
              <w:rPr>
                <w:b/>
              </w:rPr>
            </w:pPr>
            <w:r>
              <w:t xml:space="preserve">La vigencia de dichos cambios es a partir de la información de </w:t>
            </w:r>
            <w:r>
              <w:rPr>
                <w:b/>
              </w:rPr>
              <w:t>junio 2014</w:t>
            </w:r>
          </w:p>
        </w:tc>
      </w:tr>
    </w:tbl>
    <w:p w14:paraId="40FE1947" w14:textId="77777777" w:rsidR="008C20EB" w:rsidRDefault="008C20EB">
      <w:pPr>
        <w:spacing w:line="25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94C" w14:textId="77777777">
        <w:trPr>
          <w:trHeight w:val="254"/>
        </w:trPr>
        <w:tc>
          <w:tcPr>
            <w:tcW w:w="1445" w:type="dxa"/>
            <w:vAlign w:val="bottom"/>
          </w:tcPr>
          <w:p w14:paraId="40FE194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949" w14:textId="77777777" w:rsidR="008C20EB" w:rsidRDefault="008D25BE">
            <w:pPr>
              <w:pStyle w:val="TableParagraph"/>
              <w:spacing w:line="234" w:lineRule="exact"/>
              <w:ind w:left="556"/>
              <w:jc w:val="both"/>
              <w:rPr>
                <w:b/>
              </w:rPr>
            </w:pPr>
            <w:r>
              <w:rPr>
                <w:b/>
              </w:rPr>
              <w:t>FECHA</w:t>
            </w:r>
          </w:p>
        </w:tc>
        <w:tc>
          <w:tcPr>
            <w:tcW w:w="3500" w:type="dxa"/>
            <w:vAlign w:val="bottom"/>
          </w:tcPr>
          <w:p w14:paraId="40FE194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94B" w14:textId="77777777" w:rsidR="008C20EB" w:rsidRDefault="008D25BE">
            <w:pPr>
              <w:pStyle w:val="TableParagraph"/>
              <w:spacing w:line="234" w:lineRule="exact"/>
              <w:ind w:left="3271" w:right="3265"/>
              <w:jc w:val="both"/>
              <w:rPr>
                <w:b/>
              </w:rPr>
            </w:pPr>
            <w:r>
              <w:rPr>
                <w:b/>
              </w:rPr>
              <w:t>MODIFICATORIAS</w:t>
            </w:r>
          </w:p>
        </w:tc>
      </w:tr>
      <w:tr w:rsidR="008C20EB" w14:paraId="40FE1954" w14:textId="77777777">
        <w:trPr>
          <w:trHeight w:val="1041"/>
        </w:trPr>
        <w:tc>
          <w:tcPr>
            <w:tcW w:w="1445" w:type="dxa"/>
          </w:tcPr>
          <w:p w14:paraId="40FE194D" w14:textId="77777777" w:rsidR="008C20EB" w:rsidRDefault="008D25BE">
            <w:pPr>
              <w:pStyle w:val="TableParagraph"/>
              <w:spacing w:line="237" w:lineRule="auto"/>
              <w:ind w:left="71" w:right="42"/>
              <w:jc w:val="both"/>
              <w:rPr>
                <w:b/>
              </w:rPr>
            </w:pPr>
            <w:r>
              <w:rPr>
                <w:b/>
              </w:rPr>
              <w:t>Resolución SBS N° 4602-</w:t>
            </w:r>
          </w:p>
          <w:p w14:paraId="40FE194E" w14:textId="77777777" w:rsidR="008C20EB" w:rsidRDefault="008D25BE">
            <w:pPr>
              <w:pStyle w:val="TableParagraph"/>
              <w:ind w:left="71"/>
              <w:jc w:val="both"/>
              <w:rPr>
                <w:b/>
              </w:rPr>
            </w:pPr>
            <w:r>
              <w:rPr>
                <w:b/>
              </w:rPr>
              <w:t>2013</w:t>
            </w:r>
          </w:p>
        </w:tc>
        <w:tc>
          <w:tcPr>
            <w:tcW w:w="1733" w:type="dxa"/>
          </w:tcPr>
          <w:p w14:paraId="40FE194F"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31.07.2013</w:t>
            </w:r>
            <w:r>
              <w:rPr>
                <w:b/>
              </w:rPr>
              <w:tab/>
              <w:t>/</w:t>
            </w:r>
          </w:p>
          <w:p w14:paraId="40FE1950" w14:textId="77777777" w:rsidR="008C20EB" w:rsidRDefault="008D25BE">
            <w:pPr>
              <w:pStyle w:val="TableParagraph"/>
              <w:spacing w:line="251" w:lineRule="exact"/>
              <w:jc w:val="both"/>
              <w:rPr>
                <w:b/>
              </w:rPr>
            </w:pPr>
            <w:r>
              <w:rPr>
                <w:b/>
              </w:rPr>
              <w:t>Pub. 03.08.2013)</w:t>
            </w:r>
          </w:p>
        </w:tc>
        <w:tc>
          <w:tcPr>
            <w:tcW w:w="3500" w:type="dxa"/>
          </w:tcPr>
          <w:p w14:paraId="40FE1951" w14:textId="77777777" w:rsidR="008C20EB" w:rsidRDefault="008D25BE">
            <w:pPr>
              <w:pStyle w:val="TableParagraph"/>
              <w:ind w:left="177" w:right="62"/>
              <w:jc w:val="both"/>
            </w:pPr>
            <w:r>
              <w:t>Se modifican el Capítulo V “Información Complementaria”, modificándose los anexos de liquidez</w:t>
            </w:r>
          </w:p>
        </w:tc>
        <w:tc>
          <w:tcPr>
            <w:tcW w:w="8162" w:type="dxa"/>
          </w:tcPr>
          <w:p w14:paraId="40FE1952" w14:textId="77777777" w:rsidR="008C20EB" w:rsidRDefault="008D25BE">
            <w:pPr>
              <w:pStyle w:val="TableParagraph"/>
              <w:numPr>
                <w:ilvl w:val="0"/>
                <w:numId w:val="83"/>
              </w:numPr>
              <w:tabs>
                <w:tab w:val="left" w:pos="433"/>
              </w:tabs>
              <w:ind w:right="50"/>
              <w:jc w:val="both"/>
            </w:pPr>
            <w:r>
              <w:t>Se modifican los Anexos N° 15-A, N° 15-B, N° 16-A y N° 16-B, así como sus correspondientes notas metodológicas, cuyos formatos fueron aprobado mediante la Resolución SBS N° 9075- 2012.</w:t>
            </w:r>
          </w:p>
          <w:p w14:paraId="40FE1953" w14:textId="77777777" w:rsidR="008C20EB" w:rsidRDefault="008D25BE">
            <w:pPr>
              <w:pStyle w:val="TableParagraph"/>
              <w:numPr>
                <w:ilvl w:val="0"/>
                <w:numId w:val="83"/>
              </w:numPr>
              <w:tabs>
                <w:tab w:val="left" w:pos="433"/>
              </w:tabs>
              <w:spacing w:line="259" w:lineRule="exact"/>
              <w:ind w:hanging="361"/>
              <w:jc w:val="both"/>
              <w:rPr>
                <w:b/>
              </w:rPr>
            </w:pPr>
            <w:r>
              <w:t xml:space="preserve">La vigencia es a partir de la información de </w:t>
            </w:r>
            <w:r>
              <w:rPr>
                <w:b/>
              </w:rPr>
              <w:t>octubre</w:t>
            </w:r>
            <w:r>
              <w:rPr>
                <w:b/>
                <w:spacing w:val="-19"/>
              </w:rPr>
              <w:t xml:space="preserve"> </w:t>
            </w:r>
            <w:r>
              <w:rPr>
                <w:b/>
              </w:rPr>
              <w:t>2013.</w:t>
            </w:r>
          </w:p>
        </w:tc>
      </w:tr>
      <w:tr w:rsidR="008C20EB" w14:paraId="40FE195E" w14:textId="77777777">
        <w:trPr>
          <w:trHeight w:val="1036"/>
        </w:trPr>
        <w:tc>
          <w:tcPr>
            <w:tcW w:w="1445" w:type="dxa"/>
          </w:tcPr>
          <w:p w14:paraId="40FE1955" w14:textId="77777777" w:rsidR="008C20EB" w:rsidRDefault="008D25BE">
            <w:pPr>
              <w:pStyle w:val="TableParagraph"/>
              <w:spacing w:line="237" w:lineRule="exact"/>
              <w:ind w:left="71"/>
              <w:jc w:val="both"/>
              <w:rPr>
                <w:b/>
              </w:rPr>
            </w:pPr>
            <w:r>
              <w:rPr>
                <w:b/>
              </w:rPr>
              <w:t>Resolución</w:t>
            </w:r>
          </w:p>
          <w:p w14:paraId="40FE1956" w14:textId="77777777" w:rsidR="008C20EB" w:rsidRDefault="008D25BE">
            <w:pPr>
              <w:pStyle w:val="TableParagraph"/>
              <w:spacing w:before="2"/>
              <w:ind w:left="71"/>
              <w:jc w:val="both"/>
              <w:rPr>
                <w:b/>
              </w:rPr>
            </w:pPr>
            <w:r>
              <w:rPr>
                <w:b/>
              </w:rPr>
              <w:t>SBS N° 2055-</w:t>
            </w:r>
          </w:p>
          <w:p w14:paraId="40FE1957" w14:textId="77777777" w:rsidR="008C20EB" w:rsidRDefault="008D25BE">
            <w:pPr>
              <w:pStyle w:val="TableParagraph"/>
              <w:spacing w:before="2"/>
              <w:ind w:left="71"/>
              <w:jc w:val="both"/>
              <w:rPr>
                <w:b/>
              </w:rPr>
            </w:pPr>
            <w:r>
              <w:rPr>
                <w:b/>
              </w:rPr>
              <w:t>2013</w:t>
            </w:r>
          </w:p>
        </w:tc>
        <w:tc>
          <w:tcPr>
            <w:tcW w:w="1733" w:type="dxa"/>
          </w:tcPr>
          <w:p w14:paraId="40FE1958"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25.03.2013</w:t>
            </w:r>
            <w:r>
              <w:rPr>
                <w:b/>
              </w:rPr>
              <w:tab/>
              <w:t>/</w:t>
            </w:r>
          </w:p>
          <w:p w14:paraId="40FE1959" w14:textId="77777777" w:rsidR="008C20EB" w:rsidRDefault="008D25BE">
            <w:pPr>
              <w:pStyle w:val="TableParagraph"/>
              <w:spacing w:before="2"/>
              <w:jc w:val="both"/>
              <w:rPr>
                <w:b/>
              </w:rPr>
            </w:pPr>
            <w:r>
              <w:rPr>
                <w:b/>
              </w:rPr>
              <w:t>Pub. 28.03.2013)</w:t>
            </w:r>
          </w:p>
        </w:tc>
        <w:tc>
          <w:tcPr>
            <w:tcW w:w="3500" w:type="dxa"/>
          </w:tcPr>
          <w:p w14:paraId="40FE195A" w14:textId="77777777" w:rsidR="008C20EB" w:rsidRDefault="008D25BE">
            <w:pPr>
              <w:pStyle w:val="TableParagraph"/>
              <w:spacing w:line="237" w:lineRule="exact"/>
              <w:ind w:left="177"/>
              <w:jc w:val="both"/>
            </w:pPr>
            <w:r>
              <w:t>Se modifica el Anexo N° 13 “Depósitos</w:t>
            </w:r>
          </w:p>
          <w:p w14:paraId="40FE195B" w14:textId="77777777" w:rsidR="008C20EB" w:rsidRDefault="008D25BE">
            <w:pPr>
              <w:pStyle w:val="TableParagraph"/>
              <w:spacing w:before="2"/>
              <w:ind w:left="177" w:right="65"/>
              <w:jc w:val="both"/>
            </w:pPr>
            <w:r>
              <w:t>según escala de montos” del Capítulo V “Información Complementaria” del Manual de Contabilidad.</w:t>
            </w:r>
          </w:p>
        </w:tc>
        <w:tc>
          <w:tcPr>
            <w:tcW w:w="8162" w:type="dxa"/>
          </w:tcPr>
          <w:p w14:paraId="40FE195C" w14:textId="77777777" w:rsidR="008C20EB" w:rsidRDefault="008D25BE">
            <w:pPr>
              <w:pStyle w:val="TableParagraph"/>
              <w:numPr>
                <w:ilvl w:val="0"/>
                <w:numId w:val="84"/>
              </w:numPr>
              <w:tabs>
                <w:tab w:val="left" w:pos="361"/>
              </w:tabs>
              <w:spacing w:line="235" w:lineRule="auto"/>
              <w:ind w:right="56"/>
              <w:jc w:val="both"/>
            </w:pPr>
            <w:r>
              <w:t>Se considera una escala más detallada de los montos de depósitos, para recoger la información necesaria</w:t>
            </w:r>
            <w:r>
              <w:rPr>
                <w:spacing w:val="-4"/>
              </w:rPr>
              <w:t xml:space="preserve"> </w:t>
            </w:r>
            <w:r>
              <w:t>para</w:t>
            </w:r>
            <w:r>
              <w:rPr>
                <w:spacing w:val="-4"/>
              </w:rPr>
              <w:t xml:space="preserve"> </w:t>
            </w:r>
            <w:r>
              <w:t>una</w:t>
            </w:r>
            <w:r>
              <w:rPr>
                <w:spacing w:val="-3"/>
              </w:rPr>
              <w:t xml:space="preserve"> </w:t>
            </w:r>
            <w:r>
              <w:t>adecuada</w:t>
            </w:r>
            <w:r>
              <w:rPr>
                <w:spacing w:val="-2"/>
              </w:rPr>
              <w:t xml:space="preserve"> </w:t>
            </w:r>
            <w:r>
              <w:t>medición</w:t>
            </w:r>
            <w:r>
              <w:rPr>
                <w:spacing w:val="-4"/>
              </w:rPr>
              <w:t xml:space="preserve"> </w:t>
            </w:r>
            <w:r>
              <w:t>del</w:t>
            </w:r>
            <w:r>
              <w:rPr>
                <w:spacing w:val="-5"/>
              </w:rPr>
              <w:t xml:space="preserve"> </w:t>
            </w:r>
            <w:r>
              <w:t>grado</w:t>
            </w:r>
            <w:r>
              <w:rPr>
                <w:spacing w:val="-3"/>
              </w:rPr>
              <w:t xml:space="preserve"> </w:t>
            </w:r>
            <w:r>
              <w:t>de</w:t>
            </w:r>
            <w:r>
              <w:rPr>
                <w:spacing w:val="-3"/>
              </w:rPr>
              <w:t xml:space="preserve"> </w:t>
            </w:r>
            <w:r>
              <w:t>inclusión</w:t>
            </w:r>
            <w:r>
              <w:rPr>
                <w:spacing w:val="-4"/>
              </w:rPr>
              <w:t xml:space="preserve"> </w:t>
            </w:r>
            <w:r>
              <w:t>financiera</w:t>
            </w:r>
            <w:r>
              <w:rPr>
                <w:spacing w:val="-4"/>
              </w:rPr>
              <w:t xml:space="preserve"> </w:t>
            </w:r>
            <w:r>
              <w:t>en</w:t>
            </w:r>
            <w:r>
              <w:rPr>
                <w:spacing w:val="-3"/>
              </w:rPr>
              <w:t xml:space="preserve"> </w:t>
            </w:r>
            <w:r>
              <w:t>el</w:t>
            </w:r>
            <w:r>
              <w:rPr>
                <w:spacing w:val="-1"/>
              </w:rPr>
              <w:t xml:space="preserve"> </w:t>
            </w:r>
            <w:r>
              <w:t>país.</w:t>
            </w:r>
          </w:p>
          <w:p w14:paraId="40FE195D" w14:textId="77777777" w:rsidR="008C20EB" w:rsidRDefault="008D25BE">
            <w:pPr>
              <w:pStyle w:val="TableParagraph"/>
              <w:numPr>
                <w:ilvl w:val="0"/>
                <w:numId w:val="84"/>
              </w:numPr>
              <w:tabs>
                <w:tab w:val="left" w:pos="361"/>
              </w:tabs>
              <w:ind w:hanging="289"/>
              <w:jc w:val="both"/>
              <w:rPr>
                <w:b/>
              </w:rPr>
            </w:pPr>
            <w:r>
              <w:t xml:space="preserve">La vigencia es a partir de la información de </w:t>
            </w:r>
            <w:r>
              <w:rPr>
                <w:b/>
              </w:rPr>
              <w:t>junio</w:t>
            </w:r>
            <w:r>
              <w:rPr>
                <w:b/>
                <w:spacing w:val="-20"/>
              </w:rPr>
              <w:t xml:space="preserve"> </w:t>
            </w:r>
            <w:r>
              <w:rPr>
                <w:b/>
              </w:rPr>
              <w:t>2013.</w:t>
            </w:r>
          </w:p>
        </w:tc>
      </w:tr>
      <w:tr w:rsidR="008C20EB" w14:paraId="40FE1968" w14:textId="77777777">
        <w:trPr>
          <w:trHeight w:val="1545"/>
        </w:trPr>
        <w:tc>
          <w:tcPr>
            <w:tcW w:w="1445" w:type="dxa"/>
          </w:tcPr>
          <w:p w14:paraId="40FE195F" w14:textId="77777777" w:rsidR="008C20EB" w:rsidRDefault="008D25BE">
            <w:pPr>
              <w:pStyle w:val="TableParagraph"/>
              <w:spacing w:line="242" w:lineRule="auto"/>
              <w:ind w:left="71" w:right="42"/>
              <w:jc w:val="both"/>
              <w:rPr>
                <w:b/>
              </w:rPr>
            </w:pPr>
            <w:r>
              <w:rPr>
                <w:b/>
              </w:rPr>
              <w:t>Resolución SBS N° 1309-</w:t>
            </w:r>
          </w:p>
          <w:p w14:paraId="40FE1960" w14:textId="77777777" w:rsidR="008C20EB" w:rsidRDefault="008D25BE">
            <w:pPr>
              <w:pStyle w:val="TableParagraph"/>
              <w:spacing w:line="247" w:lineRule="exact"/>
              <w:ind w:left="71"/>
              <w:jc w:val="both"/>
              <w:rPr>
                <w:b/>
              </w:rPr>
            </w:pPr>
            <w:r>
              <w:rPr>
                <w:b/>
              </w:rPr>
              <w:t>2013</w:t>
            </w:r>
          </w:p>
        </w:tc>
        <w:tc>
          <w:tcPr>
            <w:tcW w:w="1733" w:type="dxa"/>
          </w:tcPr>
          <w:p w14:paraId="40FE1961"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15.02.2013</w:t>
            </w:r>
            <w:r>
              <w:rPr>
                <w:b/>
              </w:rPr>
              <w:tab/>
              <w:t>/</w:t>
            </w:r>
          </w:p>
          <w:p w14:paraId="40FE1962" w14:textId="77777777" w:rsidR="008C20EB" w:rsidRDefault="008D25BE">
            <w:pPr>
              <w:pStyle w:val="TableParagraph"/>
              <w:spacing w:before="2"/>
              <w:jc w:val="both"/>
              <w:rPr>
                <w:b/>
              </w:rPr>
            </w:pPr>
            <w:r>
              <w:rPr>
                <w:b/>
              </w:rPr>
              <w:t>Pub. 20.02.2013)</w:t>
            </w:r>
          </w:p>
        </w:tc>
        <w:tc>
          <w:tcPr>
            <w:tcW w:w="3500" w:type="dxa"/>
          </w:tcPr>
          <w:p w14:paraId="40FE1963" w14:textId="77777777" w:rsidR="008C20EB" w:rsidRDefault="008D25BE">
            <w:pPr>
              <w:pStyle w:val="TableParagraph"/>
              <w:ind w:left="177" w:right="57"/>
              <w:jc w:val="both"/>
            </w:pPr>
            <w:r>
              <w:t>Se modifica el Capítulo V “Información Complementaria” del Manual de Contabilidad para modificar el formato del Reporte N° 2A-1 “Activos y Contingentes Ponderados por Riesgo de Crédito – Método</w:t>
            </w:r>
            <w:r>
              <w:rPr>
                <w:spacing w:val="-13"/>
              </w:rPr>
              <w:t xml:space="preserve"> </w:t>
            </w:r>
            <w:r>
              <w:t>Estándar”.</w:t>
            </w:r>
          </w:p>
        </w:tc>
        <w:tc>
          <w:tcPr>
            <w:tcW w:w="8162" w:type="dxa"/>
          </w:tcPr>
          <w:p w14:paraId="40FE1964" w14:textId="77777777" w:rsidR="008C20EB" w:rsidRDefault="008D25BE">
            <w:pPr>
              <w:pStyle w:val="TableParagraph"/>
              <w:numPr>
                <w:ilvl w:val="0"/>
                <w:numId w:val="85"/>
              </w:numPr>
              <w:tabs>
                <w:tab w:val="left" w:pos="361"/>
              </w:tabs>
              <w:ind w:right="59"/>
              <w:jc w:val="both"/>
            </w:pPr>
            <w:r>
              <w:t>Se modifica el Reporte N° 2A-1 “Activos y Contingentes Ponderados por Riesgo de Crédito – Método</w:t>
            </w:r>
            <w:r>
              <w:rPr>
                <w:spacing w:val="-3"/>
              </w:rPr>
              <w:t xml:space="preserve"> </w:t>
            </w:r>
            <w:r>
              <w:t>Estándar”.</w:t>
            </w:r>
          </w:p>
          <w:p w14:paraId="40FE1965" w14:textId="77777777" w:rsidR="008C20EB" w:rsidRDefault="008D25BE">
            <w:pPr>
              <w:pStyle w:val="TableParagraph"/>
              <w:numPr>
                <w:ilvl w:val="0"/>
                <w:numId w:val="85"/>
              </w:numPr>
              <w:tabs>
                <w:tab w:val="left" w:pos="361"/>
              </w:tabs>
              <w:spacing w:line="235" w:lineRule="auto"/>
              <w:ind w:right="66"/>
              <w:jc w:val="both"/>
            </w:pPr>
            <w:r>
              <w:t>Se modifica las notas metodológicas I.1, así como las notas metodológicas XVI y XVII del Reporte N°</w:t>
            </w:r>
            <w:r>
              <w:rPr>
                <w:spacing w:val="-9"/>
              </w:rPr>
              <w:t xml:space="preserve"> </w:t>
            </w:r>
            <w:r>
              <w:t>2A-1.</w:t>
            </w:r>
          </w:p>
          <w:p w14:paraId="40FE1966" w14:textId="77777777" w:rsidR="008C20EB" w:rsidRDefault="008C20EB">
            <w:pPr>
              <w:pStyle w:val="TableParagraph"/>
              <w:spacing w:before="6"/>
              <w:jc w:val="both"/>
              <w:rPr>
                <w:rFonts w:ascii="Arial"/>
                <w:b/>
                <w:sz w:val="21"/>
              </w:rPr>
            </w:pPr>
          </w:p>
          <w:p w14:paraId="40FE1967" w14:textId="77777777" w:rsidR="008C20EB" w:rsidRDefault="008D25BE">
            <w:pPr>
              <w:pStyle w:val="TableParagraph"/>
              <w:spacing w:line="245" w:lineRule="exact"/>
              <w:ind w:left="72"/>
              <w:jc w:val="both"/>
            </w:pPr>
            <w:r>
              <w:t xml:space="preserve">La vigencia de las modificaciones es a partir de la información de </w:t>
            </w:r>
            <w:r>
              <w:rPr>
                <w:b/>
              </w:rPr>
              <w:t>setiembre 2013</w:t>
            </w:r>
            <w:r>
              <w:t>.</w:t>
            </w:r>
          </w:p>
        </w:tc>
      </w:tr>
      <w:tr w:rsidR="008C20EB" w14:paraId="40FE1974" w14:textId="77777777">
        <w:trPr>
          <w:trHeight w:val="2822"/>
        </w:trPr>
        <w:tc>
          <w:tcPr>
            <w:tcW w:w="1445" w:type="dxa"/>
          </w:tcPr>
          <w:p w14:paraId="40FE1969" w14:textId="77777777" w:rsidR="008C20EB" w:rsidRDefault="008D25BE">
            <w:pPr>
              <w:pStyle w:val="TableParagraph"/>
              <w:spacing w:line="242" w:lineRule="auto"/>
              <w:ind w:left="71" w:right="42"/>
              <w:jc w:val="both"/>
              <w:rPr>
                <w:b/>
              </w:rPr>
            </w:pPr>
            <w:r>
              <w:rPr>
                <w:b/>
              </w:rPr>
              <w:t>Resolución SBS N° 1308-</w:t>
            </w:r>
          </w:p>
          <w:p w14:paraId="40FE196A" w14:textId="77777777" w:rsidR="008C20EB" w:rsidRDefault="008D25BE">
            <w:pPr>
              <w:pStyle w:val="TableParagraph"/>
              <w:spacing w:line="247" w:lineRule="exact"/>
              <w:ind w:left="71"/>
              <w:jc w:val="both"/>
              <w:rPr>
                <w:b/>
              </w:rPr>
            </w:pPr>
            <w:r>
              <w:rPr>
                <w:b/>
              </w:rPr>
              <w:t>2013</w:t>
            </w:r>
          </w:p>
        </w:tc>
        <w:tc>
          <w:tcPr>
            <w:tcW w:w="1733" w:type="dxa"/>
          </w:tcPr>
          <w:p w14:paraId="40FE196B" w14:textId="77777777" w:rsidR="008C20EB" w:rsidRDefault="008D25BE">
            <w:pPr>
              <w:pStyle w:val="TableParagraph"/>
              <w:tabs>
                <w:tab w:val="left" w:pos="1607"/>
              </w:tabs>
              <w:spacing w:line="242" w:lineRule="exact"/>
              <w:jc w:val="both"/>
              <w:rPr>
                <w:b/>
              </w:rPr>
            </w:pPr>
            <w:r>
              <w:rPr>
                <w:b/>
              </w:rPr>
              <w:t xml:space="preserve">(Pr.  </w:t>
            </w:r>
            <w:r>
              <w:rPr>
                <w:b/>
                <w:spacing w:val="45"/>
              </w:rPr>
              <w:t xml:space="preserve"> </w:t>
            </w:r>
            <w:r>
              <w:rPr>
                <w:b/>
              </w:rPr>
              <w:t>15.02.2013</w:t>
            </w:r>
            <w:r>
              <w:rPr>
                <w:b/>
              </w:rPr>
              <w:tab/>
              <w:t>/</w:t>
            </w:r>
          </w:p>
          <w:p w14:paraId="40FE196C" w14:textId="77777777" w:rsidR="008C20EB" w:rsidRDefault="008D25BE">
            <w:pPr>
              <w:pStyle w:val="TableParagraph"/>
              <w:spacing w:before="2"/>
              <w:jc w:val="both"/>
              <w:rPr>
                <w:b/>
              </w:rPr>
            </w:pPr>
            <w:r>
              <w:rPr>
                <w:b/>
              </w:rPr>
              <w:t>Pub. 20.02.2013)</w:t>
            </w:r>
          </w:p>
        </w:tc>
        <w:tc>
          <w:tcPr>
            <w:tcW w:w="3500" w:type="dxa"/>
          </w:tcPr>
          <w:p w14:paraId="40FE196D" w14:textId="77777777" w:rsidR="008C20EB" w:rsidRDefault="008D25BE">
            <w:pPr>
              <w:pStyle w:val="TableParagraph"/>
              <w:ind w:left="177" w:right="56"/>
              <w:jc w:val="both"/>
            </w:pPr>
            <w:r>
              <w:t>Se modifica el Capítulo V “Información Complementaria” del Manual de Contabilidad para modificar los anexos relacionados a transferencia de cartera, así como de castigos y condonaciones</w:t>
            </w:r>
          </w:p>
        </w:tc>
        <w:tc>
          <w:tcPr>
            <w:tcW w:w="8162" w:type="dxa"/>
          </w:tcPr>
          <w:p w14:paraId="40FE196E" w14:textId="77777777" w:rsidR="008C20EB" w:rsidRDefault="008D25BE">
            <w:pPr>
              <w:pStyle w:val="TableParagraph"/>
              <w:numPr>
                <w:ilvl w:val="0"/>
                <w:numId w:val="86"/>
              </w:numPr>
              <w:tabs>
                <w:tab w:val="left" w:pos="361"/>
              </w:tabs>
              <w:ind w:right="61"/>
              <w:jc w:val="both"/>
            </w:pPr>
            <w:r>
              <w:t>Se modifica en el Anexo 5-B “Informe de Clasificación de los Deudores y Provisiones - Transferencia de Cartera Crediticia”, las notas metodológicas 1 y</w:t>
            </w:r>
            <w:r>
              <w:rPr>
                <w:spacing w:val="-27"/>
              </w:rPr>
              <w:t xml:space="preserve"> </w:t>
            </w:r>
            <w:r>
              <w:t>2.</w:t>
            </w:r>
          </w:p>
          <w:p w14:paraId="40FE196F" w14:textId="77777777" w:rsidR="008C20EB" w:rsidRDefault="008D25BE">
            <w:pPr>
              <w:pStyle w:val="TableParagraph"/>
              <w:numPr>
                <w:ilvl w:val="0"/>
                <w:numId w:val="86"/>
              </w:numPr>
              <w:tabs>
                <w:tab w:val="left" w:pos="361"/>
              </w:tabs>
              <w:ind w:right="68"/>
              <w:jc w:val="both"/>
            </w:pPr>
            <w:r>
              <w:t>Se sustituye el Reporte N° 25 “Información de Transferencias de Cartera Crediticia, Castigos y Condonaciones de Créditos”. Asimismo, se modifica la periodicidad de remisión de trimestral a mensual.</w:t>
            </w:r>
          </w:p>
          <w:p w14:paraId="40FE1970" w14:textId="77777777" w:rsidR="008C20EB" w:rsidRDefault="008D25BE">
            <w:pPr>
              <w:pStyle w:val="TableParagraph"/>
              <w:numPr>
                <w:ilvl w:val="0"/>
                <w:numId w:val="86"/>
              </w:numPr>
              <w:tabs>
                <w:tab w:val="left" w:pos="361"/>
              </w:tabs>
              <w:ind w:right="71"/>
              <w:jc w:val="both"/>
            </w:pPr>
            <w:r>
              <w:t>Se incorpora el Reporte N° 25-A “Detalle de Transferencias de Cartera Crediticia (directa e indirecta) Realizadas Durante el Trimestre” cuya periodicidad es</w:t>
            </w:r>
            <w:r>
              <w:rPr>
                <w:spacing w:val="-28"/>
              </w:rPr>
              <w:t xml:space="preserve"> </w:t>
            </w:r>
            <w:r>
              <w:t>trimestral.</w:t>
            </w:r>
          </w:p>
          <w:p w14:paraId="40FE1971" w14:textId="77777777" w:rsidR="008C20EB" w:rsidRDefault="008C20EB">
            <w:pPr>
              <w:pStyle w:val="TableParagraph"/>
              <w:spacing w:before="5"/>
              <w:jc w:val="both"/>
              <w:rPr>
                <w:rFonts w:ascii="Arial"/>
                <w:b/>
                <w:sz w:val="20"/>
              </w:rPr>
            </w:pPr>
          </w:p>
          <w:p w14:paraId="40FE1972" w14:textId="77777777" w:rsidR="008C20EB" w:rsidRDefault="008D25BE">
            <w:pPr>
              <w:pStyle w:val="TableParagraph"/>
              <w:ind w:left="72"/>
              <w:jc w:val="both"/>
            </w:pPr>
            <w:r>
              <w:t xml:space="preserve">La vigencia de las modificaciones es a partir de la información de </w:t>
            </w:r>
            <w:r>
              <w:rPr>
                <w:b/>
              </w:rPr>
              <w:t xml:space="preserve">junio 2013, </w:t>
            </w:r>
            <w:r>
              <w:t>excepto el Reporte</w:t>
            </w:r>
          </w:p>
          <w:p w14:paraId="40FE1973" w14:textId="77777777" w:rsidR="008C20EB" w:rsidRDefault="008D25BE">
            <w:pPr>
              <w:pStyle w:val="TableParagraph"/>
              <w:spacing w:before="9" w:line="250" w:lineRule="exact"/>
              <w:ind w:left="72" w:right="207"/>
              <w:jc w:val="both"/>
            </w:pPr>
            <w:r>
              <w:t xml:space="preserve">25-A cuya primera presentación es a partir de </w:t>
            </w:r>
            <w:r>
              <w:rPr>
                <w:b/>
              </w:rPr>
              <w:t xml:space="preserve">setiembre 2013 </w:t>
            </w:r>
            <w:r>
              <w:t>conforme con el Oficio Múltiple Nº 23069 -2013-SBS.</w:t>
            </w:r>
          </w:p>
        </w:tc>
      </w:tr>
      <w:tr w:rsidR="008C20EB" w14:paraId="40FE197E" w14:textId="77777777">
        <w:trPr>
          <w:trHeight w:val="1786"/>
        </w:trPr>
        <w:tc>
          <w:tcPr>
            <w:tcW w:w="1445" w:type="dxa"/>
          </w:tcPr>
          <w:p w14:paraId="40FE1975" w14:textId="77777777" w:rsidR="008C20EB" w:rsidRDefault="008D25BE">
            <w:pPr>
              <w:pStyle w:val="TableParagraph"/>
              <w:spacing w:line="242" w:lineRule="auto"/>
              <w:ind w:left="71" w:right="42"/>
              <w:jc w:val="both"/>
              <w:rPr>
                <w:b/>
              </w:rPr>
            </w:pPr>
            <w:r>
              <w:rPr>
                <w:b/>
              </w:rPr>
              <w:t>Resolución SBS N° 9076-</w:t>
            </w:r>
          </w:p>
          <w:p w14:paraId="40FE1976" w14:textId="77777777" w:rsidR="008C20EB" w:rsidRDefault="008D25BE">
            <w:pPr>
              <w:pStyle w:val="TableParagraph"/>
              <w:spacing w:line="247" w:lineRule="exact"/>
              <w:ind w:left="71"/>
              <w:jc w:val="both"/>
              <w:rPr>
                <w:b/>
              </w:rPr>
            </w:pPr>
            <w:r>
              <w:rPr>
                <w:b/>
              </w:rPr>
              <w:t>2012</w:t>
            </w:r>
          </w:p>
        </w:tc>
        <w:tc>
          <w:tcPr>
            <w:tcW w:w="1733" w:type="dxa"/>
          </w:tcPr>
          <w:p w14:paraId="40FE1977"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05.12.2012</w:t>
            </w:r>
            <w:r>
              <w:rPr>
                <w:b/>
              </w:rPr>
              <w:tab/>
              <w:t>/</w:t>
            </w:r>
          </w:p>
          <w:p w14:paraId="40FE1978" w14:textId="77777777" w:rsidR="008C20EB" w:rsidRDefault="008D25BE">
            <w:pPr>
              <w:pStyle w:val="TableParagraph"/>
              <w:spacing w:before="2"/>
              <w:jc w:val="both"/>
              <w:rPr>
                <w:b/>
              </w:rPr>
            </w:pPr>
            <w:r>
              <w:rPr>
                <w:b/>
              </w:rPr>
              <w:t>Pub. 10.12.2012)</w:t>
            </w:r>
          </w:p>
        </w:tc>
        <w:tc>
          <w:tcPr>
            <w:tcW w:w="3500" w:type="dxa"/>
          </w:tcPr>
          <w:p w14:paraId="40FE1979" w14:textId="77777777" w:rsidR="008C20EB" w:rsidRDefault="008D25BE">
            <w:pPr>
              <w:pStyle w:val="TableParagraph"/>
              <w:ind w:left="177" w:right="56"/>
              <w:jc w:val="both"/>
            </w:pPr>
            <w:r>
              <w:t>Se modifica el Reporte 13 “Control de límites globales e individuales aplicables a las empresas del sistema financiero” del Manual de Contabilidad.</w:t>
            </w:r>
          </w:p>
        </w:tc>
        <w:tc>
          <w:tcPr>
            <w:tcW w:w="8162" w:type="dxa"/>
          </w:tcPr>
          <w:p w14:paraId="40FE197A" w14:textId="77777777" w:rsidR="008C20EB" w:rsidRDefault="008D25BE">
            <w:pPr>
              <w:pStyle w:val="TableParagraph"/>
              <w:numPr>
                <w:ilvl w:val="0"/>
                <w:numId w:val="87"/>
              </w:numPr>
              <w:tabs>
                <w:tab w:val="left" w:pos="361"/>
              </w:tabs>
              <w:ind w:right="58"/>
              <w:jc w:val="both"/>
            </w:pPr>
            <w:r>
              <w:t>Se sustituyen los numerales 11.1, 11.2 y 11.3 de la Sección I “Límites Globales” del Reporte N° 13, con la finalidad de modificar los límites a la posición global de sobreventa y sobrecompra de moneda extranjera y la posición neta en productos financieros</w:t>
            </w:r>
            <w:r>
              <w:rPr>
                <w:spacing w:val="-24"/>
              </w:rPr>
              <w:t xml:space="preserve"> </w:t>
            </w:r>
            <w:r>
              <w:t>derivados.</w:t>
            </w:r>
          </w:p>
          <w:p w14:paraId="40FE197B" w14:textId="77777777" w:rsidR="008C20EB" w:rsidRDefault="008C20EB">
            <w:pPr>
              <w:pStyle w:val="TableParagraph"/>
              <w:spacing w:before="3"/>
              <w:jc w:val="both"/>
              <w:rPr>
                <w:rFonts w:ascii="Arial"/>
                <w:b/>
                <w:sz w:val="21"/>
              </w:rPr>
            </w:pPr>
          </w:p>
          <w:p w14:paraId="40FE197C" w14:textId="77777777" w:rsidR="008C20EB" w:rsidRDefault="008D25BE">
            <w:pPr>
              <w:pStyle w:val="TableParagraph"/>
              <w:spacing w:line="237" w:lineRule="auto"/>
              <w:ind w:left="72" w:right="207"/>
              <w:jc w:val="both"/>
            </w:pPr>
            <w:r>
              <w:t>Entrada en vigencia: diciembre 2012 (excepto para el límite a la posición neta en productos financieros derivados de moneda extranjera cuyo plazo de adecuación fue hasta el 10 de enero</w:t>
            </w:r>
          </w:p>
          <w:p w14:paraId="40FE197D" w14:textId="77777777" w:rsidR="008C20EB" w:rsidRDefault="008D25BE">
            <w:pPr>
              <w:pStyle w:val="TableParagraph"/>
              <w:spacing w:before="2" w:line="245" w:lineRule="exact"/>
              <w:ind w:left="72"/>
              <w:jc w:val="both"/>
            </w:pPr>
            <w:r>
              <w:t>2013).</w:t>
            </w:r>
          </w:p>
        </w:tc>
      </w:tr>
    </w:tbl>
    <w:p w14:paraId="40FE197F" w14:textId="77777777" w:rsidR="008C20EB" w:rsidRDefault="008C20EB">
      <w:pPr>
        <w:spacing w:line="245"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984" w14:textId="77777777">
        <w:trPr>
          <w:trHeight w:val="254"/>
        </w:trPr>
        <w:tc>
          <w:tcPr>
            <w:tcW w:w="1445" w:type="dxa"/>
            <w:vAlign w:val="bottom"/>
          </w:tcPr>
          <w:p w14:paraId="40FE1980"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981" w14:textId="77777777" w:rsidR="008C20EB" w:rsidRDefault="008D25BE">
            <w:pPr>
              <w:pStyle w:val="TableParagraph"/>
              <w:spacing w:line="234" w:lineRule="exact"/>
              <w:ind w:left="556"/>
              <w:jc w:val="both"/>
              <w:rPr>
                <w:b/>
              </w:rPr>
            </w:pPr>
            <w:r>
              <w:rPr>
                <w:b/>
              </w:rPr>
              <w:t>FECHA</w:t>
            </w:r>
          </w:p>
        </w:tc>
        <w:tc>
          <w:tcPr>
            <w:tcW w:w="3500" w:type="dxa"/>
            <w:vAlign w:val="bottom"/>
          </w:tcPr>
          <w:p w14:paraId="40FE1982"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983" w14:textId="77777777" w:rsidR="008C20EB" w:rsidRDefault="008D25BE">
            <w:pPr>
              <w:pStyle w:val="TableParagraph"/>
              <w:spacing w:line="234" w:lineRule="exact"/>
              <w:ind w:left="3271" w:right="3265"/>
              <w:jc w:val="both"/>
              <w:rPr>
                <w:b/>
              </w:rPr>
            </w:pPr>
            <w:r>
              <w:rPr>
                <w:b/>
              </w:rPr>
              <w:t>MODIFICATORIAS</w:t>
            </w:r>
          </w:p>
        </w:tc>
      </w:tr>
      <w:tr w:rsidR="008C20EB" w14:paraId="40FE1990" w14:textId="77777777">
        <w:trPr>
          <w:trHeight w:val="2035"/>
        </w:trPr>
        <w:tc>
          <w:tcPr>
            <w:tcW w:w="1445" w:type="dxa"/>
          </w:tcPr>
          <w:p w14:paraId="40FE1985" w14:textId="77777777" w:rsidR="008C20EB" w:rsidRDefault="008D25BE">
            <w:pPr>
              <w:pStyle w:val="TableParagraph"/>
              <w:spacing w:line="237" w:lineRule="auto"/>
              <w:ind w:left="71" w:right="42"/>
              <w:jc w:val="both"/>
              <w:rPr>
                <w:b/>
              </w:rPr>
            </w:pPr>
            <w:r>
              <w:rPr>
                <w:b/>
              </w:rPr>
              <w:t>Resolución SBS N° 9075-</w:t>
            </w:r>
          </w:p>
          <w:p w14:paraId="40FE1986" w14:textId="77777777" w:rsidR="008C20EB" w:rsidRDefault="008D25BE">
            <w:pPr>
              <w:pStyle w:val="TableParagraph"/>
              <w:ind w:left="71"/>
              <w:jc w:val="both"/>
              <w:rPr>
                <w:b/>
              </w:rPr>
            </w:pPr>
            <w:r>
              <w:rPr>
                <w:b/>
              </w:rPr>
              <w:t>2012 (*)</w:t>
            </w:r>
          </w:p>
        </w:tc>
        <w:tc>
          <w:tcPr>
            <w:tcW w:w="1733" w:type="dxa"/>
          </w:tcPr>
          <w:p w14:paraId="40FE1987"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05.12.2012</w:t>
            </w:r>
            <w:r>
              <w:rPr>
                <w:b/>
              </w:rPr>
              <w:tab/>
              <w:t>/</w:t>
            </w:r>
          </w:p>
          <w:p w14:paraId="40FE1988" w14:textId="77777777" w:rsidR="008C20EB" w:rsidRDefault="008D25BE">
            <w:pPr>
              <w:pStyle w:val="TableParagraph"/>
              <w:spacing w:line="251" w:lineRule="exact"/>
              <w:jc w:val="both"/>
              <w:rPr>
                <w:b/>
              </w:rPr>
            </w:pPr>
            <w:r>
              <w:rPr>
                <w:b/>
              </w:rPr>
              <w:t>Pub. 07.12.2012)</w:t>
            </w:r>
          </w:p>
        </w:tc>
        <w:tc>
          <w:tcPr>
            <w:tcW w:w="3500" w:type="dxa"/>
          </w:tcPr>
          <w:p w14:paraId="40FE1989" w14:textId="77777777" w:rsidR="008C20EB" w:rsidRDefault="008D25BE">
            <w:pPr>
              <w:pStyle w:val="TableParagraph"/>
              <w:ind w:left="177" w:right="60"/>
              <w:jc w:val="both"/>
            </w:pPr>
            <w:r>
              <w:t>Se modifica el Capítulo V “Información Complementaria” del Manual de Contabilidad para modificar los anexos relacionados al riesgo de liquidez.</w:t>
            </w:r>
          </w:p>
        </w:tc>
        <w:tc>
          <w:tcPr>
            <w:tcW w:w="8162" w:type="dxa"/>
          </w:tcPr>
          <w:p w14:paraId="40FE198A" w14:textId="77777777" w:rsidR="008C20EB" w:rsidRDefault="008D25BE">
            <w:pPr>
              <w:pStyle w:val="TableParagraph"/>
              <w:numPr>
                <w:ilvl w:val="0"/>
                <w:numId w:val="88"/>
              </w:numPr>
              <w:tabs>
                <w:tab w:val="left" w:pos="361"/>
              </w:tabs>
              <w:spacing w:line="256" w:lineRule="exact"/>
              <w:ind w:hanging="289"/>
              <w:jc w:val="both"/>
            </w:pPr>
            <w:r>
              <w:t>Se modifica el Capítulo V de acuerdo a lo</w:t>
            </w:r>
            <w:r>
              <w:rPr>
                <w:spacing w:val="-22"/>
              </w:rPr>
              <w:t xml:space="preserve"> </w:t>
            </w:r>
            <w:r>
              <w:t>siguiente:</w:t>
            </w:r>
          </w:p>
          <w:p w14:paraId="40FE198B" w14:textId="77777777" w:rsidR="008C20EB" w:rsidRDefault="008D25BE">
            <w:pPr>
              <w:pStyle w:val="TableParagraph"/>
              <w:numPr>
                <w:ilvl w:val="1"/>
                <w:numId w:val="88"/>
              </w:numPr>
              <w:tabs>
                <w:tab w:val="left" w:pos="721"/>
              </w:tabs>
              <w:spacing w:line="242" w:lineRule="auto"/>
              <w:ind w:right="60"/>
              <w:jc w:val="both"/>
            </w:pPr>
            <w:r>
              <w:t>Se incorporan los Anexos N° 15-C y N° 16-A, así como sus correspondientes notas metodológicas.</w:t>
            </w:r>
          </w:p>
          <w:p w14:paraId="40FE198C" w14:textId="77777777" w:rsidR="008C20EB" w:rsidRDefault="008D25BE">
            <w:pPr>
              <w:pStyle w:val="TableParagraph"/>
              <w:numPr>
                <w:ilvl w:val="1"/>
                <w:numId w:val="88"/>
              </w:numPr>
              <w:tabs>
                <w:tab w:val="left" w:pos="721"/>
              </w:tabs>
              <w:spacing w:line="237" w:lineRule="auto"/>
              <w:ind w:right="52"/>
              <w:jc w:val="both"/>
            </w:pPr>
            <w:r>
              <w:t>Se sustituyen los Anexos N° 15-A, N° 15-B y N° 16-B, así como sus correspondientes notas</w:t>
            </w:r>
            <w:r>
              <w:rPr>
                <w:spacing w:val="-3"/>
              </w:rPr>
              <w:t xml:space="preserve"> </w:t>
            </w:r>
            <w:r>
              <w:t>metodológicas.</w:t>
            </w:r>
          </w:p>
          <w:p w14:paraId="40FE198D" w14:textId="77777777" w:rsidR="008C20EB" w:rsidRDefault="008D25BE">
            <w:pPr>
              <w:pStyle w:val="TableParagraph"/>
              <w:numPr>
                <w:ilvl w:val="1"/>
                <w:numId w:val="88"/>
              </w:numPr>
              <w:tabs>
                <w:tab w:val="left" w:pos="721"/>
              </w:tabs>
              <w:spacing w:before="1"/>
              <w:jc w:val="both"/>
            </w:pPr>
            <w:r>
              <w:t>Se elimina el Anexo N° 16, así como sus correspondientes notas</w:t>
            </w:r>
            <w:r>
              <w:rPr>
                <w:spacing w:val="-36"/>
              </w:rPr>
              <w:t xml:space="preserve"> </w:t>
            </w:r>
            <w:r>
              <w:t>metodológicas.</w:t>
            </w:r>
          </w:p>
          <w:p w14:paraId="40FE198E" w14:textId="77777777" w:rsidR="008C20EB" w:rsidRDefault="008C20EB">
            <w:pPr>
              <w:pStyle w:val="TableParagraph"/>
              <w:spacing w:before="10"/>
              <w:jc w:val="both"/>
              <w:rPr>
                <w:rFonts w:ascii="Arial"/>
                <w:b/>
                <w:sz w:val="21"/>
              </w:rPr>
            </w:pPr>
          </w:p>
          <w:p w14:paraId="40FE198F" w14:textId="77777777" w:rsidR="008C20EB" w:rsidRDefault="008D25BE">
            <w:pPr>
              <w:pStyle w:val="TableParagraph"/>
              <w:spacing w:line="245" w:lineRule="exact"/>
              <w:ind w:left="72"/>
              <w:jc w:val="both"/>
              <w:rPr>
                <w:b/>
              </w:rPr>
            </w:pPr>
            <w:r>
              <w:t xml:space="preserve">(*) La vigencia es a partir de la información de </w:t>
            </w:r>
            <w:r>
              <w:rPr>
                <w:b/>
              </w:rPr>
              <w:t>octubre 2013.</w:t>
            </w:r>
          </w:p>
        </w:tc>
      </w:tr>
      <w:tr w:rsidR="008C20EB" w14:paraId="40FE199A" w14:textId="77777777">
        <w:trPr>
          <w:trHeight w:val="1766"/>
        </w:trPr>
        <w:tc>
          <w:tcPr>
            <w:tcW w:w="1445" w:type="dxa"/>
          </w:tcPr>
          <w:p w14:paraId="40FE1991" w14:textId="77777777" w:rsidR="008C20EB" w:rsidRDefault="008D25BE">
            <w:pPr>
              <w:pStyle w:val="TableParagraph"/>
              <w:spacing w:line="240" w:lineRule="exact"/>
              <w:ind w:left="71"/>
              <w:jc w:val="both"/>
              <w:rPr>
                <w:b/>
              </w:rPr>
            </w:pPr>
            <w:r>
              <w:rPr>
                <w:b/>
              </w:rPr>
              <w:t>Resolución</w:t>
            </w:r>
          </w:p>
          <w:p w14:paraId="40FE1992" w14:textId="77777777" w:rsidR="008C20EB" w:rsidRDefault="008D25BE">
            <w:pPr>
              <w:pStyle w:val="TableParagraph"/>
              <w:ind w:left="71"/>
              <w:jc w:val="both"/>
              <w:rPr>
                <w:b/>
              </w:rPr>
            </w:pPr>
            <w:r>
              <w:rPr>
                <w:b/>
              </w:rPr>
              <w:t>S.B.S. Nº 8548- 2012 (*)</w:t>
            </w:r>
          </w:p>
        </w:tc>
        <w:tc>
          <w:tcPr>
            <w:tcW w:w="1733" w:type="dxa"/>
          </w:tcPr>
          <w:p w14:paraId="40FE1993" w14:textId="77777777" w:rsidR="008C20EB" w:rsidRDefault="008D25BE">
            <w:pPr>
              <w:pStyle w:val="TableParagraph"/>
              <w:tabs>
                <w:tab w:val="left" w:pos="1606"/>
              </w:tabs>
              <w:spacing w:line="240" w:lineRule="exact"/>
              <w:jc w:val="both"/>
              <w:rPr>
                <w:b/>
              </w:rPr>
            </w:pPr>
            <w:r>
              <w:rPr>
                <w:b/>
              </w:rPr>
              <w:t xml:space="preserve">(Pr. </w:t>
            </w:r>
            <w:r>
              <w:rPr>
                <w:b/>
                <w:spacing w:val="27"/>
              </w:rPr>
              <w:t xml:space="preserve"> </w:t>
            </w:r>
            <w:r>
              <w:rPr>
                <w:b/>
              </w:rPr>
              <w:t>09.11.2012</w:t>
            </w:r>
            <w:r>
              <w:rPr>
                <w:b/>
              </w:rPr>
              <w:tab/>
              <w:t>/</w:t>
            </w:r>
          </w:p>
          <w:p w14:paraId="40FE1994" w14:textId="77777777" w:rsidR="008C20EB" w:rsidRDefault="008D25BE">
            <w:pPr>
              <w:pStyle w:val="TableParagraph"/>
              <w:spacing w:line="251" w:lineRule="exact"/>
              <w:jc w:val="both"/>
              <w:rPr>
                <w:b/>
              </w:rPr>
            </w:pPr>
            <w:r>
              <w:rPr>
                <w:b/>
              </w:rPr>
              <w:t>Pub. 11.11.2012)</w:t>
            </w:r>
          </w:p>
        </w:tc>
        <w:tc>
          <w:tcPr>
            <w:tcW w:w="3500" w:type="dxa"/>
          </w:tcPr>
          <w:p w14:paraId="40FE1995" w14:textId="77777777" w:rsidR="008C20EB" w:rsidRDefault="008D25BE">
            <w:pPr>
              <w:pStyle w:val="TableParagraph"/>
              <w:ind w:left="67" w:right="63"/>
              <w:jc w:val="both"/>
            </w:pPr>
            <w:r>
              <w:t>Se modifica el Capítulo III “Catálogo de Cuentas”, Capítulo IV “Descripción y Dinámica de Cuentas” y Capítulo V “Información Complementaria” del Manual de</w:t>
            </w:r>
            <w:r>
              <w:rPr>
                <w:spacing w:val="-8"/>
              </w:rPr>
              <w:t xml:space="preserve"> </w:t>
            </w:r>
            <w:r>
              <w:t>Contabilidad.</w:t>
            </w:r>
          </w:p>
        </w:tc>
        <w:tc>
          <w:tcPr>
            <w:tcW w:w="8162" w:type="dxa"/>
          </w:tcPr>
          <w:p w14:paraId="40FE1996" w14:textId="77777777" w:rsidR="008C20EB" w:rsidRDefault="008D25BE">
            <w:pPr>
              <w:pStyle w:val="TableParagraph"/>
              <w:numPr>
                <w:ilvl w:val="0"/>
                <w:numId w:val="89"/>
              </w:numPr>
              <w:tabs>
                <w:tab w:val="left" w:pos="361"/>
              </w:tabs>
              <w:spacing w:line="255" w:lineRule="exact"/>
              <w:ind w:hanging="289"/>
              <w:jc w:val="both"/>
            </w:pPr>
            <w:r>
              <w:t>Se</w:t>
            </w:r>
            <w:r>
              <w:rPr>
                <w:spacing w:val="-5"/>
              </w:rPr>
              <w:t xml:space="preserve"> </w:t>
            </w:r>
            <w:r>
              <w:t>incorporan</w:t>
            </w:r>
            <w:r>
              <w:rPr>
                <w:spacing w:val="-4"/>
              </w:rPr>
              <w:t xml:space="preserve"> </w:t>
            </w:r>
            <w:r>
              <w:t>cuentas</w:t>
            </w:r>
            <w:r>
              <w:rPr>
                <w:spacing w:val="-3"/>
              </w:rPr>
              <w:t xml:space="preserve"> </w:t>
            </w:r>
            <w:r>
              <w:t>a</w:t>
            </w:r>
            <w:r>
              <w:rPr>
                <w:spacing w:val="-4"/>
              </w:rPr>
              <w:t xml:space="preserve"> </w:t>
            </w:r>
            <w:r>
              <w:t>mayor</w:t>
            </w:r>
            <w:r>
              <w:rPr>
                <w:spacing w:val="-2"/>
              </w:rPr>
              <w:t xml:space="preserve"> </w:t>
            </w:r>
            <w:r>
              <w:t>detalle</w:t>
            </w:r>
            <w:r>
              <w:rPr>
                <w:spacing w:val="-4"/>
              </w:rPr>
              <w:t xml:space="preserve"> </w:t>
            </w:r>
            <w:r>
              <w:t>en</w:t>
            </w:r>
            <w:r>
              <w:rPr>
                <w:spacing w:val="-4"/>
              </w:rPr>
              <w:t xml:space="preserve"> </w:t>
            </w:r>
            <w:r>
              <w:t>la cuenta</w:t>
            </w:r>
            <w:r>
              <w:rPr>
                <w:spacing w:val="-4"/>
              </w:rPr>
              <w:t xml:space="preserve"> </w:t>
            </w:r>
            <w:r>
              <w:t>8109</w:t>
            </w:r>
            <w:r>
              <w:rPr>
                <w:spacing w:val="1"/>
              </w:rPr>
              <w:t xml:space="preserve"> </w:t>
            </w:r>
            <w:r>
              <w:t>“Otras</w:t>
            </w:r>
            <w:r>
              <w:rPr>
                <w:spacing w:val="-3"/>
              </w:rPr>
              <w:t xml:space="preserve"> </w:t>
            </w:r>
            <w:r>
              <w:t>cuentas</w:t>
            </w:r>
            <w:r>
              <w:rPr>
                <w:spacing w:val="-3"/>
              </w:rPr>
              <w:t xml:space="preserve"> </w:t>
            </w:r>
            <w:r>
              <w:t>de</w:t>
            </w:r>
            <w:r>
              <w:rPr>
                <w:spacing w:val="-4"/>
              </w:rPr>
              <w:t xml:space="preserve"> </w:t>
            </w:r>
            <w:r>
              <w:t>orden</w:t>
            </w:r>
            <w:r>
              <w:rPr>
                <w:spacing w:val="-3"/>
              </w:rPr>
              <w:t xml:space="preserve"> </w:t>
            </w:r>
            <w:r>
              <w:t>deudoras”</w:t>
            </w:r>
          </w:p>
          <w:p w14:paraId="40FE1997" w14:textId="77777777" w:rsidR="008C20EB" w:rsidRDefault="008D25BE">
            <w:pPr>
              <w:pStyle w:val="TableParagraph"/>
              <w:numPr>
                <w:ilvl w:val="0"/>
                <w:numId w:val="89"/>
              </w:numPr>
              <w:tabs>
                <w:tab w:val="left" w:pos="361"/>
              </w:tabs>
              <w:ind w:right="65"/>
              <w:jc w:val="both"/>
            </w:pPr>
            <w:r>
              <w:t>Se modifica el Anexo 6- RCD y se incorporan cuentas en el Catálogo de cuentas contables consideradas en el Reporte Crediticio de</w:t>
            </w:r>
            <w:r>
              <w:rPr>
                <w:spacing w:val="-21"/>
              </w:rPr>
              <w:t xml:space="preserve"> </w:t>
            </w:r>
            <w:r>
              <w:t>Deudores</w:t>
            </w:r>
          </w:p>
          <w:p w14:paraId="40FE1998" w14:textId="77777777" w:rsidR="008C20EB" w:rsidRDefault="008C20EB">
            <w:pPr>
              <w:pStyle w:val="TableParagraph"/>
              <w:spacing w:before="7"/>
              <w:jc w:val="both"/>
              <w:rPr>
                <w:rFonts w:ascii="Arial"/>
                <w:b/>
                <w:sz w:val="21"/>
              </w:rPr>
            </w:pPr>
          </w:p>
          <w:p w14:paraId="40FE1999" w14:textId="77777777" w:rsidR="008C20EB" w:rsidRDefault="008D25BE">
            <w:pPr>
              <w:pStyle w:val="TableParagraph"/>
              <w:spacing w:before="1"/>
              <w:ind w:left="72"/>
              <w:jc w:val="both"/>
              <w:rPr>
                <w:b/>
              </w:rPr>
            </w:pPr>
            <w:r>
              <w:t xml:space="preserve">(*) La vigencia es a partir de la información de </w:t>
            </w:r>
            <w:r>
              <w:rPr>
                <w:b/>
              </w:rPr>
              <w:t>julio 2013</w:t>
            </w:r>
          </w:p>
        </w:tc>
      </w:tr>
      <w:tr w:rsidR="008C20EB" w14:paraId="40FE19A2" w14:textId="77777777">
        <w:trPr>
          <w:trHeight w:val="2275"/>
        </w:trPr>
        <w:tc>
          <w:tcPr>
            <w:tcW w:w="1445" w:type="dxa"/>
          </w:tcPr>
          <w:p w14:paraId="40FE199B" w14:textId="77777777" w:rsidR="008C20EB" w:rsidRDefault="008D25BE">
            <w:pPr>
              <w:pStyle w:val="TableParagraph"/>
              <w:spacing w:line="240" w:lineRule="exact"/>
              <w:ind w:left="71"/>
              <w:jc w:val="both"/>
              <w:rPr>
                <w:b/>
              </w:rPr>
            </w:pPr>
            <w:r>
              <w:rPr>
                <w:b/>
              </w:rPr>
              <w:t>Resolución</w:t>
            </w:r>
          </w:p>
          <w:p w14:paraId="40FE199C" w14:textId="77777777" w:rsidR="008C20EB" w:rsidRDefault="008D25BE">
            <w:pPr>
              <w:pStyle w:val="TableParagraph"/>
              <w:spacing w:line="242" w:lineRule="auto"/>
              <w:ind w:left="71"/>
              <w:jc w:val="both"/>
              <w:rPr>
                <w:b/>
              </w:rPr>
            </w:pPr>
            <w:r>
              <w:rPr>
                <w:b/>
              </w:rPr>
              <w:t>S.B.S. Nº 7197- 2012</w:t>
            </w:r>
          </w:p>
        </w:tc>
        <w:tc>
          <w:tcPr>
            <w:tcW w:w="1733" w:type="dxa"/>
          </w:tcPr>
          <w:p w14:paraId="40FE199D" w14:textId="77777777" w:rsidR="008C20EB" w:rsidRDefault="008D25BE">
            <w:pPr>
              <w:pStyle w:val="TableParagraph"/>
              <w:tabs>
                <w:tab w:val="left" w:pos="1608"/>
              </w:tabs>
              <w:spacing w:line="240" w:lineRule="exact"/>
              <w:jc w:val="both"/>
              <w:rPr>
                <w:b/>
              </w:rPr>
            </w:pPr>
            <w:r>
              <w:rPr>
                <w:b/>
              </w:rPr>
              <w:t xml:space="preserve">(Pr. </w:t>
            </w:r>
            <w:r>
              <w:rPr>
                <w:b/>
                <w:spacing w:val="27"/>
              </w:rPr>
              <w:t xml:space="preserve"> </w:t>
            </w:r>
            <w:r>
              <w:rPr>
                <w:b/>
              </w:rPr>
              <w:t>20.09.2012</w:t>
            </w:r>
            <w:r>
              <w:rPr>
                <w:b/>
              </w:rPr>
              <w:tab/>
              <w:t>/</w:t>
            </w:r>
          </w:p>
          <w:p w14:paraId="40FE199E" w14:textId="77777777" w:rsidR="008C20EB" w:rsidRDefault="008D25BE">
            <w:pPr>
              <w:pStyle w:val="TableParagraph"/>
              <w:spacing w:line="251" w:lineRule="exact"/>
              <w:jc w:val="both"/>
              <w:rPr>
                <w:b/>
              </w:rPr>
            </w:pPr>
            <w:r>
              <w:rPr>
                <w:b/>
              </w:rPr>
              <w:t>Pub. 26.09.2012)</w:t>
            </w:r>
          </w:p>
        </w:tc>
        <w:tc>
          <w:tcPr>
            <w:tcW w:w="3500" w:type="dxa"/>
          </w:tcPr>
          <w:p w14:paraId="40FE199F" w14:textId="77777777" w:rsidR="008C20EB" w:rsidRDefault="008D25BE">
            <w:pPr>
              <w:pStyle w:val="TableParagraph"/>
              <w:ind w:left="177" w:right="66"/>
              <w:jc w:val="both"/>
            </w:pPr>
            <w:r>
              <w:t>Se modifica el Capítulos I V del Manual de Contabilidad para las Empresas del Sistema Financiero, con vigencia noviembre 2012.</w:t>
            </w:r>
          </w:p>
        </w:tc>
        <w:tc>
          <w:tcPr>
            <w:tcW w:w="8162" w:type="dxa"/>
          </w:tcPr>
          <w:p w14:paraId="40FE19A0" w14:textId="77777777" w:rsidR="008C20EB" w:rsidRDefault="008D25BE">
            <w:pPr>
              <w:pStyle w:val="TableParagraph"/>
              <w:ind w:left="778" w:right="48" w:hanging="706"/>
              <w:jc w:val="both"/>
            </w:pPr>
            <w:r>
              <w:t>Se incorpora el Anexo N° 7-A “Medición del Riesgo de Tasa de Interés – Ganancias en Riesgo”, el Anexo N° 7-B “Medición del Riesgo de Tasa de Interés – Valor Patrimonial en Riesgo” y sus correspondientes notas en el Capítulo V del Manual de Contabilidad. Se deroga a  partir de la vigencia de los nuevos anexos el Anexo Nº 7 “Medición del Riesgo de Tasa de Interés” del Manual de Contabilidad aprobado por la Circular N° B-2087-2001 y el Anexo Nº 7 “Medición del Riesgo de Tasa de Interés” del Manual de Contabili</w:t>
            </w:r>
            <w:r>
              <w:t>dad aprobado por la Circular N° F-464-2003, CM-311-2003, CR-180-2003, EDPYME-103-2003,</w:t>
            </w:r>
            <w:r>
              <w:rPr>
                <w:spacing w:val="21"/>
              </w:rPr>
              <w:t xml:space="preserve"> </w:t>
            </w:r>
            <w:r>
              <w:t>EAF-214-2003,</w:t>
            </w:r>
          </w:p>
          <w:p w14:paraId="40FE19A1" w14:textId="77777777" w:rsidR="008C20EB" w:rsidRDefault="008D25BE">
            <w:pPr>
              <w:pStyle w:val="TableParagraph"/>
              <w:ind w:left="778"/>
              <w:jc w:val="both"/>
            </w:pPr>
            <w:r>
              <w:t>así como sus correspondientes notas.</w:t>
            </w:r>
          </w:p>
        </w:tc>
      </w:tr>
      <w:tr w:rsidR="008C20EB" w14:paraId="40FE19B3" w14:textId="77777777">
        <w:trPr>
          <w:trHeight w:val="2823"/>
        </w:trPr>
        <w:tc>
          <w:tcPr>
            <w:tcW w:w="1445" w:type="dxa"/>
          </w:tcPr>
          <w:p w14:paraId="40FE19A3" w14:textId="77777777" w:rsidR="008C20EB" w:rsidRDefault="008D25BE">
            <w:pPr>
              <w:pStyle w:val="TableParagraph"/>
              <w:spacing w:line="237" w:lineRule="exact"/>
              <w:ind w:left="71"/>
              <w:jc w:val="both"/>
              <w:rPr>
                <w:b/>
              </w:rPr>
            </w:pPr>
            <w:r>
              <w:rPr>
                <w:b/>
              </w:rPr>
              <w:t>Resolución</w:t>
            </w:r>
          </w:p>
          <w:p w14:paraId="40FE19A4" w14:textId="77777777" w:rsidR="008C20EB" w:rsidRDefault="008D25BE">
            <w:pPr>
              <w:pStyle w:val="TableParagraph"/>
              <w:spacing w:before="4" w:line="237" w:lineRule="auto"/>
              <w:ind w:left="71"/>
              <w:jc w:val="both"/>
              <w:rPr>
                <w:b/>
              </w:rPr>
            </w:pPr>
            <w:r>
              <w:rPr>
                <w:b/>
              </w:rPr>
              <w:t>S.B.S. Nº 7036- 2012</w:t>
            </w:r>
          </w:p>
        </w:tc>
        <w:tc>
          <w:tcPr>
            <w:tcW w:w="1733" w:type="dxa"/>
          </w:tcPr>
          <w:p w14:paraId="40FE19A5" w14:textId="77777777" w:rsidR="008C20EB" w:rsidRDefault="008D25BE">
            <w:pPr>
              <w:pStyle w:val="TableParagraph"/>
              <w:tabs>
                <w:tab w:val="left" w:pos="1606"/>
              </w:tabs>
              <w:spacing w:line="237" w:lineRule="exact"/>
              <w:jc w:val="both"/>
              <w:rPr>
                <w:b/>
              </w:rPr>
            </w:pPr>
            <w:r>
              <w:rPr>
                <w:b/>
              </w:rPr>
              <w:t xml:space="preserve">(Pr. </w:t>
            </w:r>
            <w:r>
              <w:rPr>
                <w:b/>
                <w:spacing w:val="27"/>
              </w:rPr>
              <w:t xml:space="preserve"> </w:t>
            </w:r>
            <w:r>
              <w:rPr>
                <w:b/>
              </w:rPr>
              <w:t>19.09.2012</w:t>
            </w:r>
            <w:r>
              <w:rPr>
                <w:b/>
              </w:rPr>
              <w:tab/>
              <w:t>/</w:t>
            </w:r>
          </w:p>
          <w:p w14:paraId="40FE19A6" w14:textId="77777777" w:rsidR="008C20EB" w:rsidRDefault="008D25BE">
            <w:pPr>
              <w:pStyle w:val="TableParagraph"/>
              <w:spacing w:before="2"/>
              <w:jc w:val="both"/>
              <w:rPr>
                <w:b/>
              </w:rPr>
            </w:pPr>
            <w:r>
              <w:rPr>
                <w:b/>
              </w:rPr>
              <w:t>Pub. 26.09.2012)</w:t>
            </w:r>
          </w:p>
        </w:tc>
        <w:tc>
          <w:tcPr>
            <w:tcW w:w="3500" w:type="dxa"/>
          </w:tcPr>
          <w:p w14:paraId="40FE19A7" w14:textId="77777777" w:rsidR="008C20EB" w:rsidRDefault="008D25BE">
            <w:pPr>
              <w:pStyle w:val="TableParagraph"/>
              <w:spacing w:line="237" w:lineRule="exact"/>
              <w:ind w:left="177"/>
              <w:jc w:val="both"/>
            </w:pPr>
            <w:r>
              <w:t>Se modifican los Capítulos I, II, III, IV y</w:t>
            </w:r>
          </w:p>
          <w:p w14:paraId="40FE19A8" w14:textId="77777777" w:rsidR="008C20EB" w:rsidRDefault="008D25BE">
            <w:pPr>
              <w:pStyle w:val="TableParagraph"/>
              <w:spacing w:before="2"/>
              <w:ind w:left="177" w:right="61"/>
              <w:jc w:val="both"/>
            </w:pPr>
            <w:r>
              <w:t>V del Manual de Contabilidad para las Empresas del Sistema Financiero, a efectos de adecuar a las Normas Internacionales de Información Financiera (NIIF), incorporados en el Anexo 2 de la resolución, cuya fecha de vigencia es a partir de enero 2013.</w:t>
            </w:r>
          </w:p>
          <w:p w14:paraId="40FE19A9" w14:textId="77777777" w:rsidR="008C20EB" w:rsidRDefault="008C20EB">
            <w:pPr>
              <w:pStyle w:val="TableParagraph"/>
              <w:spacing w:before="3"/>
              <w:jc w:val="both"/>
              <w:rPr>
                <w:rFonts w:ascii="Arial"/>
                <w:b/>
              </w:rPr>
            </w:pPr>
          </w:p>
          <w:p w14:paraId="40FE19AA" w14:textId="77777777" w:rsidR="008C20EB" w:rsidRDefault="008D25BE">
            <w:pPr>
              <w:pStyle w:val="TableParagraph"/>
              <w:spacing w:line="237" w:lineRule="auto"/>
              <w:ind w:left="177" w:right="60"/>
              <w:jc w:val="both"/>
            </w:pPr>
            <w:r>
              <w:t>Asimismo, se modifican las tablas de empresas y el Reporte 4-A1</w:t>
            </w:r>
          </w:p>
        </w:tc>
        <w:tc>
          <w:tcPr>
            <w:tcW w:w="8162" w:type="dxa"/>
          </w:tcPr>
          <w:p w14:paraId="40FE19AB" w14:textId="77777777" w:rsidR="008C20EB" w:rsidRDefault="008D25BE">
            <w:pPr>
              <w:pStyle w:val="TableParagraph"/>
              <w:spacing w:line="237" w:lineRule="exact"/>
              <w:ind w:left="72"/>
              <w:jc w:val="both"/>
            </w:pPr>
            <w:r>
              <w:rPr>
                <w:b/>
              </w:rPr>
              <w:t>Vigencia enero 2013 (Anexo 2) de la resolución</w:t>
            </w:r>
            <w:r>
              <w:t>:</w:t>
            </w:r>
          </w:p>
          <w:p w14:paraId="40FE19AC" w14:textId="77777777" w:rsidR="008C20EB" w:rsidRDefault="008D25BE">
            <w:pPr>
              <w:pStyle w:val="TableParagraph"/>
              <w:numPr>
                <w:ilvl w:val="0"/>
                <w:numId w:val="90"/>
              </w:numPr>
              <w:tabs>
                <w:tab w:val="left" w:pos="361"/>
              </w:tabs>
              <w:spacing w:before="1" w:line="269" w:lineRule="exact"/>
              <w:ind w:hanging="289"/>
              <w:jc w:val="both"/>
            </w:pPr>
            <w:r>
              <w:t>Se sustituyen los Capítulos I y II, incluyendo los formatos de los estados</w:t>
            </w:r>
            <w:r>
              <w:rPr>
                <w:spacing w:val="-25"/>
              </w:rPr>
              <w:t xml:space="preserve"> </w:t>
            </w:r>
            <w:r>
              <w:t>financieros.</w:t>
            </w:r>
          </w:p>
          <w:p w14:paraId="40FE19AD" w14:textId="77777777" w:rsidR="008C20EB" w:rsidRDefault="008D25BE">
            <w:pPr>
              <w:pStyle w:val="TableParagraph"/>
              <w:numPr>
                <w:ilvl w:val="0"/>
                <w:numId w:val="90"/>
              </w:numPr>
              <w:tabs>
                <w:tab w:val="left" w:pos="361"/>
              </w:tabs>
              <w:spacing w:line="267" w:lineRule="exact"/>
              <w:ind w:hanging="289"/>
              <w:jc w:val="both"/>
            </w:pPr>
            <w:r>
              <w:t>Se modifican los Capítulos III y</w:t>
            </w:r>
            <w:r>
              <w:rPr>
                <w:spacing w:val="-9"/>
              </w:rPr>
              <w:t xml:space="preserve"> </w:t>
            </w:r>
            <w:r>
              <w:t>IV</w:t>
            </w:r>
          </w:p>
          <w:p w14:paraId="40FE19AE" w14:textId="77777777" w:rsidR="008C20EB" w:rsidRDefault="008D25BE">
            <w:pPr>
              <w:pStyle w:val="TableParagraph"/>
              <w:numPr>
                <w:ilvl w:val="0"/>
                <w:numId w:val="90"/>
              </w:numPr>
              <w:tabs>
                <w:tab w:val="left" w:pos="361"/>
              </w:tabs>
              <w:spacing w:line="267" w:lineRule="exact"/>
              <w:ind w:hanging="289"/>
              <w:jc w:val="both"/>
            </w:pPr>
            <w:r>
              <w:t>Se modifican los anexos y reportes del Capítulo</w:t>
            </w:r>
            <w:r>
              <w:rPr>
                <w:spacing w:val="-23"/>
              </w:rPr>
              <w:t xml:space="preserve"> </w:t>
            </w:r>
            <w:r>
              <w:t>V:</w:t>
            </w:r>
          </w:p>
          <w:p w14:paraId="40FE19AF" w14:textId="77777777" w:rsidR="008C20EB" w:rsidRDefault="008C20EB">
            <w:pPr>
              <w:pStyle w:val="TableParagraph"/>
              <w:spacing w:before="3"/>
              <w:jc w:val="both"/>
              <w:rPr>
                <w:rFonts w:ascii="Arial"/>
                <w:b/>
              </w:rPr>
            </w:pPr>
          </w:p>
          <w:p w14:paraId="40FE19B0" w14:textId="77777777" w:rsidR="008C20EB" w:rsidRDefault="008D25BE">
            <w:pPr>
              <w:pStyle w:val="TableParagraph"/>
              <w:numPr>
                <w:ilvl w:val="1"/>
                <w:numId w:val="90"/>
              </w:numPr>
              <w:tabs>
                <w:tab w:val="left" w:pos="779"/>
              </w:tabs>
              <w:spacing w:line="237" w:lineRule="auto"/>
              <w:ind w:right="62" w:hanging="341"/>
              <w:jc w:val="both"/>
            </w:pPr>
            <w:r>
              <w:t xml:space="preserve">Se sustituye la nota metodológica N° 15 del Anexo N° </w:t>
            </w:r>
            <w:r>
              <w:rPr>
                <w:spacing w:val="2"/>
              </w:rPr>
              <w:t xml:space="preserve">1-A </w:t>
            </w:r>
            <w:r>
              <w:t>“Inversión en Instrumentos Representativos de</w:t>
            </w:r>
            <w:r>
              <w:rPr>
                <w:spacing w:val="-6"/>
              </w:rPr>
              <w:t xml:space="preserve"> </w:t>
            </w:r>
            <w:r>
              <w:t>Capital”.</w:t>
            </w:r>
          </w:p>
          <w:p w14:paraId="40FE19B1" w14:textId="77777777" w:rsidR="008C20EB" w:rsidRDefault="008C20EB">
            <w:pPr>
              <w:pStyle w:val="TableParagraph"/>
              <w:spacing w:before="11"/>
              <w:jc w:val="both"/>
              <w:rPr>
                <w:rFonts w:ascii="Arial"/>
                <w:b/>
                <w:sz w:val="21"/>
              </w:rPr>
            </w:pPr>
          </w:p>
          <w:p w14:paraId="40FE19B2" w14:textId="77777777" w:rsidR="008C20EB" w:rsidRDefault="008D25BE">
            <w:pPr>
              <w:pStyle w:val="TableParagraph"/>
              <w:numPr>
                <w:ilvl w:val="1"/>
                <w:numId w:val="90"/>
              </w:numPr>
              <w:tabs>
                <w:tab w:val="left" w:pos="779"/>
              </w:tabs>
              <w:ind w:right="62" w:hanging="341"/>
              <w:jc w:val="both"/>
            </w:pPr>
            <w:r>
              <w:t>Se sustituye la nota metodológica N° 21 del Anexo N° 1-B “Inversión en Instrumentos Representativos de</w:t>
            </w:r>
            <w:r>
              <w:rPr>
                <w:spacing w:val="-6"/>
              </w:rPr>
              <w:t xml:space="preserve"> </w:t>
            </w:r>
            <w:r>
              <w:t>Deuda”.</w:t>
            </w:r>
          </w:p>
        </w:tc>
      </w:tr>
    </w:tbl>
    <w:p w14:paraId="40FE19B4"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337"/>
        <w:gridCol w:w="1503"/>
        <w:gridCol w:w="230"/>
        <w:gridCol w:w="3500"/>
        <w:gridCol w:w="8162"/>
      </w:tblGrid>
      <w:tr w:rsidR="008C20EB" w14:paraId="40FE19B9" w14:textId="77777777">
        <w:trPr>
          <w:trHeight w:val="254"/>
        </w:trPr>
        <w:tc>
          <w:tcPr>
            <w:tcW w:w="1446" w:type="dxa"/>
            <w:gridSpan w:val="2"/>
            <w:vAlign w:val="bottom"/>
          </w:tcPr>
          <w:p w14:paraId="40FE19B5" w14:textId="77777777" w:rsidR="008C20EB" w:rsidRDefault="008D25BE">
            <w:pPr>
              <w:pStyle w:val="TableParagraph"/>
              <w:spacing w:line="234" w:lineRule="exact"/>
              <w:ind w:left="383"/>
              <w:jc w:val="both"/>
              <w:rPr>
                <w:b/>
              </w:rPr>
            </w:pPr>
            <w:r>
              <w:rPr>
                <w:b/>
              </w:rPr>
              <w:lastRenderedPageBreak/>
              <w:t>NORMA</w:t>
            </w:r>
          </w:p>
        </w:tc>
        <w:tc>
          <w:tcPr>
            <w:tcW w:w="1733" w:type="dxa"/>
            <w:gridSpan w:val="2"/>
            <w:vAlign w:val="bottom"/>
          </w:tcPr>
          <w:p w14:paraId="40FE19B6" w14:textId="77777777" w:rsidR="008C20EB" w:rsidRDefault="008D25BE">
            <w:pPr>
              <w:pStyle w:val="TableParagraph"/>
              <w:spacing w:line="234" w:lineRule="exact"/>
              <w:ind w:left="555"/>
              <w:jc w:val="both"/>
              <w:rPr>
                <w:b/>
              </w:rPr>
            </w:pPr>
            <w:r>
              <w:rPr>
                <w:b/>
              </w:rPr>
              <w:t>FECHA</w:t>
            </w:r>
          </w:p>
        </w:tc>
        <w:tc>
          <w:tcPr>
            <w:tcW w:w="3500" w:type="dxa"/>
            <w:vAlign w:val="bottom"/>
          </w:tcPr>
          <w:p w14:paraId="40FE19B7" w14:textId="77777777" w:rsidR="008C20EB" w:rsidRDefault="008D25BE">
            <w:pPr>
              <w:pStyle w:val="TableParagraph"/>
              <w:spacing w:line="234" w:lineRule="exact"/>
              <w:ind w:left="1117"/>
              <w:jc w:val="both"/>
              <w:rPr>
                <w:b/>
              </w:rPr>
            </w:pPr>
            <w:r>
              <w:rPr>
                <w:b/>
              </w:rPr>
              <w:t>DESCRIPCIÓN</w:t>
            </w:r>
          </w:p>
        </w:tc>
        <w:tc>
          <w:tcPr>
            <w:tcW w:w="8162" w:type="dxa"/>
            <w:vAlign w:val="bottom"/>
          </w:tcPr>
          <w:p w14:paraId="40FE19B8" w14:textId="77777777" w:rsidR="008C20EB" w:rsidRDefault="008D25BE">
            <w:pPr>
              <w:pStyle w:val="TableParagraph"/>
              <w:spacing w:line="234" w:lineRule="exact"/>
              <w:ind w:left="3270" w:right="3266"/>
              <w:jc w:val="both"/>
              <w:rPr>
                <w:b/>
              </w:rPr>
            </w:pPr>
            <w:r>
              <w:rPr>
                <w:b/>
              </w:rPr>
              <w:t>MODIFICATORIAS</w:t>
            </w:r>
          </w:p>
        </w:tc>
      </w:tr>
      <w:tr w:rsidR="008C20EB" w14:paraId="40FE19C6" w14:textId="77777777">
        <w:trPr>
          <w:trHeight w:val="3058"/>
        </w:trPr>
        <w:tc>
          <w:tcPr>
            <w:tcW w:w="1446" w:type="dxa"/>
            <w:gridSpan w:val="2"/>
          </w:tcPr>
          <w:p w14:paraId="40FE19BA" w14:textId="77777777" w:rsidR="008C20EB" w:rsidRDefault="008C20EB">
            <w:pPr>
              <w:pStyle w:val="TableParagraph"/>
              <w:jc w:val="both"/>
              <w:rPr>
                <w:rFonts w:ascii="Times New Roman"/>
              </w:rPr>
            </w:pPr>
          </w:p>
        </w:tc>
        <w:tc>
          <w:tcPr>
            <w:tcW w:w="1733" w:type="dxa"/>
            <w:gridSpan w:val="2"/>
          </w:tcPr>
          <w:p w14:paraId="40FE19BB" w14:textId="77777777" w:rsidR="008C20EB" w:rsidRDefault="008C20EB">
            <w:pPr>
              <w:pStyle w:val="TableParagraph"/>
              <w:jc w:val="both"/>
              <w:rPr>
                <w:rFonts w:ascii="Times New Roman"/>
              </w:rPr>
            </w:pPr>
          </w:p>
        </w:tc>
        <w:tc>
          <w:tcPr>
            <w:tcW w:w="3500" w:type="dxa"/>
          </w:tcPr>
          <w:p w14:paraId="40FE19BC" w14:textId="77777777" w:rsidR="008C20EB" w:rsidRDefault="008D25BE">
            <w:pPr>
              <w:pStyle w:val="TableParagraph"/>
              <w:ind w:left="176" w:right="59"/>
              <w:jc w:val="both"/>
            </w:pPr>
            <w:r>
              <w:t>“Requerimiento de Patrimonio Efectivo Adicional por el Ciclo Económico- Empresas que aplican Método Estándar”, incorporado en el Anexo 1 de la resolución, que rige a partir de setiembre 2012.</w:t>
            </w:r>
          </w:p>
        </w:tc>
        <w:tc>
          <w:tcPr>
            <w:tcW w:w="8162" w:type="dxa"/>
          </w:tcPr>
          <w:p w14:paraId="40FE19BD" w14:textId="77777777" w:rsidR="008C20EB" w:rsidRDefault="008D25BE">
            <w:pPr>
              <w:pStyle w:val="TableParagraph"/>
              <w:numPr>
                <w:ilvl w:val="0"/>
                <w:numId w:val="91"/>
              </w:numPr>
              <w:tabs>
                <w:tab w:val="left" w:pos="778"/>
              </w:tabs>
              <w:spacing w:line="242" w:lineRule="exact"/>
              <w:ind w:hanging="309"/>
              <w:jc w:val="both"/>
            </w:pPr>
            <w:r>
              <w:t>Se modifica el Anexo 5 “Informe de Clasificación de Deudores y</w:t>
            </w:r>
            <w:r>
              <w:rPr>
                <w:spacing w:val="-28"/>
              </w:rPr>
              <w:t xml:space="preserve"> </w:t>
            </w:r>
            <w:r>
              <w:t>Provisiones”.</w:t>
            </w:r>
          </w:p>
          <w:p w14:paraId="40FE19BE" w14:textId="77777777" w:rsidR="008C20EB" w:rsidRDefault="008C20EB">
            <w:pPr>
              <w:pStyle w:val="TableParagraph"/>
              <w:spacing w:before="10"/>
              <w:jc w:val="both"/>
              <w:rPr>
                <w:rFonts w:ascii="Arial"/>
                <w:b/>
                <w:sz w:val="21"/>
              </w:rPr>
            </w:pPr>
          </w:p>
          <w:p w14:paraId="40FE19BF" w14:textId="77777777" w:rsidR="008C20EB" w:rsidRDefault="008D25BE">
            <w:pPr>
              <w:pStyle w:val="TableParagraph"/>
              <w:numPr>
                <w:ilvl w:val="0"/>
                <w:numId w:val="91"/>
              </w:numPr>
              <w:tabs>
                <w:tab w:val="left" w:pos="778"/>
              </w:tabs>
              <w:ind w:hanging="309"/>
              <w:jc w:val="both"/>
            </w:pPr>
            <w:r>
              <w:t>Se sustituye la Forma E “Información Adelantada del</w:t>
            </w:r>
            <w:r>
              <w:rPr>
                <w:spacing w:val="-16"/>
              </w:rPr>
              <w:t xml:space="preserve"> </w:t>
            </w:r>
            <w:r>
              <w:t>Balance”.</w:t>
            </w:r>
          </w:p>
          <w:p w14:paraId="40FE19C0" w14:textId="77777777" w:rsidR="008C20EB" w:rsidRDefault="008C20EB">
            <w:pPr>
              <w:pStyle w:val="TableParagraph"/>
              <w:spacing w:before="10"/>
              <w:jc w:val="both"/>
              <w:rPr>
                <w:rFonts w:ascii="Arial"/>
                <w:b/>
                <w:sz w:val="21"/>
              </w:rPr>
            </w:pPr>
          </w:p>
          <w:p w14:paraId="40FE19C1" w14:textId="77777777" w:rsidR="008C20EB" w:rsidRDefault="008D25BE">
            <w:pPr>
              <w:pStyle w:val="TableParagraph"/>
              <w:numPr>
                <w:ilvl w:val="0"/>
                <w:numId w:val="91"/>
              </w:numPr>
              <w:tabs>
                <w:tab w:val="left" w:pos="778"/>
              </w:tabs>
              <w:ind w:left="810" w:right="64" w:hanging="341"/>
              <w:jc w:val="both"/>
            </w:pPr>
            <w:r>
              <w:t>Se modifican los anexos y reportes a fin de adecuar a las modificaciones establecidas en las cuentas (Catálogo de Cuentas del RCD, Anexos 15-A , 15-B, 16 y</w:t>
            </w:r>
            <w:r>
              <w:rPr>
                <w:spacing w:val="-34"/>
              </w:rPr>
              <w:t xml:space="preserve"> </w:t>
            </w:r>
            <w:r>
              <w:t>16-B).</w:t>
            </w:r>
          </w:p>
          <w:p w14:paraId="40FE19C2" w14:textId="77777777" w:rsidR="008C20EB" w:rsidRDefault="008C20EB">
            <w:pPr>
              <w:pStyle w:val="TableParagraph"/>
              <w:spacing w:before="1"/>
              <w:jc w:val="both"/>
              <w:rPr>
                <w:rFonts w:ascii="Arial"/>
                <w:b/>
              </w:rPr>
            </w:pPr>
          </w:p>
          <w:p w14:paraId="40FE19C3" w14:textId="77777777" w:rsidR="008C20EB" w:rsidRDefault="008D25BE">
            <w:pPr>
              <w:pStyle w:val="TableParagraph"/>
              <w:ind w:left="71"/>
              <w:jc w:val="both"/>
              <w:rPr>
                <w:b/>
              </w:rPr>
            </w:pPr>
            <w:r>
              <w:rPr>
                <w:b/>
              </w:rPr>
              <w:t>Vigencia setiembre 2012 (Anexo 1) de la</w:t>
            </w:r>
            <w:r>
              <w:rPr>
                <w:b/>
                <w:spacing w:val="-27"/>
              </w:rPr>
              <w:t xml:space="preserve"> </w:t>
            </w:r>
            <w:r>
              <w:rPr>
                <w:b/>
              </w:rPr>
              <w:t>resolución:</w:t>
            </w:r>
          </w:p>
          <w:p w14:paraId="40FE19C4" w14:textId="77777777" w:rsidR="008C20EB" w:rsidRDefault="008D25BE">
            <w:pPr>
              <w:pStyle w:val="TableParagraph"/>
              <w:numPr>
                <w:ilvl w:val="0"/>
                <w:numId w:val="92"/>
              </w:numPr>
              <w:tabs>
                <w:tab w:val="left" w:pos="360"/>
              </w:tabs>
              <w:spacing w:before="4" w:line="237" w:lineRule="auto"/>
              <w:ind w:right="61"/>
              <w:jc w:val="both"/>
            </w:pPr>
            <w:r>
              <w:t>Se modifica en el literal b de la nota 2 del Reporte 4-A1 “Requerimiento de Patrimonio Efectivo Adicional por el Ciclo Económico-Empresas que aplican Método Estándar”, referido a la eliminación del código</w:t>
            </w:r>
            <w:r>
              <w:rPr>
                <w:spacing w:val="-12"/>
              </w:rPr>
              <w:t xml:space="preserve"> </w:t>
            </w:r>
            <w:r>
              <w:t>7205.03.07.03.</w:t>
            </w:r>
          </w:p>
          <w:p w14:paraId="40FE19C5" w14:textId="77777777" w:rsidR="008C20EB" w:rsidRDefault="008D25BE">
            <w:pPr>
              <w:pStyle w:val="TableParagraph"/>
              <w:numPr>
                <w:ilvl w:val="0"/>
                <w:numId w:val="92"/>
              </w:numPr>
              <w:tabs>
                <w:tab w:val="left" w:pos="360"/>
              </w:tabs>
              <w:spacing w:line="259" w:lineRule="exact"/>
              <w:ind w:hanging="289"/>
              <w:jc w:val="both"/>
            </w:pPr>
            <w:r>
              <w:t>Se modifican las Tablas de Empresas del Capítulo I del</w:t>
            </w:r>
            <w:r>
              <w:rPr>
                <w:spacing w:val="-21"/>
              </w:rPr>
              <w:t xml:space="preserve"> </w:t>
            </w:r>
            <w:r>
              <w:t>Manual.</w:t>
            </w:r>
          </w:p>
        </w:tc>
      </w:tr>
      <w:tr w:rsidR="008C20EB" w14:paraId="40FE19D7" w14:textId="77777777">
        <w:trPr>
          <w:trHeight w:val="4311"/>
        </w:trPr>
        <w:tc>
          <w:tcPr>
            <w:tcW w:w="1109" w:type="dxa"/>
            <w:tcBorders>
              <w:right w:val="nil"/>
            </w:tcBorders>
          </w:tcPr>
          <w:p w14:paraId="40FE19C7" w14:textId="77777777" w:rsidR="008C20EB" w:rsidRDefault="008D25BE">
            <w:pPr>
              <w:pStyle w:val="TableParagraph"/>
              <w:spacing w:line="242" w:lineRule="auto"/>
              <w:ind w:left="71" w:right="40"/>
              <w:jc w:val="both"/>
              <w:rPr>
                <w:b/>
              </w:rPr>
            </w:pPr>
            <w:r>
              <w:rPr>
                <w:b/>
              </w:rPr>
              <w:t>Resolución S.B.S.</w:t>
            </w:r>
          </w:p>
          <w:p w14:paraId="40FE19C8" w14:textId="77777777" w:rsidR="008C20EB" w:rsidRDefault="008D25BE">
            <w:pPr>
              <w:pStyle w:val="TableParagraph"/>
              <w:spacing w:line="247" w:lineRule="exact"/>
              <w:ind w:left="71"/>
              <w:jc w:val="both"/>
              <w:rPr>
                <w:b/>
              </w:rPr>
            </w:pPr>
            <w:r>
              <w:rPr>
                <w:b/>
              </w:rPr>
              <w:t>11665-2011</w:t>
            </w:r>
          </w:p>
        </w:tc>
        <w:tc>
          <w:tcPr>
            <w:tcW w:w="337" w:type="dxa"/>
            <w:tcBorders>
              <w:left w:val="nil"/>
            </w:tcBorders>
          </w:tcPr>
          <w:p w14:paraId="40FE19C9" w14:textId="77777777" w:rsidR="008C20EB" w:rsidRDefault="008C20EB">
            <w:pPr>
              <w:pStyle w:val="TableParagraph"/>
              <w:spacing w:before="2"/>
              <w:jc w:val="both"/>
              <w:rPr>
                <w:rFonts w:ascii="Arial"/>
                <w:b/>
                <w:sz w:val="21"/>
              </w:rPr>
            </w:pPr>
          </w:p>
          <w:p w14:paraId="40FE19CA" w14:textId="77777777" w:rsidR="008C20EB" w:rsidRDefault="008D25BE">
            <w:pPr>
              <w:pStyle w:val="TableParagraph"/>
              <w:ind w:left="50" w:right="45"/>
              <w:jc w:val="both"/>
              <w:rPr>
                <w:b/>
              </w:rPr>
            </w:pPr>
            <w:r>
              <w:rPr>
                <w:b/>
              </w:rPr>
              <w:t>Nº</w:t>
            </w:r>
          </w:p>
        </w:tc>
        <w:tc>
          <w:tcPr>
            <w:tcW w:w="1503" w:type="dxa"/>
            <w:tcBorders>
              <w:right w:val="nil"/>
            </w:tcBorders>
          </w:tcPr>
          <w:p w14:paraId="40FE19CB" w14:textId="77777777" w:rsidR="008C20EB" w:rsidRDefault="008D25BE">
            <w:pPr>
              <w:pStyle w:val="TableParagraph"/>
              <w:spacing w:line="242" w:lineRule="exact"/>
              <w:ind w:left="-1"/>
              <w:jc w:val="both"/>
              <w:rPr>
                <w:b/>
              </w:rPr>
            </w:pPr>
            <w:r>
              <w:rPr>
                <w:b/>
              </w:rPr>
              <w:t>(Pr. 23.11.2011</w:t>
            </w:r>
          </w:p>
          <w:p w14:paraId="40FE19CC" w14:textId="77777777" w:rsidR="008C20EB" w:rsidRDefault="008D25BE">
            <w:pPr>
              <w:pStyle w:val="TableParagraph"/>
              <w:spacing w:before="2"/>
              <w:ind w:left="-1"/>
              <w:jc w:val="both"/>
              <w:rPr>
                <w:b/>
              </w:rPr>
            </w:pPr>
            <w:r>
              <w:rPr>
                <w:b/>
              </w:rPr>
              <w:t>Pub. 25.11.2011)</w:t>
            </w:r>
          </w:p>
        </w:tc>
        <w:tc>
          <w:tcPr>
            <w:tcW w:w="230" w:type="dxa"/>
            <w:tcBorders>
              <w:left w:val="nil"/>
            </w:tcBorders>
          </w:tcPr>
          <w:p w14:paraId="40FE19CD" w14:textId="77777777" w:rsidR="008C20EB" w:rsidRDefault="008D25BE">
            <w:pPr>
              <w:pStyle w:val="TableParagraph"/>
              <w:spacing w:line="242" w:lineRule="exact"/>
              <w:ind w:left="43"/>
              <w:jc w:val="both"/>
              <w:rPr>
                <w:b/>
              </w:rPr>
            </w:pPr>
            <w:r>
              <w:rPr>
                <w:b/>
              </w:rPr>
              <w:t>/</w:t>
            </w:r>
          </w:p>
        </w:tc>
        <w:tc>
          <w:tcPr>
            <w:tcW w:w="3500" w:type="dxa"/>
          </w:tcPr>
          <w:p w14:paraId="40FE19CE" w14:textId="77777777" w:rsidR="008C20EB" w:rsidRDefault="008D25BE">
            <w:pPr>
              <w:pStyle w:val="TableParagraph"/>
              <w:ind w:left="176" w:right="62"/>
              <w:jc w:val="both"/>
            </w:pPr>
            <w:r>
              <w:t>Se precisa la vigencia de remisión del Reporte N°4 del Capítulo V “Información Complementaria” del Manual de Contabilidad para las Empresas del Sistema Financiero, cuya fecha es a partir de la información de enero de 2012</w:t>
            </w:r>
          </w:p>
        </w:tc>
        <w:tc>
          <w:tcPr>
            <w:tcW w:w="8162" w:type="dxa"/>
          </w:tcPr>
          <w:p w14:paraId="40FE19CF" w14:textId="77777777" w:rsidR="008C20EB" w:rsidRDefault="008D25BE">
            <w:pPr>
              <w:pStyle w:val="TableParagraph"/>
              <w:numPr>
                <w:ilvl w:val="0"/>
                <w:numId w:val="93"/>
              </w:numPr>
              <w:tabs>
                <w:tab w:val="left" w:pos="360"/>
              </w:tabs>
              <w:ind w:right="69"/>
              <w:jc w:val="both"/>
            </w:pPr>
            <w:r>
              <w:t>Se precisa que la vigencia de remisión de los siguientes Reportes es a partir de la información de enero de</w:t>
            </w:r>
            <w:r>
              <w:rPr>
                <w:spacing w:val="-10"/>
              </w:rPr>
              <w:t xml:space="preserve"> </w:t>
            </w:r>
            <w:r>
              <w:t>2012:</w:t>
            </w:r>
          </w:p>
          <w:p w14:paraId="40FE19D0" w14:textId="77777777" w:rsidR="008C20EB" w:rsidRDefault="008D25BE">
            <w:pPr>
              <w:pStyle w:val="TableParagraph"/>
              <w:spacing w:line="242" w:lineRule="auto"/>
              <w:ind w:left="359" w:right="207"/>
              <w:jc w:val="both"/>
            </w:pPr>
            <w:r>
              <w:t>Reporte N° 4-A1 – Requerimiento de Patrimonio Efectivo Adicional por el Ciclo Económico – Empresas que aplican Método Estándar</w:t>
            </w:r>
          </w:p>
          <w:p w14:paraId="40FE19D1" w14:textId="77777777" w:rsidR="008C20EB" w:rsidRDefault="008D25BE">
            <w:pPr>
              <w:pStyle w:val="TableParagraph"/>
              <w:spacing w:line="237" w:lineRule="auto"/>
              <w:ind w:left="359" w:right="207"/>
              <w:jc w:val="both"/>
            </w:pPr>
            <w:r>
              <w:t>Reporte N° 4-A2 – Requerimiento de Patrimonio Efectivo Adicional por el Ciclo Económico– Empresas que aplican Método IRB</w:t>
            </w:r>
          </w:p>
          <w:p w14:paraId="40FE19D2" w14:textId="77777777" w:rsidR="008C20EB" w:rsidRDefault="008D25BE">
            <w:pPr>
              <w:pStyle w:val="TableParagraph"/>
              <w:spacing w:line="237" w:lineRule="auto"/>
              <w:ind w:left="359" w:right="207"/>
              <w:jc w:val="both"/>
            </w:pPr>
            <w:r>
              <w:t>Reporte N° 4-B1 – Requerimiento de Patrimonio Efectivo por Riesgo por Concentración Crediticia - Riesgo por Concentración</w:t>
            </w:r>
            <w:r>
              <w:rPr>
                <w:spacing w:val="-12"/>
              </w:rPr>
              <w:t xml:space="preserve"> </w:t>
            </w:r>
            <w:r>
              <w:t>Individual</w:t>
            </w:r>
          </w:p>
          <w:p w14:paraId="40FE19D3" w14:textId="77777777" w:rsidR="008C20EB" w:rsidRDefault="008D25BE">
            <w:pPr>
              <w:pStyle w:val="TableParagraph"/>
              <w:ind w:left="359" w:right="207"/>
              <w:jc w:val="both"/>
            </w:pPr>
            <w:r>
              <w:t>Reporte N° 4-B2 – Requerimiento de Patrimonio Efectivo por Riesgo por Concentración Crediticia - Riesgo por Concentración</w:t>
            </w:r>
            <w:r>
              <w:rPr>
                <w:spacing w:val="-9"/>
              </w:rPr>
              <w:t xml:space="preserve"> </w:t>
            </w:r>
            <w:r>
              <w:t>Sectorial</w:t>
            </w:r>
          </w:p>
          <w:p w14:paraId="40FE19D4" w14:textId="77777777" w:rsidR="008C20EB" w:rsidRDefault="008D25BE">
            <w:pPr>
              <w:pStyle w:val="TableParagraph"/>
              <w:ind w:left="359" w:right="207"/>
              <w:jc w:val="both"/>
            </w:pPr>
            <w:r>
              <w:t>Reporte N° 4-B3 – Requerimiento de Patrimonio Efectivo por Riesgo por Concentración Crediticia - Riesgo por Concentración</w:t>
            </w:r>
            <w:r>
              <w:rPr>
                <w:spacing w:val="-9"/>
              </w:rPr>
              <w:t xml:space="preserve"> </w:t>
            </w:r>
            <w:r>
              <w:t>Regional</w:t>
            </w:r>
          </w:p>
          <w:p w14:paraId="40FE19D5" w14:textId="77777777" w:rsidR="008C20EB" w:rsidRDefault="008D25BE">
            <w:pPr>
              <w:pStyle w:val="TableParagraph"/>
              <w:ind w:left="359" w:right="207"/>
              <w:jc w:val="both"/>
            </w:pPr>
            <w:r>
              <w:t>Reporte N° 4-C - Requerimiento de Patrimonio Efectivo por Riesgo de Tasa de Interés en el Libro Bancario (Banking Book)</w:t>
            </w:r>
          </w:p>
          <w:p w14:paraId="40FE19D6" w14:textId="77777777" w:rsidR="008C20EB" w:rsidRDefault="008D25BE">
            <w:pPr>
              <w:pStyle w:val="TableParagraph"/>
              <w:spacing w:line="237" w:lineRule="auto"/>
              <w:ind w:left="359" w:right="207"/>
              <w:jc w:val="both"/>
            </w:pPr>
            <w:r>
              <w:t>Reporte N° 4-D - Resumen Requerimiento de Patrimonio Efectivo Adicional, conforme a los formatos que se adjuntan.</w:t>
            </w:r>
          </w:p>
        </w:tc>
      </w:tr>
      <w:tr w:rsidR="008C20EB" w14:paraId="40FE19E3" w14:textId="77777777">
        <w:trPr>
          <w:trHeight w:val="1512"/>
        </w:trPr>
        <w:tc>
          <w:tcPr>
            <w:tcW w:w="1109" w:type="dxa"/>
            <w:tcBorders>
              <w:right w:val="nil"/>
            </w:tcBorders>
          </w:tcPr>
          <w:p w14:paraId="40FE19D8" w14:textId="77777777" w:rsidR="008C20EB" w:rsidRDefault="008D25BE">
            <w:pPr>
              <w:pStyle w:val="TableParagraph"/>
              <w:spacing w:line="237" w:lineRule="exact"/>
              <w:ind w:left="71"/>
              <w:jc w:val="both"/>
              <w:rPr>
                <w:b/>
              </w:rPr>
            </w:pPr>
            <w:r>
              <w:rPr>
                <w:b/>
              </w:rPr>
              <w:t>Resolución</w:t>
            </w:r>
          </w:p>
          <w:p w14:paraId="40FE19D9" w14:textId="77777777" w:rsidR="008C20EB" w:rsidRDefault="008D25BE">
            <w:pPr>
              <w:pStyle w:val="TableParagraph"/>
              <w:spacing w:before="2"/>
              <w:ind w:left="71" w:right="60"/>
              <w:jc w:val="both"/>
              <w:rPr>
                <w:b/>
              </w:rPr>
            </w:pPr>
            <w:r>
              <w:rPr>
                <w:b/>
              </w:rPr>
              <w:t>S.B.S. 10454-2011</w:t>
            </w:r>
          </w:p>
        </w:tc>
        <w:tc>
          <w:tcPr>
            <w:tcW w:w="337" w:type="dxa"/>
            <w:tcBorders>
              <w:left w:val="nil"/>
            </w:tcBorders>
          </w:tcPr>
          <w:p w14:paraId="40FE19DA" w14:textId="77777777" w:rsidR="008C20EB" w:rsidRDefault="008C20EB">
            <w:pPr>
              <w:pStyle w:val="TableParagraph"/>
              <w:spacing w:before="8"/>
              <w:jc w:val="both"/>
              <w:rPr>
                <w:rFonts w:ascii="Arial"/>
                <w:b/>
                <w:sz w:val="20"/>
              </w:rPr>
            </w:pPr>
          </w:p>
          <w:p w14:paraId="40FE19DB" w14:textId="77777777" w:rsidR="008C20EB" w:rsidRDefault="008D25BE">
            <w:pPr>
              <w:pStyle w:val="TableParagraph"/>
              <w:spacing w:before="1"/>
              <w:ind w:left="50" w:right="45"/>
              <w:jc w:val="both"/>
              <w:rPr>
                <w:b/>
              </w:rPr>
            </w:pPr>
            <w:r>
              <w:rPr>
                <w:b/>
              </w:rPr>
              <w:t>Nº</w:t>
            </w:r>
          </w:p>
        </w:tc>
        <w:tc>
          <w:tcPr>
            <w:tcW w:w="1503" w:type="dxa"/>
            <w:tcBorders>
              <w:right w:val="nil"/>
            </w:tcBorders>
          </w:tcPr>
          <w:p w14:paraId="40FE19DC" w14:textId="77777777" w:rsidR="008C20EB" w:rsidRDefault="008D25BE">
            <w:pPr>
              <w:pStyle w:val="TableParagraph"/>
              <w:spacing w:line="237" w:lineRule="exact"/>
              <w:ind w:left="-1"/>
              <w:jc w:val="both"/>
              <w:rPr>
                <w:b/>
              </w:rPr>
            </w:pPr>
            <w:r>
              <w:rPr>
                <w:b/>
              </w:rPr>
              <w:t>(Pr. 06.10.2011</w:t>
            </w:r>
          </w:p>
          <w:p w14:paraId="40FE19DD" w14:textId="77777777" w:rsidR="008C20EB" w:rsidRDefault="008D25BE">
            <w:pPr>
              <w:pStyle w:val="TableParagraph"/>
              <w:spacing w:before="2"/>
              <w:ind w:left="-1"/>
              <w:jc w:val="both"/>
              <w:rPr>
                <w:b/>
              </w:rPr>
            </w:pPr>
            <w:r>
              <w:rPr>
                <w:b/>
              </w:rPr>
              <w:t>Pub. 09.10.2011)</w:t>
            </w:r>
          </w:p>
        </w:tc>
        <w:tc>
          <w:tcPr>
            <w:tcW w:w="230" w:type="dxa"/>
            <w:tcBorders>
              <w:left w:val="nil"/>
            </w:tcBorders>
          </w:tcPr>
          <w:p w14:paraId="40FE19DE" w14:textId="77777777" w:rsidR="008C20EB" w:rsidRDefault="008D25BE">
            <w:pPr>
              <w:pStyle w:val="TableParagraph"/>
              <w:spacing w:line="237" w:lineRule="exact"/>
              <w:ind w:left="42"/>
              <w:jc w:val="both"/>
              <w:rPr>
                <w:b/>
              </w:rPr>
            </w:pPr>
            <w:r>
              <w:rPr>
                <w:b/>
              </w:rPr>
              <w:t>/</w:t>
            </w:r>
          </w:p>
        </w:tc>
        <w:tc>
          <w:tcPr>
            <w:tcW w:w="3500" w:type="dxa"/>
          </w:tcPr>
          <w:p w14:paraId="40FE19DF" w14:textId="77777777" w:rsidR="008C20EB" w:rsidRDefault="008D25BE">
            <w:pPr>
              <w:pStyle w:val="TableParagraph"/>
              <w:spacing w:line="237" w:lineRule="exact"/>
              <w:ind w:left="176"/>
              <w:jc w:val="both"/>
            </w:pPr>
            <w:r>
              <w:t>Se modifica el  Capítulo  V</w:t>
            </w:r>
            <w:r>
              <w:rPr>
                <w:spacing w:val="40"/>
              </w:rPr>
              <w:t xml:space="preserve"> </w:t>
            </w:r>
            <w:r>
              <w:t>“Información</w:t>
            </w:r>
          </w:p>
          <w:p w14:paraId="40FE19E0" w14:textId="77777777" w:rsidR="008C20EB" w:rsidRDefault="008D25BE">
            <w:pPr>
              <w:pStyle w:val="TableParagraph"/>
              <w:spacing w:before="2"/>
              <w:ind w:left="176" w:right="62"/>
              <w:jc w:val="both"/>
            </w:pPr>
            <w:r>
              <w:t>Complementaria” del Manual de Contabilidad para las Empresas del Sistema  Financiero, vigente  a  partir</w:t>
            </w:r>
            <w:r>
              <w:rPr>
                <w:spacing w:val="-12"/>
              </w:rPr>
              <w:t xml:space="preserve"> </w:t>
            </w:r>
            <w:r>
              <w:t>de</w:t>
            </w:r>
          </w:p>
          <w:p w14:paraId="40FE19E1" w14:textId="77777777" w:rsidR="008C20EB" w:rsidRDefault="008D25BE">
            <w:pPr>
              <w:pStyle w:val="TableParagraph"/>
              <w:spacing w:before="7" w:line="250" w:lineRule="exact"/>
              <w:ind w:left="176" w:right="69"/>
              <w:jc w:val="both"/>
            </w:pPr>
            <w:r>
              <w:t>la información correspondiente del mes de octubre 2011.</w:t>
            </w:r>
          </w:p>
        </w:tc>
        <w:tc>
          <w:tcPr>
            <w:tcW w:w="8162" w:type="dxa"/>
          </w:tcPr>
          <w:p w14:paraId="40FE19E2" w14:textId="77777777" w:rsidR="008C20EB" w:rsidRDefault="008D25BE">
            <w:pPr>
              <w:pStyle w:val="TableParagraph"/>
              <w:numPr>
                <w:ilvl w:val="0"/>
                <w:numId w:val="94"/>
              </w:numPr>
              <w:tabs>
                <w:tab w:val="left" w:pos="360"/>
              </w:tabs>
              <w:spacing w:line="235" w:lineRule="auto"/>
              <w:ind w:right="68"/>
              <w:jc w:val="both"/>
            </w:pPr>
            <w:r>
              <w:t>Se modifica el numeral 11.3 en la Sección I “Límites Globales” del Reporte N° 13 “Control de Límites Globales e Individuales Aplicables a las Empresas del Sistema</w:t>
            </w:r>
            <w:r>
              <w:rPr>
                <w:spacing w:val="-20"/>
              </w:rPr>
              <w:t xml:space="preserve"> </w:t>
            </w:r>
            <w:r>
              <w:t>Financiero”</w:t>
            </w:r>
          </w:p>
        </w:tc>
      </w:tr>
    </w:tbl>
    <w:p w14:paraId="40FE19E4" w14:textId="77777777" w:rsidR="008C20EB" w:rsidRDefault="008C20EB">
      <w:pPr>
        <w:spacing w:line="235"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9E9" w14:textId="77777777">
        <w:trPr>
          <w:trHeight w:val="254"/>
        </w:trPr>
        <w:tc>
          <w:tcPr>
            <w:tcW w:w="1445" w:type="dxa"/>
            <w:vAlign w:val="bottom"/>
          </w:tcPr>
          <w:p w14:paraId="40FE19E5"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9E6" w14:textId="77777777" w:rsidR="008C20EB" w:rsidRDefault="008D25BE">
            <w:pPr>
              <w:pStyle w:val="TableParagraph"/>
              <w:spacing w:line="234" w:lineRule="exact"/>
              <w:ind w:left="556"/>
              <w:jc w:val="both"/>
              <w:rPr>
                <w:b/>
              </w:rPr>
            </w:pPr>
            <w:r>
              <w:rPr>
                <w:b/>
              </w:rPr>
              <w:t>FECHA</w:t>
            </w:r>
          </w:p>
        </w:tc>
        <w:tc>
          <w:tcPr>
            <w:tcW w:w="3500" w:type="dxa"/>
            <w:vAlign w:val="bottom"/>
          </w:tcPr>
          <w:p w14:paraId="40FE19E7"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9E8" w14:textId="77777777" w:rsidR="008C20EB" w:rsidRDefault="008D25BE">
            <w:pPr>
              <w:pStyle w:val="TableParagraph"/>
              <w:spacing w:line="234" w:lineRule="exact"/>
              <w:ind w:left="3271" w:right="3265"/>
              <w:jc w:val="both"/>
              <w:rPr>
                <w:b/>
              </w:rPr>
            </w:pPr>
            <w:r>
              <w:rPr>
                <w:b/>
              </w:rPr>
              <w:t>MODIFICATORIAS</w:t>
            </w:r>
          </w:p>
        </w:tc>
      </w:tr>
      <w:tr w:rsidR="008C20EB" w14:paraId="40FE19F1" w14:textId="77777777">
        <w:trPr>
          <w:trHeight w:val="2271"/>
        </w:trPr>
        <w:tc>
          <w:tcPr>
            <w:tcW w:w="1445" w:type="dxa"/>
          </w:tcPr>
          <w:p w14:paraId="40FE19EA" w14:textId="77777777" w:rsidR="008C20EB" w:rsidRDefault="008D25BE">
            <w:pPr>
              <w:pStyle w:val="TableParagraph"/>
              <w:spacing w:line="240" w:lineRule="exact"/>
              <w:ind w:left="71"/>
              <w:jc w:val="both"/>
              <w:rPr>
                <w:b/>
              </w:rPr>
            </w:pPr>
            <w:r>
              <w:rPr>
                <w:b/>
              </w:rPr>
              <w:t>Resolución</w:t>
            </w:r>
          </w:p>
          <w:p w14:paraId="40FE19EB" w14:textId="77777777" w:rsidR="008C20EB" w:rsidRDefault="008D25BE">
            <w:pPr>
              <w:pStyle w:val="TableParagraph"/>
              <w:spacing w:line="242" w:lineRule="auto"/>
              <w:ind w:left="71"/>
              <w:jc w:val="both"/>
              <w:rPr>
                <w:b/>
              </w:rPr>
            </w:pPr>
            <w:r>
              <w:rPr>
                <w:b/>
              </w:rPr>
              <w:t>S.B.S. Nº 8420- 2011</w:t>
            </w:r>
          </w:p>
        </w:tc>
        <w:tc>
          <w:tcPr>
            <w:tcW w:w="1733" w:type="dxa"/>
          </w:tcPr>
          <w:p w14:paraId="40FE19EC" w14:textId="77777777" w:rsidR="008C20EB" w:rsidRDefault="008D25BE">
            <w:pPr>
              <w:pStyle w:val="TableParagraph"/>
              <w:tabs>
                <w:tab w:val="left" w:pos="1606"/>
              </w:tabs>
              <w:spacing w:line="240" w:lineRule="exact"/>
              <w:jc w:val="both"/>
              <w:rPr>
                <w:b/>
              </w:rPr>
            </w:pPr>
            <w:r>
              <w:rPr>
                <w:b/>
              </w:rPr>
              <w:t xml:space="preserve">(Pr. </w:t>
            </w:r>
            <w:r>
              <w:rPr>
                <w:b/>
                <w:spacing w:val="27"/>
              </w:rPr>
              <w:t xml:space="preserve"> </w:t>
            </w:r>
            <w:r>
              <w:rPr>
                <w:b/>
              </w:rPr>
              <w:t>20.07.2011</w:t>
            </w:r>
            <w:r>
              <w:rPr>
                <w:b/>
              </w:rPr>
              <w:tab/>
              <w:t>/</w:t>
            </w:r>
          </w:p>
          <w:p w14:paraId="40FE19ED" w14:textId="77777777" w:rsidR="008C20EB" w:rsidRDefault="008D25BE">
            <w:pPr>
              <w:pStyle w:val="TableParagraph"/>
              <w:spacing w:line="251" w:lineRule="exact"/>
              <w:jc w:val="both"/>
              <w:rPr>
                <w:b/>
              </w:rPr>
            </w:pPr>
            <w:r>
              <w:rPr>
                <w:b/>
              </w:rPr>
              <w:t>Pub. 23.07.2011)</w:t>
            </w:r>
          </w:p>
        </w:tc>
        <w:tc>
          <w:tcPr>
            <w:tcW w:w="3500" w:type="dxa"/>
          </w:tcPr>
          <w:p w14:paraId="40FE19EE" w14:textId="77777777" w:rsidR="008C20EB" w:rsidRDefault="008D25BE">
            <w:pPr>
              <w:pStyle w:val="TableParagraph"/>
              <w:ind w:left="177" w:right="61"/>
              <w:jc w:val="both"/>
            </w:pPr>
            <w:r>
              <w:t>Se sustituye el Anexo Nº 5 del Capítulo V “Información Complementaria”, así como las notas metodológicas de los Anexos 5 y 5-A del Manual de Contabilidad para las Empresas del Sistema Financiero. Las modificaciones entran en vigencia a partir de la información correspondiente al mes de</w:t>
            </w:r>
          </w:p>
          <w:p w14:paraId="40FE19EF" w14:textId="77777777" w:rsidR="008C20EB" w:rsidRDefault="008D25BE">
            <w:pPr>
              <w:pStyle w:val="TableParagraph"/>
              <w:spacing w:line="242" w:lineRule="exact"/>
              <w:ind w:left="177"/>
              <w:jc w:val="both"/>
            </w:pPr>
            <w:r>
              <w:t>agosto de 2011.</w:t>
            </w:r>
          </w:p>
        </w:tc>
        <w:tc>
          <w:tcPr>
            <w:tcW w:w="8162" w:type="dxa"/>
          </w:tcPr>
          <w:p w14:paraId="40FE19F0" w14:textId="77777777" w:rsidR="008C20EB" w:rsidRDefault="008D25BE">
            <w:pPr>
              <w:pStyle w:val="TableParagraph"/>
              <w:numPr>
                <w:ilvl w:val="0"/>
                <w:numId w:val="95"/>
              </w:numPr>
              <w:tabs>
                <w:tab w:val="left" w:pos="361"/>
              </w:tabs>
              <w:spacing w:line="235" w:lineRule="auto"/>
              <w:ind w:right="61"/>
              <w:jc w:val="both"/>
            </w:pPr>
            <w:r>
              <w:t>Se sustituye el Anexo N° 5 “Informe de Clasificación de Deudores y Provisiones “ y se modifica las notas metodológicas de los Anexos 5 y</w:t>
            </w:r>
            <w:r>
              <w:rPr>
                <w:spacing w:val="-15"/>
              </w:rPr>
              <w:t xml:space="preserve"> </w:t>
            </w:r>
            <w:r>
              <w:t>5-A.</w:t>
            </w:r>
          </w:p>
        </w:tc>
      </w:tr>
      <w:tr w:rsidR="008C20EB" w14:paraId="40FE1A01" w14:textId="77777777">
        <w:trPr>
          <w:trHeight w:val="4561"/>
        </w:trPr>
        <w:tc>
          <w:tcPr>
            <w:tcW w:w="1445" w:type="dxa"/>
          </w:tcPr>
          <w:p w14:paraId="40FE19F2" w14:textId="77777777" w:rsidR="008C20EB" w:rsidRDefault="008D25BE">
            <w:pPr>
              <w:pStyle w:val="TableParagraph"/>
              <w:spacing w:line="242" w:lineRule="exact"/>
              <w:ind w:left="71"/>
              <w:jc w:val="both"/>
              <w:rPr>
                <w:b/>
              </w:rPr>
            </w:pPr>
            <w:r>
              <w:rPr>
                <w:b/>
              </w:rPr>
              <w:t>Resolución</w:t>
            </w:r>
          </w:p>
          <w:p w14:paraId="40FE19F3" w14:textId="77777777" w:rsidR="008C20EB" w:rsidRDefault="008D25BE">
            <w:pPr>
              <w:pStyle w:val="TableParagraph"/>
              <w:spacing w:before="4" w:line="237" w:lineRule="auto"/>
              <w:ind w:left="71"/>
              <w:jc w:val="both"/>
              <w:rPr>
                <w:b/>
              </w:rPr>
            </w:pPr>
            <w:r>
              <w:rPr>
                <w:b/>
              </w:rPr>
              <w:t>S.B.S. Nº 8425- 2011</w:t>
            </w:r>
          </w:p>
        </w:tc>
        <w:tc>
          <w:tcPr>
            <w:tcW w:w="1733" w:type="dxa"/>
          </w:tcPr>
          <w:p w14:paraId="40FE19F4" w14:textId="77777777" w:rsidR="008C20EB" w:rsidRDefault="008D25BE">
            <w:pPr>
              <w:pStyle w:val="TableParagraph"/>
              <w:tabs>
                <w:tab w:val="left" w:pos="1606"/>
              </w:tabs>
              <w:spacing w:line="242" w:lineRule="exact"/>
              <w:jc w:val="both"/>
              <w:rPr>
                <w:b/>
              </w:rPr>
            </w:pPr>
            <w:r>
              <w:rPr>
                <w:b/>
              </w:rPr>
              <w:t xml:space="preserve">(Pr. </w:t>
            </w:r>
            <w:r>
              <w:rPr>
                <w:b/>
                <w:spacing w:val="27"/>
              </w:rPr>
              <w:t xml:space="preserve"> </w:t>
            </w:r>
            <w:r>
              <w:rPr>
                <w:b/>
              </w:rPr>
              <w:t>20.07.2011</w:t>
            </w:r>
            <w:r>
              <w:rPr>
                <w:b/>
              </w:rPr>
              <w:tab/>
              <w:t>/</w:t>
            </w:r>
          </w:p>
          <w:p w14:paraId="40FE19F5" w14:textId="77777777" w:rsidR="008C20EB" w:rsidRDefault="008D25BE">
            <w:pPr>
              <w:pStyle w:val="TableParagraph"/>
              <w:spacing w:before="2"/>
              <w:jc w:val="both"/>
              <w:rPr>
                <w:b/>
              </w:rPr>
            </w:pPr>
            <w:r>
              <w:rPr>
                <w:b/>
              </w:rPr>
              <w:t>Pub. 21.07.2011)</w:t>
            </w:r>
          </w:p>
        </w:tc>
        <w:tc>
          <w:tcPr>
            <w:tcW w:w="3500" w:type="dxa"/>
          </w:tcPr>
          <w:p w14:paraId="40FE19F6" w14:textId="77777777" w:rsidR="008C20EB" w:rsidRDefault="008D25BE">
            <w:pPr>
              <w:pStyle w:val="TableParagraph"/>
              <w:ind w:left="177" w:right="61"/>
              <w:jc w:val="both"/>
            </w:pPr>
            <w:r>
              <w:t>Se modifica el Capítulo V “Información Complementaria” del Manual de Contabilidad para las Empresas del Sistema Financiero.</w:t>
            </w:r>
          </w:p>
        </w:tc>
        <w:tc>
          <w:tcPr>
            <w:tcW w:w="8162" w:type="dxa"/>
          </w:tcPr>
          <w:p w14:paraId="40FE19F7" w14:textId="77777777" w:rsidR="008C20EB" w:rsidRDefault="008D25BE">
            <w:pPr>
              <w:pStyle w:val="TableParagraph"/>
              <w:numPr>
                <w:ilvl w:val="0"/>
                <w:numId w:val="96"/>
              </w:numPr>
              <w:tabs>
                <w:tab w:val="left" w:pos="361"/>
              </w:tabs>
              <w:spacing w:line="258" w:lineRule="exact"/>
              <w:ind w:hanging="289"/>
              <w:jc w:val="both"/>
            </w:pPr>
            <w:r>
              <w:t>Incorpórense los siguientes Reportes y sus correspondientes notas</w:t>
            </w:r>
            <w:r>
              <w:rPr>
                <w:spacing w:val="-32"/>
              </w:rPr>
              <w:t xml:space="preserve"> </w:t>
            </w:r>
            <w:r>
              <w:t>metodológicas:</w:t>
            </w:r>
          </w:p>
          <w:p w14:paraId="40FE19F8" w14:textId="77777777" w:rsidR="008C20EB" w:rsidRDefault="008D25BE">
            <w:pPr>
              <w:pStyle w:val="TableParagraph"/>
              <w:spacing w:before="2" w:line="237" w:lineRule="auto"/>
              <w:ind w:left="360" w:right="207"/>
              <w:jc w:val="both"/>
            </w:pPr>
            <w:r>
              <w:t>Reporte N° 4-A1 – Requerimiento de Patrimonio Efectivo Adicional por el Ciclo Económico – Empresas que aplican Método Estándar</w:t>
            </w:r>
          </w:p>
          <w:p w14:paraId="40FE19F9" w14:textId="77777777" w:rsidR="008C20EB" w:rsidRDefault="008D25BE">
            <w:pPr>
              <w:pStyle w:val="TableParagraph"/>
              <w:spacing w:before="2"/>
              <w:ind w:left="360" w:right="207"/>
              <w:jc w:val="both"/>
            </w:pPr>
            <w:r>
              <w:t>Reporte N° 4-A2 – Requerimiento de Patrimonio Efectivo Adicional por el Ciclo Económico– Empresas que aplican Método IRB</w:t>
            </w:r>
          </w:p>
          <w:p w14:paraId="40FE19FA" w14:textId="77777777" w:rsidR="008C20EB" w:rsidRDefault="008D25BE">
            <w:pPr>
              <w:pStyle w:val="TableParagraph"/>
              <w:ind w:left="360" w:right="207"/>
              <w:jc w:val="both"/>
            </w:pPr>
            <w:r>
              <w:t>Reporte N° 4-B1 – Requerimiento de Patrimonio Efectivo por Riesgo por Concentración Crediticia - Riesgo por Concentración</w:t>
            </w:r>
            <w:r>
              <w:rPr>
                <w:spacing w:val="-12"/>
              </w:rPr>
              <w:t xml:space="preserve"> </w:t>
            </w:r>
            <w:r>
              <w:t>Individual</w:t>
            </w:r>
          </w:p>
          <w:p w14:paraId="40FE19FB" w14:textId="77777777" w:rsidR="008C20EB" w:rsidRDefault="008D25BE">
            <w:pPr>
              <w:pStyle w:val="TableParagraph"/>
              <w:spacing w:line="242" w:lineRule="auto"/>
              <w:ind w:left="360" w:right="207"/>
              <w:jc w:val="both"/>
            </w:pPr>
            <w:r>
              <w:t>Reporte N° 4-B2 – Requerimiento de Patrimonio Efectivo por Riesgo por Concentración Crediticia - Riesgo por Concentración</w:t>
            </w:r>
            <w:r>
              <w:rPr>
                <w:spacing w:val="-9"/>
              </w:rPr>
              <w:t xml:space="preserve"> </w:t>
            </w:r>
            <w:r>
              <w:t>Sectorial</w:t>
            </w:r>
          </w:p>
          <w:p w14:paraId="40FE19FC" w14:textId="77777777" w:rsidR="008C20EB" w:rsidRDefault="008D25BE">
            <w:pPr>
              <w:pStyle w:val="TableParagraph"/>
              <w:spacing w:line="237" w:lineRule="auto"/>
              <w:ind w:left="360" w:right="207"/>
              <w:jc w:val="both"/>
            </w:pPr>
            <w:r>
              <w:t>Reporte N° 4-B3 – Requerimiento de Patrimonio Efectivo por Riesgo por Concentración Crediticia - Riesgo por Concentración</w:t>
            </w:r>
            <w:r>
              <w:rPr>
                <w:spacing w:val="-9"/>
              </w:rPr>
              <w:t xml:space="preserve"> </w:t>
            </w:r>
            <w:r>
              <w:t>Regional</w:t>
            </w:r>
          </w:p>
          <w:p w14:paraId="40FE19FD" w14:textId="77777777" w:rsidR="008C20EB" w:rsidRDefault="008D25BE">
            <w:pPr>
              <w:pStyle w:val="TableParagraph"/>
              <w:spacing w:before="4" w:line="237" w:lineRule="auto"/>
              <w:ind w:left="360" w:right="207"/>
              <w:jc w:val="both"/>
            </w:pPr>
            <w:r>
              <w:t>Reporte N° 4-C - Requerimiento de Patrimonio Efectivo por Riesgo de Tasa de Interés en el Libro Bancario (Banking Book)</w:t>
            </w:r>
          </w:p>
          <w:p w14:paraId="40FE19FE" w14:textId="77777777" w:rsidR="008C20EB" w:rsidRDefault="008D25BE">
            <w:pPr>
              <w:pStyle w:val="TableParagraph"/>
              <w:spacing w:before="5" w:line="237" w:lineRule="auto"/>
              <w:ind w:left="360" w:right="207"/>
              <w:jc w:val="both"/>
            </w:pPr>
            <w:r>
              <w:t>Reporte N° 4-D - Resumen Requerimiento de Patrimonio Efectivo Adicional, conforme a los formatos que se adjuntan.</w:t>
            </w:r>
          </w:p>
          <w:p w14:paraId="40FE19FF" w14:textId="77777777" w:rsidR="008C20EB" w:rsidRDefault="008C20EB">
            <w:pPr>
              <w:pStyle w:val="TableParagraph"/>
              <w:spacing w:before="3"/>
              <w:jc w:val="both"/>
              <w:rPr>
                <w:rFonts w:ascii="Arial"/>
                <w:b/>
              </w:rPr>
            </w:pPr>
          </w:p>
          <w:p w14:paraId="40FE1A00" w14:textId="77777777" w:rsidR="008C20EB" w:rsidRDefault="008D25BE">
            <w:pPr>
              <w:pStyle w:val="TableParagraph"/>
              <w:ind w:left="360"/>
              <w:jc w:val="both"/>
            </w:pPr>
            <w:r>
              <w:t>Dichos reportes se remitirán en forma mensual.</w:t>
            </w:r>
          </w:p>
        </w:tc>
      </w:tr>
    </w:tbl>
    <w:p w14:paraId="40FE1A02"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07" w14:textId="77777777">
        <w:trPr>
          <w:trHeight w:val="254"/>
        </w:trPr>
        <w:tc>
          <w:tcPr>
            <w:tcW w:w="1445" w:type="dxa"/>
            <w:vAlign w:val="bottom"/>
          </w:tcPr>
          <w:p w14:paraId="40FE1A0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04" w14:textId="77777777" w:rsidR="008C20EB" w:rsidRDefault="008D25BE">
            <w:pPr>
              <w:pStyle w:val="TableParagraph"/>
              <w:spacing w:line="234" w:lineRule="exact"/>
              <w:ind w:left="556"/>
              <w:jc w:val="both"/>
              <w:rPr>
                <w:b/>
              </w:rPr>
            </w:pPr>
            <w:r>
              <w:rPr>
                <w:b/>
              </w:rPr>
              <w:t>FECHA</w:t>
            </w:r>
          </w:p>
        </w:tc>
        <w:tc>
          <w:tcPr>
            <w:tcW w:w="3500" w:type="dxa"/>
            <w:vAlign w:val="bottom"/>
          </w:tcPr>
          <w:p w14:paraId="40FE1A0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06" w14:textId="77777777" w:rsidR="008C20EB" w:rsidRDefault="008D25BE">
            <w:pPr>
              <w:pStyle w:val="TableParagraph"/>
              <w:spacing w:line="234" w:lineRule="exact"/>
              <w:ind w:left="3271" w:right="3265"/>
              <w:jc w:val="both"/>
              <w:rPr>
                <w:b/>
              </w:rPr>
            </w:pPr>
            <w:r>
              <w:rPr>
                <w:b/>
              </w:rPr>
              <w:t>MODIFICATORIAS</w:t>
            </w:r>
          </w:p>
        </w:tc>
      </w:tr>
      <w:tr w:rsidR="008C20EB" w14:paraId="40FE1A14" w14:textId="77777777">
        <w:trPr>
          <w:trHeight w:val="3567"/>
        </w:trPr>
        <w:tc>
          <w:tcPr>
            <w:tcW w:w="1445" w:type="dxa"/>
          </w:tcPr>
          <w:p w14:paraId="40FE1A08" w14:textId="77777777" w:rsidR="008C20EB" w:rsidRDefault="008D25BE">
            <w:pPr>
              <w:pStyle w:val="TableParagraph"/>
              <w:spacing w:line="240" w:lineRule="exact"/>
              <w:ind w:left="71"/>
              <w:jc w:val="both"/>
              <w:rPr>
                <w:b/>
              </w:rPr>
            </w:pPr>
            <w:r>
              <w:rPr>
                <w:b/>
              </w:rPr>
              <w:t>Resolución</w:t>
            </w:r>
          </w:p>
          <w:p w14:paraId="40FE1A09" w14:textId="77777777" w:rsidR="008C20EB" w:rsidRDefault="008D25BE">
            <w:pPr>
              <w:pStyle w:val="TableParagraph"/>
              <w:spacing w:line="242" w:lineRule="auto"/>
              <w:ind w:left="71"/>
              <w:jc w:val="both"/>
              <w:rPr>
                <w:b/>
              </w:rPr>
            </w:pPr>
            <w:r>
              <w:rPr>
                <w:b/>
              </w:rPr>
              <w:t>S.B.S. Nº 6114- 2011</w:t>
            </w:r>
          </w:p>
        </w:tc>
        <w:tc>
          <w:tcPr>
            <w:tcW w:w="1733" w:type="dxa"/>
          </w:tcPr>
          <w:p w14:paraId="40FE1A0A" w14:textId="77777777" w:rsidR="008C20EB" w:rsidRDefault="008D25BE">
            <w:pPr>
              <w:pStyle w:val="TableParagraph"/>
              <w:tabs>
                <w:tab w:val="left" w:pos="1606"/>
              </w:tabs>
              <w:spacing w:line="240" w:lineRule="exact"/>
              <w:jc w:val="both"/>
              <w:rPr>
                <w:b/>
              </w:rPr>
            </w:pPr>
            <w:r>
              <w:rPr>
                <w:b/>
              </w:rPr>
              <w:t xml:space="preserve">(Pr. </w:t>
            </w:r>
            <w:r>
              <w:rPr>
                <w:b/>
                <w:spacing w:val="27"/>
              </w:rPr>
              <w:t xml:space="preserve"> </w:t>
            </w:r>
            <w:r>
              <w:rPr>
                <w:b/>
              </w:rPr>
              <w:t>19.05.2011</w:t>
            </w:r>
            <w:r>
              <w:rPr>
                <w:b/>
              </w:rPr>
              <w:tab/>
              <w:t>/</w:t>
            </w:r>
          </w:p>
          <w:p w14:paraId="40FE1A0B" w14:textId="77777777" w:rsidR="008C20EB" w:rsidRDefault="008D25BE">
            <w:pPr>
              <w:pStyle w:val="TableParagraph"/>
              <w:spacing w:line="251" w:lineRule="exact"/>
              <w:jc w:val="both"/>
              <w:rPr>
                <w:b/>
              </w:rPr>
            </w:pPr>
            <w:r>
              <w:rPr>
                <w:b/>
              </w:rPr>
              <w:t>Pub. 21.05.2011)</w:t>
            </w:r>
          </w:p>
        </w:tc>
        <w:tc>
          <w:tcPr>
            <w:tcW w:w="3500" w:type="dxa"/>
          </w:tcPr>
          <w:p w14:paraId="40FE1A0C" w14:textId="77777777" w:rsidR="008C20EB" w:rsidRDefault="008D25BE">
            <w:pPr>
              <w:pStyle w:val="TableParagraph"/>
              <w:ind w:left="177" w:right="58"/>
              <w:jc w:val="both"/>
            </w:pPr>
            <w:r>
              <w:t>Se modifica el Anexo Nº 8 del Capítulo V “Información Complementaria” del Manual de Contabilidad para las Empresas del Sistema Financiero. Las modificaciones entraran en vigencia a partir de la información correspondiente al mes de agosto de</w:t>
            </w:r>
            <w:r>
              <w:rPr>
                <w:spacing w:val="-13"/>
              </w:rPr>
              <w:t xml:space="preserve"> </w:t>
            </w:r>
            <w:r>
              <w:t>2011.</w:t>
            </w:r>
          </w:p>
        </w:tc>
        <w:tc>
          <w:tcPr>
            <w:tcW w:w="8162" w:type="dxa"/>
          </w:tcPr>
          <w:p w14:paraId="40FE1A0D" w14:textId="77777777" w:rsidR="008C20EB" w:rsidRDefault="008D25BE">
            <w:pPr>
              <w:pStyle w:val="TableParagraph"/>
              <w:numPr>
                <w:ilvl w:val="0"/>
                <w:numId w:val="97"/>
              </w:numPr>
              <w:tabs>
                <w:tab w:val="left" w:pos="361"/>
              </w:tabs>
              <w:spacing w:line="256" w:lineRule="exact"/>
              <w:ind w:hanging="289"/>
              <w:jc w:val="both"/>
            </w:pPr>
            <w:r>
              <w:t>Se sustituye el texto de las siguientes notas</w:t>
            </w:r>
            <w:r>
              <w:rPr>
                <w:spacing w:val="-7"/>
              </w:rPr>
              <w:t xml:space="preserve"> </w:t>
            </w:r>
            <w:r>
              <w:t>metodológicas:</w:t>
            </w:r>
          </w:p>
          <w:p w14:paraId="40FE1A0E" w14:textId="77777777" w:rsidR="008C20EB" w:rsidRDefault="008D25BE">
            <w:pPr>
              <w:pStyle w:val="TableParagraph"/>
              <w:spacing w:line="242" w:lineRule="auto"/>
              <w:ind w:left="360" w:right="61"/>
              <w:jc w:val="both"/>
            </w:pPr>
            <w:r>
              <w:t>3) Asignar un código a la operación para identificarla en el momento de netearla con otra operación.</w:t>
            </w:r>
          </w:p>
          <w:p w14:paraId="40FE1A0F" w14:textId="77777777" w:rsidR="008C20EB" w:rsidRDefault="008D25BE">
            <w:pPr>
              <w:pStyle w:val="TableParagraph"/>
              <w:spacing w:line="250" w:lineRule="exact"/>
              <w:ind w:left="360"/>
              <w:jc w:val="both"/>
            </w:pPr>
            <w:r>
              <w:t>“7) (….)</w:t>
            </w:r>
          </w:p>
          <w:p w14:paraId="40FE1A10" w14:textId="77777777" w:rsidR="008C20EB" w:rsidRDefault="008D25BE">
            <w:pPr>
              <w:pStyle w:val="TableParagraph"/>
              <w:ind w:left="360" w:right="56"/>
              <w:jc w:val="both"/>
            </w:pPr>
            <w:r>
              <w:t>i: Especificar si la empresa ha firmado un contrato al amparo de alguno de los contratos marco reconocidos por esta Superintendencia que permita la compensación de obligaciones recíprocas generadas de operaciones con productos financieros derivados, celebrados con instituciones financieras y de seguros del país y del exterior.</w:t>
            </w:r>
          </w:p>
          <w:p w14:paraId="40FE1A11" w14:textId="77777777" w:rsidR="008C20EB" w:rsidRDefault="008D25BE">
            <w:pPr>
              <w:pStyle w:val="TableParagraph"/>
              <w:spacing w:before="1" w:line="237" w:lineRule="auto"/>
              <w:ind w:left="360" w:right="64"/>
              <w:jc w:val="both"/>
            </w:pPr>
            <w:r>
              <w:t>11) Especificar si el pago final es por el volumen total de la operación –“con delivery”- o solamente por el diferencial entre precio pactado y precio spot al vencimiento -´sin delivery´-.</w:t>
            </w:r>
          </w:p>
          <w:p w14:paraId="40FE1A12" w14:textId="77777777" w:rsidR="008C20EB" w:rsidRDefault="008C20EB">
            <w:pPr>
              <w:pStyle w:val="TableParagraph"/>
              <w:spacing w:before="10"/>
              <w:jc w:val="both"/>
              <w:rPr>
                <w:rFonts w:ascii="Arial"/>
                <w:b/>
                <w:sz w:val="21"/>
              </w:rPr>
            </w:pPr>
          </w:p>
          <w:p w14:paraId="40FE1A13" w14:textId="77777777" w:rsidR="008C20EB" w:rsidRDefault="008D25BE">
            <w:pPr>
              <w:pStyle w:val="TableParagraph"/>
              <w:numPr>
                <w:ilvl w:val="0"/>
                <w:numId w:val="98"/>
              </w:numPr>
              <w:tabs>
                <w:tab w:val="left" w:pos="361"/>
              </w:tabs>
              <w:ind w:right="65"/>
              <w:jc w:val="both"/>
            </w:pPr>
            <w:r>
              <w:t>Se modifica el formato del Anexo 8 A, con la finalidad de incorporar la información adicional solicitada en la Nota metodológica 11, de acuerdo al formato</w:t>
            </w:r>
            <w:r>
              <w:rPr>
                <w:spacing w:val="-20"/>
              </w:rPr>
              <w:t xml:space="preserve"> </w:t>
            </w:r>
            <w:r>
              <w:t>adjunto.</w:t>
            </w:r>
          </w:p>
        </w:tc>
      </w:tr>
      <w:tr w:rsidR="008C20EB" w14:paraId="40FE1A1E" w14:textId="77777777">
        <w:trPr>
          <w:trHeight w:val="2270"/>
        </w:trPr>
        <w:tc>
          <w:tcPr>
            <w:tcW w:w="1445" w:type="dxa"/>
          </w:tcPr>
          <w:p w14:paraId="40FE1A15" w14:textId="77777777" w:rsidR="008C20EB" w:rsidRDefault="008D25BE">
            <w:pPr>
              <w:pStyle w:val="TableParagraph"/>
              <w:spacing w:line="237" w:lineRule="exact"/>
              <w:ind w:left="71"/>
              <w:jc w:val="both"/>
              <w:rPr>
                <w:b/>
              </w:rPr>
            </w:pPr>
            <w:r>
              <w:rPr>
                <w:b/>
              </w:rPr>
              <w:t>Resolución</w:t>
            </w:r>
          </w:p>
          <w:p w14:paraId="40FE1A16" w14:textId="77777777" w:rsidR="008C20EB" w:rsidRDefault="008D25BE">
            <w:pPr>
              <w:pStyle w:val="TableParagraph"/>
              <w:spacing w:before="4" w:line="237" w:lineRule="auto"/>
              <w:ind w:left="71"/>
              <w:jc w:val="both"/>
              <w:rPr>
                <w:b/>
              </w:rPr>
            </w:pPr>
            <w:r>
              <w:rPr>
                <w:b/>
              </w:rPr>
              <w:t>S.B.S. Nº 6033- 2011</w:t>
            </w:r>
          </w:p>
        </w:tc>
        <w:tc>
          <w:tcPr>
            <w:tcW w:w="1733" w:type="dxa"/>
          </w:tcPr>
          <w:p w14:paraId="40FE1A17" w14:textId="77777777" w:rsidR="008C20EB" w:rsidRDefault="008D25BE">
            <w:pPr>
              <w:pStyle w:val="TableParagraph"/>
              <w:tabs>
                <w:tab w:val="left" w:pos="1606"/>
              </w:tabs>
              <w:spacing w:line="237" w:lineRule="exact"/>
              <w:jc w:val="both"/>
              <w:rPr>
                <w:b/>
              </w:rPr>
            </w:pPr>
            <w:r>
              <w:rPr>
                <w:b/>
              </w:rPr>
              <w:t xml:space="preserve">(Pr. </w:t>
            </w:r>
            <w:r>
              <w:rPr>
                <w:b/>
                <w:spacing w:val="27"/>
              </w:rPr>
              <w:t xml:space="preserve"> </w:t>
            </w:r>
            <w:r>
              <w:rPr>
                <w:b/>
              </w:rPr>
              <w:t>06.05.2011</w:t>
            </w:r>
            <w:r>
              <w:rPr>
                <w:b/>
              </w:rPr>
              <w:tab/>
              <w:t>/</w:t>
            </w:r>
          </w:p>
          <w:p w14:paraId="40FE1A18" w14:textId="77777777" w:rsidR="008C20EB" w:rsidRDefault="008D25BE">
            <w:pPr>
              <w:pStyle w:val="TableParagraph"/>
              <w:spacing w:before="2"/>
              <w:jc w:val="both"/>
              <w:rPr>
                <w:b/>
              </w:rPr>
            </w:pPr>
            <w:r>
              <w:rPr>
                <w:b/>
              </w:rPr>
              <w:t>Pub. 11.05.201)</w:t>
            </w:r>
          </w:p>
        </w:tc>
        <w:tc>
          <w:tcPr>
            <w:tcW w:w="3500" w:type="dxa"/>
          </w:tcPr>
          <w:p w14:paraId="40FE1A19" w14:textId="77777777" w:rsidR="008C20EB" w:rsidRDefault="008C20EB">
            <w:pPr>
              <w:pStyle w:val="TableParagraph"/>
              <w:spacing w:before="8"/>
              <w:jc w:val="both"/>
              <w:rPr>
                <w:rFonts w:ascii="Arial"/>
                <w:b/>
                <w:sz w:val="20"/>
              </w:rPr>
            </w:pPr>
          </w:p>
          <w:p w14:paraId="40FE1A1A" w14:textId="77777777" w:rsidR="008C20EB" w:rsidRDefault="008D25BE">
            <w:pPr>
              <w:pStyle w:val="TableParagraph"/>
              <w:spacing w:before="1"/>
              <w:ind w:right="60"/>
              <w:jc w:val="both"/>
            </w:pPr>
            <w:r>
              <w:t>Se modifica el Anexo Nº 6 “Reporte Crediticio de Deudores” del Capítulo V “Información Complementaria” del Manual de Contabilidad para las Empresas del Sistema Financiero. Las modificaciones entran vigencia a partir de la información correspondiente al</w:t>
            </w:r>
          </w:p>
          <w:p w14:paraId="40FE1A1B" w14:textId="77777777" w:rsidR="008C20EB" w:rsidRDefault="008D25BE">
            <w:pPr>
              <w:pStyle w:val="TableParagraph"/>
              <w:spacing w:line="245" w:lineRule="exact"/>
              <w:ind w:left="177"/>
              <w:jc w:val="both"/>
            </w:pPr>
            <w:r>
              <w:t>mes de julio de 2011.</w:t>
            </w:r>
          </w:p>
        </w:tc>
        <w:tc>
          <w:tcPr>
            <w:tcW w:w="8162" w:type="dxa"/>
          </w:tcPr>
          <w:p w14:paraId="40FE1A1C" w14:textId="77777777" w:rsidR="008C20EB" w:rsidRDefault="008D25BE">
            <w:pPr>
              <w:pStyle w:val="TableParagraph"/>
              <w:numPr>
                <w:ilvl w:val="0"/>
                <w:numId w:val="99"/>
              </w:numPr>
              <w:tabs>
                <w:tab w:val="left" w:pos="361"/>
              </w:tabs>
              <w:spacing w:before="2" w:line="254" w:lineRule="exact"/>
              <w:ind w:right="59"/>
              <w:jc w:val="both"/>
            </w:pPr>
            <w:r>
              <w:t>Se incorporan criterios como parte de las instrucciones para el reporte, en el campo B-09 “Condición especial en</w:t>
            </w:r>
            <w:r>
              <w:rPr>
                <w:spacing w:val="-7"/>
              </w:rPr>
              <w:t xml:space="preserve"> </w:t>
            </w:r>
            <w:r>
              <w:t>cuenta”</w:t>
            </w:r>
          </w:p>
          <w:p w14:paraId="40FE1A1D" w14:textId="77777777" w:rsidR="008C20EB" w:rsidRDefault="008D25BE">
            <w:pPr>
              <w:pStyle w:val="TableParagraph"/>
              <w:numPr>
                <w:ilvl w:val="0"/>
                <w:numId w:val="99"/>
              </w:numPr>
              <w:tabs>
                <w:tab w:val="left" w:pos="361"/>
              </w:tabs>
              <w:spacing w:line="267" w:lineRule="exact"/>
              <w:ind w:hanging="289"/>
              <w:jc w:val="both"/>
            </w:pPr>
            <w:r>
              <w:t>Se incorpora información como nota 16 del campo</w:t>
            </w:r>
            <w:r>
              <w:rPr>
                <w:spacing w:val="-23"/>
              </w:rPr>
              <w:t xml:space="preserve"> </w:t>
            </w:r>
            <w:r>
              <w:t>“09”</w:t>
            </w:r>
          </w:p>
        </w:tc>
      </w:tr>
      <w:tr w:rsidR="008C20EB" w14:paraId="40FE1A31" w14:textId="77777777">
        <w:trPr>
          <w:trHeight w:val="3063"/>
        </w:trPr>
        <w:tc>
          <w:tcPr>
            <w:tcW w:w="1445" w:type="dxa"/>
          </w:tcPr>
          <w:p w14:paraId="40FE1A1F" w14:textId="77777777" w:rsidR="008C20EB" w:rsidRDefault="008D25BE">
            <w:pPr>
              <w:pStyle w:val="TableParagraph"/>
              <w:spacing w:line="240" w:lineRule="exact"/>
              <w:ind w:left="71"/>
              <w:jc w:val="both"/>
              <w:rPr>
                <w:b/>
              </w:rPr>
            </w:pPr>
            <w:r>
              <w:rPr>
                <w:b/>
              </w:rPr>
              <w:t>Resolución</w:t>
            </w:r>
          </w:p>
          <w:p w14:paraId="40FE1A20" w14:textId="77777777" w:rsidR="008C20EB" w:rsidRDefault="008D25BE">
            <w:pPr>
              <w:pStyle w:val="TableParagraph"/>
              <w:ind w:left="71"/>
              <w:jc w:val="both"/>
              <w:rPr>
                <w:b/>
              </w:rPr>
            </w:pPr>
            <w:r>
              <w:rPr>
                <w:b/>
              </w:rPr>
              <w:t>S.B.S. Nº 6007- 2011</w:t>
            </w:r>
          </w:p>
        </w:tc>
        <w:tc>
          <w:tcPr>
            <w:tcW w:w="1733" w:type="dxa"/>
          </w:tcPr>
          <w:p w14:paraId="40FE1A21" w14:textId="77777777" w:rsidR="008C20EB" w:rsidRDefault="008D25BE">
            <w:pPr>
              <w:pStyle w:val="TableParagraph"/>
              <w:tabs>
                <w:tab w:val="left" w:pos="1606"/>
              </w:tabs>
              <w:spacing w:line="240" w:lineRule="exact"/>
              <w:jc w:val="both"/>
              <w:rPr>
                <w:b/>
              </w:rPr>
            </w:pPr>
            <w:r>
              <w:rPr>
                <w:b/>
              </w:rPr>
              <w:t xml:space="preserve">(Pr. </w:t>
            </w:r>
            <w:r>
              <w:rPr>
                <w:b/>
                <w:spacing w:val="27"/>
              </w:rPr>
              <w:t xml:space="preserve"> </w:t>
            </w:r>
            <w:r>
              <w:rPr>
                <w:b/>
              </w:rPr>
              <w:t>03.05.2011</w:t>
            </w:r>
            <w:r>
              <w:rPr>
                <w:b/>
              </w:rPr>
              <w:tab/>
              <w:t>/</w:t>
            </w:r>
          </w:p>
          <w:p w14:paraId="40FE1A22" w14:textId="77777777" w:rsidR="008C20EB" w:rsidRDefault="008D25BE">
            <w:pPr>
              <w:pStyle w:val="TableParagraph"/>
              <w:spacing w:line="251" w:lineRule="exact"/>
              <w:jc w:val="both"/>
              <w:rPr>
                <w:b/>
              </w:rPr>
            </w:pPr>
            <w:r>
              <w:rPr>
                <w:b/>
              </w:rPr>
              <w:t>Pub. 07.05.2011)</w:t>
            </w:r>
          </w:p>
        </w:tc>
        <w:tc>
          <w:tcPr>
            <w:tcW w:w="3500" w:type="dxa"/>
          </w:tcPr>
          <w:p w14:paraId="40FE1A23" w14:textId="77777777" w:rsidR="008C20EB" w:rsidRDefault="008C20EB">
            <w:pPr>
              <w:pStyle w:val="TableParagraph"/>
              <w:spacing w:before="8"/>
              <w:jc w:val="both"/>
              <w:rPr>
                <w:rFonts w:ascii="Arial"/>
                <w:b/>
                <w:sz w:val="20"/>
              </w:rPr>
            </w:pPr>
          </w:p>
          <w:p w14:paraId="40FE1A24" w14:textId="77777777" w:rsidR="008C20EB" w:rsidRDefault="008D25BE">
            <w:pPr>
              <w:pStyle w:val="TableParagraph"/>
              <w:spacing w:before="1"/>
              <w:ind w:left="177" w:right="58"/>
              <w:jc w:val="both"/>
            </w:pPr>
            <w:r>
              <w:t>Se modifica el Anexo Nº 6 “Reporte Crediticio de Deudores” del Capítulo V “Información Complementaria” del Manual de Contabilidad para las Empresas del Sistema Financiero, cuya vigencia es a partir de la información del mes de mayo 2011.</w:t>
            </w:r>
          </w:p>
        </w:tc>
        <w:tc>
          <w:tcPr>
            <w:tcW w:w="8162" w:type="dxa"/>
          </w:tcPr>
          <w:p w14:paraId="40FE1A25" w14:textId="77777777" w:rsidR="008C20EB" w:rsidRDefault="008D25BE">
            <w:pPr>
              <w:pStyle w:val="TableParagraph"/>
              <w:numPr>
                <w:ilvl w:val="0"/>
                <w:numId w:val="100"/>
              </w:numPr>
              <w:tabs>
                <w:tab w:val="left" w:pos="361"/>
              </w:tabs>
              <w:spacing w:line="256" w:lineRule="exact"/>
              <w:ind w:hanging="289"/>
              <w:jc w:val="both"/>
            </w:pPr>
            <w:r>
              <w:t>Se elimina del Campo B-10 “Condición de disponibilidad” el siguiente</w:t>
            </w:r>
            <w:r>
              <w:rPr>
                <w:spacing w:val="-29"/>
              </w:rPr>
              <w:t xml:space="preserve"> </w:t>
            </w:r>
            <w:r>
              <w:t>criterio:</w:t>
            </w:r>
          </w:p>
          <w:p w14:paraId="40FE1A26" w14:textId="77777777" w:rsidR="008C20EB" w:rsidRDefault="008D25BE">
            <w:pPr>
              <w:pStyle w:val="TableParagraph"/>
              <w:tabs>
                <w:tab w:val="left" w:pos="778"/>
              </w:tabs>
              <w:spacing w:line="250" w:lineRule="exact"/>
              <w:ind w:left="360"/>
              <w:jc w:val="both"/>
            </w:pPr>
            <w:r>
              <w:t>01</w:t>
            </w:r>
            <w:r>
              <w:tab/>
              <w:t>Operaciones</w:t>
            </w:r>
            <w:r>
              <w:rPr>
                <w:spacing w:val="-4"/>
              </w:rPr>
              <w:t xml:space="preserve"> </w:t>
            </w:r>
            <w:r>
              <w:t>entregadas</w:t>
            </w:r>
            <w:r>
              <w:rPr>
                <w:spacing w:val="-4"/>
              </w:rPr>
              <w:t xml:space="preserve"> </w:t>
            </w:r>
            <w:r>
              <w:t>en</w:t>
            </w:r>
            <w:r>
              <w:rPr>
                <w:spacing w:val="-4"/>
              </w:rPr>
              <w:t xml:space="preserve"> </w:t>
            </w:r>
            <w:r>
              <w:t>garantía</w:t>
            </w:r>
            <w:r>
              <w:rPr>
                <w:spacing w:val="-5"/>
              </w:rPr>
              <w:t xml:space="preserve"> </w:t>
            </w:r>
            <w:r>
              <w:t>para</w:t>
            </w:r>
            <w:r>
              <w:rPr>
                <w:spacing w:val="-4"/>
              </w:rPr>
              <w:t xml:space="preserve"> </w:t>
            </w:r>
            <w:r>
              <w:t>la</w:t>
            </w:r>
            <w:r>
              <w:rPr>
                <w:spacing w:val="-5"/>
              </w:rPr>
              <w:t xml:space="preserve"> </w:t>
            </w:r>
            <w:r>
              <w:t>recepción</w:t>
            </w:r>
            <w:r>
              <w:rPr>
                <w:spacing w:val="-4"/>
              </w:rPr>
              <w:t xml:space="preserve"> </w:t>
            </w:r>
            <w:r>
              <w:t>de</w:t>
            </w:r>
            <w:r>
              <w:rPr>
                <w:spacing w:val="-5"/>
              </w:rPr>
              <w:t xml:space="preserve"> </w:t>
            </w:r>
            <w:r>
              <w:t>préstamos</w:t>
            </w:r>
            <w:r>
              <w:rPr>
                <w:spacing w:val="-3"/>
              </w:rPr>
              <w:t xml:space="preserve"> </w:t>
            </w:r>
            <w:r>
              <w:t>o</w:t>
            </w:r>
            <w:r>
              <w:rPr>
                <w:spacing w:val="-5"/>
              </w:rPr>
              <w:t xml:space="preserve"> </w:t>
            </w:r>
            <w:r>
              <w:t>líneas</w:t>
            </w:r>
            <w:r>
              <w:rPr>
                <w:spacing w:val="-4"/>
              </w:rPr>
              <w:t xml:space="preserve"> </w:t>
            </w:r>
            <w:r>
              <w:t>de</w:t>
            </w:r>
            <w:r>
              <w:rPr>
                <w:spacing w:val="-4"/>
              </w:rPr>
              <w:t xml:space="preserve"> </w:t>
            </w:r>
            <w:r>
              <w:t>crédito</w:t>
            </w:r>
          </w:p>
          <w:p w14:paraId="40FE1A27" w14:textId="77777777" w:rsidR="008C20EB" w:rsidRDefault="008D25BE">
            <w:pPr>
              <w:pStyle w:val="TableParagraph"/>
              <w:numPr>
                <w:ilvl w:val="0"/>
                <w:numId w:val="100"/>
              </w:numPr>
              <w:tabs>
                <w:tab w:val="left" w:pos="361"/>
              </w:tabs>
              <w:spacing w:before="1"/>
              <w:ind w:hanging="289"/>
              <w:jc w:val="both"/>
            </w:pPr>
            <w:r>
              <w:t>Incorpórese al Campo B-10 “Condición de disponibilidad” los siguientes</w:t>
            </w:r>
            <w:r>
              <w:rPr>
                <w:spacing w:val="-27"/>
              </w:rPr>
              <w:t xml:space="preserve"> </w:t>
            </w:r>
            <w:r>
              <w:t>criterios:</w:t>
            </w:r>
          </w:p>
          <w:p w14:paraId="40FE1A28" w14:textId="77777777" w:rsidR="008C20EB" w:rsidRDefault="008C20EB">
            <w:pPr>
              <w:pStyle w:val="TableParagraph"/>
              <w:spacing w:before="8"/>
              <w:jc w:val="both"/>
              <w:rPr>
                <w:rFonts w:ascii="Arial"/>
                <w:b/>
                <w:sz w:val="21"/>
              </w:rPr>
            </w:pPr>
          </w:p>
          <w:p w14:paraId="40FE1A29" w14:textId="77777777" w:rsidR="008C20EB" w:rsidRDefault="008D25BE">
            <w:pPr>
              <w:pStyle w:val="TableParagraph"/>
              <w:numPr>
                <w:ilvl w:val="1"/>
                <w:numId w:val="100"/>
              </w:numPr>
              <w:tabs>
                <w:tab w:val="left" w:pos="778"/>
                <w:tab w:val="left" w:pos="779"/>
              </w:tabs>
              <w:spacing w:before="1"/>
              <w:ind w:hanging="419"/>
              <w:jc w:val="both"/>
            </w:pPr>
            <w:r>
              <w:t>Operaciones en garantía de Bonos de Arrendamiento</w:t>
            </w:r>
            <w:r>
              <w:rPr>
                <w:spacing w:val="-22"/>
              </w:rPr>
              <w:t xml:space="preserve"> </w:t>
            </w:r>
            <w:r>
              <w:t>Financiero</w:t>
            </w:r>
          </w:p>
          <w:p w14:paraId="40FE1A2A" w14:textId="77777777" w:rsidR="008C20EB" w:rsidRDefault="008D25BE">
            <w:pPr>
              <w:pStyle w:val="TableParagraph"/>
              <w:numPr>
                <w:ilvl w:val="1"/>
                <w:numId w:val="100"/>
              </w:numPr>
              <w:tabs>
                <w:tab w:val="left" w:pos="778"/>
                <w:tab w:val="left" w:pos="779"/>
              </w:tabs>
              <w:spacing w:before="2"/>
              <w:ind w:hanging="419"/>
              <w:jc w:val="both"/>
            </w:pPr>
            <w:r>
              <w:t>Operaciones en garantía de Bonos</w:t>
            </w:r>
            <w:r>
              <w:rPr>
                <w:spacing w:val="-15"/>
              </w:rPr>
              <w:t xml:space="preserve"> </w:t>
            </w:r>
            <w:r>
              <w:t>Hipotecarios</w:t>
            </w:r>
          </w:p>
          <w:p w14:paraId="40FE1A2B" w14:textId="77777777" w:rsidR="008C20EB" w:rsidRDefault="008D25BE">
            <w:pPr>
              <w:pStyle w:val="TableParagraph"/>
              <w:numPr>
                <w:ilvl w:val="1"/>
                <w:numId w:val="100"/>
              </w:numPr>
              <w:tabs>
                <w:tab w:val="left" w:pos="778"/>
                <w:tab w:val="left" w:pos="779"/>
              </w:tabs>
              <w:spacing w:before="2" w:line="251" w:lineRule="exact"/>
              <w:ind w:hanging="419"/>
              <w:jc w:val="both"/>
            </w:pPr>
            <w:r>
              <w:t>Operaciones en garantía de Bonos Hipotecarios</w:t>
            </w:r>
            <w:r>
              <w:rPr>
                <w:spacing w:val="-18"/>
              </w:rPr>
              <w:t xml:space="preserve"> </w:t>
            </w:r>
            <w:r>
              <w:t>Cubiertos</w:t>
            </w:r>
          </w:p>
          <w:p w14:paraId="40FE1A2C" w14:textId="77777777" w:rsidR="008C20EB" w:rsidRDefault="008D25BE">
            <w:pPr>
              <w:pStyle w:val="TableParagraph"/>
              <w:tabs>
                <w:tab w:val="left" w:pos="778"/>
              </w:tabs>
              <w:spacing w:line="251" w:lineRule="exact"/>
              <w:ind w:left="360"/>
              <w:jc w:val="both"/>
            </w:pPr>
            <w:r>
              <w:t>19</w:t>
            </w:r>
            <w:r>
              <w:tab/>
              <w:t>Operaciones en garantía de otras</w:t>
            </w:r>
            <w:r>
              <w:rPr>
                <w:spacing w:val="-15"/>
              </w:rPr>
              <w:t xml:space="preserve"> </w:t>
            </w:r>
            <w:r>
              <w:t>emisiones</w:t>
            </w:r>
          </w:p>
          <w:p w14:paraId="40FE1A2D" w14:textId="77777777" w:rsidR="008C20EB" w:rsidRDefault="008D25BE">
            <w:pPr>
              <w:pStyle w:val="TableParagraph"/>
              <w:numPr>
                <w:ilvl w:val="0"/>
                <w:numId w:val="101"/>
              </w:numPr>
              <w:tabs>
                <w:tab w:val="left" w:pos="778"/>
                <w:tab w:val="left" w:pos="779"/>
              </w:tabs>
              <w:spacing w:before="2" w:line="251" w:lineRule="exact"/>
              <w:ind w:hanging="419"/>
              <w:jc w:val="both"/>
            </w:pPr>
            <w:r>
              <w:t>Operaciones en fideicomisos de</w:t>
            </w:r>
            <w:r>
              <w:rPr>
                <w:spacing w:val="-11"/>
              </w:rPr>
              <w:t xml:space="preserve"> </w:t>
            </w:r>
            <w:r>
              <w:t>garantía</w:t>
            </w:r>
          </w:p>
          <w:p w14:paraId="40FE1A2E" w14:textId="77777777" w:rsidR="008C20EB" w:rsidRDefault="008D25BE">
            <w:pPr>
              <w:pStyle w:val="TableParagraph"/>
              <w:numPr>
                <w:ilvl w:val="0"/>
                <w:numId w:val="101"/>
              </w:numPr>
              <w:tabs>
                <w:tab w:val="left" w:pos="778"/>
                <w:tab w:val="left" w:pos="779"/>
              </w:tabs>
              <w:spacing w:line="251" w:lineRule="exact"/>
              <w:ind w:hanging="419"/>
              <w:jc w:val="both"/>
            </w:pPr>
            <w:r>
              <w:t>Operaciones en fideicomisos de</w:t>
            </w:r>
            <w:r>
              <w:rPr>
                <w:spacing w:val="-12"/>
              </w:rPr>
              <w:t xml:space="preserve"> </w:t>
            </w:r>
            <w:r>
              <w:t>administración</w:t>
            </w:r>
          </w:p>
          <w:p w14:paraId="40FE1A2F" w14:textId="77777777" w:rsidR="008C20EB" w:rsidRDefault="008D25BE">
            <w:pPr>
              <w:pStyle w:val="TableParagraph"/>
              <w:numPr>
                <w:ilvl w:val="0"/>
                <w:numId w:val="101"/>
              </w:numPr>
              <w:tabs>
                <w:tab w:val="left" w:pos="778"/>
                <w:tab w:val="left" w:pos="779"/>
              </w:tabs>
              <w:spacing w:before="1" w:line="251" w:lineRule="exact"/>
              <w:ind w:hanging="419"/>
              <w:jc w:val="both"/>
            </w:pPr>
            <w:r>
              <w:t>Operaciones en fideicomisos de garantía y</w:t>
            </w:r>
            <w:r>
              <w:rPr>
                <w:spacing w:val="-13"/>
              </w:rPr>
              <w:t xml:space="preserve"> </w:t>
            </w:r>
            <w:r>
              <w:t>administración</w:t>
            </w:r>
          </w:p>
          <w:p w14:paraId="40FE1A30" w14:textId="77777777" w:rsidR="008C20EB" w:rsidRDefault="008D25BE">
            <w:pPr>
              <w:pStyle w:val="TableParagraph"/>
              <w:tabs>
                <w:tab w:val="left" w:pos="778"/>
              </w:tabs>
              <w:spacing w:line="248" w:lineRule="exact"/>
              <w:ind w:left="360"/>
              <w:jc w:val="both"/>
            </w:pPr>
            <w:r>
              <w:t>29</w:t>
            </w:r>
            <w:r>
              <w:tab/>
              <w:t>Operaciones en otros</w:t>
            </w:r>
            <w:r>
              <w:rPr>
                <w:spacing w:val="-8"/>
              </w:rPr>
              <w:t xml:space="preserve"> </w:t>
            </w:r>
            <w:r>
              <w:t>fideicomisos</w:t>
            </w:r>
          </w:p>
        </w:tc>
      </w:tr>
    </w:tbl>
    <w:p w14:paraId="40FE1A32" w14:textId="77777777" w:rsidR="008C20EB" w:rsidRDefault="008C20EB">
      <w:pPr>
        <w:spacing w:line="248"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37" w14:textId="77777777">
        <w:trPr>
          <w:trHeight w:val="254"/>
        </w:trPr>
        <w:tc>
          <w:tcPr>
            <w:tcW w:w="1445" w:type="dxa"/>
            <w:vAlign w:val="bottom"/>
          </w:tcPr>
          <w:p w14:paraId="40FE1A3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34" w14:textId="77777777" w:rsidR="008C20EB" w:rsidRDefault="008D25BE">
            <w:pPr>
              <w:pStyle w:val="TableParagraph"/>
              <w:spacing w:line="234" w:lineRule="exact"/>
              <w:ind w:left="556"/>
              <w:jc w:val="both"/>
              <w:rPr>
                <w:b/>
              </w:rPr>
            </w:pPr>
            <w:r>
              <w:rPr>
                <w:b/>
              </w:rPr>
              <w:t>FECHA</w:t>
            </w:r>
          </w:p>
        </w:tc>
        <w:tc>
          <w:tcPr>
            <w:tcW w:w="3500" w:type="dxa"/>
            <w:vAlign w:val="bottom"/>
          </w:tcPr>
          <w:p w14:paraId="40FE1A3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36" w14:textId="77777777" w:rsidR="008C20EB" w:rsidRDefault="008D25BE">
            <w:pPr>
              <w:pStyle w:val="TableParagraph"/>
              <w:spacing w:line="234" w:lineRule="exact"/>
              <w:ind w:left="3271" w:right="3265"/>
              <w:jc w:val="both"/>
              <w:rPr>
                <w:b/>
              </w:rPr>
            </w:pPr>
            <w:r>
              <w:rPr>
                <w:b/>
              </w:rPr>
              <w:t>MODIFICATORIAS</w:t>
            </w:r>
          </w:p>
        </w:tc>
      </w:tr>
      <w:tr w:rsidR="008C20EB" w14:paraId="40FE1A3C" w14:textId="77777777">
        <w:trPr>
          <w:trHeight w:val="428"/>
        </w:trPr>
        <w:tc>
          <w:tcPr>
            <w:tcW w:w="1445" w:type="dxa"/>
          </w:tcPr>
          <w:p w14:paraId="40FE1A38" w14:textId="77777777" w:rsidR="008C20EB" w:rsidRDefault="008C20EB">
            <w:pPr>
              <w:pStyle w:val="TableParagraph"/>
              <w:jc w:val="both"/>
              <w:rPr>
                <w:rFonts w:ascii="Times New Roman"/>
              </w:rPr>
            </w:pPr>
          </w:p>
        </w:tc>
        <w:tc>
          <w:tcPr>
            <w:tcW w:w="1733" w:type="dxa"/>
          </w:tcPr>
          <w:p w14:paraId="40FE1A39" w14:textId="77777777" w:rsidR="008C20EB" w:rsidRDefault="008C20EB">
            <w:pPr>
              <w:pStyle w:val="TableParagraph"/>
              <w:jc w:val="both"/>
              <w:rPr>
                <w:rFonts w:ascii="Times New Roman"/>
              </w:rPr>
            </w:pPr>
          </w:p>
        </w:tc>
        <w:tc>
          <w:tcPr>
            <w:tcW w:w="3500" w:type="dxa"/>
          </w:tcPr>
          <w:p w14:paraId="40FE1A3A" w14:textId="77777777" w:rsidR="008C20EB" w:rsidRDefault="008C20EB">
            <w:pPr>
              <w:pStyle w:val="TableParagraph"/>
              <w:jc w:val="both"/>
              <w:rPr>
                <w:rFonts w:ascii="Times New Roman"/>
              </w:rPr>
            </w:pPr>
          </w:p>
        </w:tc>
        <w:tc>
          <w:tcPr>
            <w:tcW w:w="8162" w:type="dxa"/>
          </w:tcPr>
          <w:p w14:paraId="40FE1A3B" w14:textId="77777777" w:rsidR="008C20EB" w:rsidRDefault="008D25BE">
            <w:pPr>
              <w:pStyle w:val="TableParagraph"/>
              <w:tabs>
                <w:tab w:val="left" w:pos="778"/>
              </w:tabs>
              <w:spacing w:line="242" w:lineRule="exact"/>
              <w:ind w:left="360"/>
              <w:jc w:val="both"/>
            </w:pPr>
            <w:r>
              <w:t>99</w:t>
            </w:r>
            <w:r>
              <w:tab/>
            </w:r>
            <w:r>
              <w:t>Operaciones en garantía bajo otras formas</w:t>
            </w:r>
            <w:r>
              <w:rPr>
                <w:spacing w:val="-18"/>
              </w:rPr>
              <w:t xml:space="preserve"> </w:t>
            </w:r>
            <w:r>
              <w:t>contractuales</w:t>
            </w:r>
          </w:p>
        </w:tc>
      </w:tr>
      <w:tr w:rsidR="008C20EB" w14:paraId="40FE1A49" w14:textId="77777777">
        <w:trPr>
          <w:trHeight w:val="1588"/>
        </w:trPr>
        <w:tc>
          <w:tcPr>
            <w:tcW w:w="1445" w:type="dxa"/>
          </w:tcPr>
          <w:p w14:paraId="40FE1A3D" w14:textId="77777777" w:rsidR="008C20EB" w:rsidRDefault="008D25BE">
            <w:pPr>
              <w:pStyle w:val="TableParagraph"/>
              <w:spacing w:line="237" w:lineRule="exact"/>
              <w:ind w:left="71"/>
              <w:jc w:val="both"/>
              <w:rPr>
                <w:b/>
              </w:rPr>
            </w:pPr>
            <w:r>
              <w:rPr>
                <w:b/>
              </w:rPr>
              <w:t>Resolución</w:t>
            </w:r>
          </w:p>
          <w:p w14:paraId="40FE1A3E" w14:textId="77777777" w:rsidR="008C20EB" w:rsidRDefault="008D25BE">
            <w:pPr>
              <w:pStyle w:val="TableParagraph"/>
              <w:spacing w:before="2"/>
              <w:ind w:left="71"/>
              <w:jc w:val="both"/>
              <w:rPr>
                <w:b/>
              </w:rPr>
            </w:pPr>
            <w:r>
              <w:rPr>
                <w:b/>
              </w:rPr>
              <w:t>S.B.S.</w:t>
            </w:r>
          </w:p>
          <w:p w14:paraId="40FE1A3F" w14:textId="77777777" w:rsidR="008C20EB" w:rsidRDefault="008D25BE">
            <w:pPr>
              <w:pStyle w:val="TableParagraph"/>
              <w:spacing w:before="2"/>
              <w:ind w:left="71"/>
              <w:jc w:val="both"/>
              <w:rPr>
                <w:b/>
              </w:rPr>
            </w:pPr>
            <w:r>
              <w:rPr>
                <w:b/>
              </w:rPr>
              <w:t>Nº 3689-2011</w:t>
            </w:r>
          </w:p>
        </w:tc>
        <w:tc>
          <w:tcPr>
            <w:tcW w:w="1733" w:type="dxa"/>
          </w:tcPr>
          <w:p w14:paraId="40FE1A40"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30.03.2011</w:t>
            </w:r>
            <w:r>
              <w:rPr>
                <w:b/>
              </w:rPr>
              <w:tab/>
              <w:t>/</w:t>
            </w:r>
          </w:p>
          <w:p w14:paraId="40FE1A41" w14:textId="77777777" w:rsidR="008C20EB" w:rsidRDefault="008D25BE">
            <w:pPr>
              <w:pStyle w:val="TableParagraph"/>
              <w:spacing w:before="2"/>
              <w:jc w:val="both"/>
              <w:rPr>
                <w:b/>
              </w:rPr>
            </w:pPr>
            <w:r>
              <w:rPr>
                <w:b/>
              </w:rPr>
              <w:t>Pub. 02.04.2011)</w:t>
            </w:r>
          </w:p>
        </w:tc>
        <w:tc>
          <w:tcPr>
            <w:tcW w:w="3500" w:type="dxa"/>
          </w:tcPr>
          <w:p w14:paraId="40FE1A42" w14:textId="77777777" w:rsidR="008C20EB" w:rsidRDefault="008D25BE">
            <w:pPr>
              <w:pStyle w:val="TableParagraph"/>
              <w:spacing w:line="237" w:lineRule="exact"/>
              <w:ind w:left="177"/>
              <w:jc w:val="both"/>
            </w:pPr>
            <w:r>
              <w:t>Se modifica el Anexo N° 8 “Posiciones</w:t>
            </w:r>
          </w:p>
          <w:p w14:paraId="40FE1A43" w14:textId="77777777" w:rsidR="008C20EB" w:rsidRDefault="008D25BE">
            <w:pPr>
              <w:pStyle w:val="TableParagraph"/>
              <w:spacing w:before="2"/>
              <w:ind w:left="177" w:right="60"/>
              <w:jc w:val="both"/>
            </w:pPr>
            <w:r>
              <w:t>en instrumentos financieros derivados” del Manual de Contabilidad para las Empresas del Sistema Financiero, cuya vigencia es a partir de la información del mes de mayo 2011.</w:t>
            </w:r>
          </w:p>
        </w:tc>
        <w:tc>
          <w:tcPr>
            <w:tcW w:w="8162" w:type="dxa"/>
          </w:tcPr>
          <w:p w14:paraId="40FE1A44" w14:textId="77777777" w:rsidR="008C20EB" w:rsidRDefault="008D25BE">
            <w:pPr>
              <w:pStyle w:val="TableParagraph"/>
              <w:numPr>
                <w:ilvl w:val="0"/>
                <w:numId w:val="102"/>
              </w:numPr>
              <w:tabs>
                <w:tab w:val="left" w:pos="361"/>
              </w:tabs>
              <w:spacing w:line="255" w:lineRule="exact"/>
              <w:ind w:hanging="289"/>
              <w:jc w:val="both"/>
            </w:pPr>
            <w:r>
              <w:t>Se</w:t>
            </w:r>
            <w:r>
              <w:rPr>
                <w:spacing w:val="-5"/>
              </w:rPr>
              <w:t xml:space="preserve"> </w:t>
            </w:r>
            <w:r>
              <w:t>cambia</w:t>
            </w:r>
            <w:r>
              <w:rPr>
                <w:spacing w:val="-5"/>
              </w:rPr>
              <w:t xml:space="preserve"> </w:t>
            </w:r>
            <w:r>
              <w:t>el</w:t>
            </w:r>
            <w:r>
              <w:rPr>
                <w:spacing w:val="-2"/>
              </w:rPr>
              <w:t xml:space="preserve"> </w:t>
            </w:r>
            <w:r>
              <w:t>cuadro</w:t>
            </w:r>
            <w:r>
              <w:rPr>
                <w:spacing w:val="-4"/>
              </w:rPr>
              <w:t xml:space="preserve"> </w:t>
            </w:r>
            <w:r>
              <w:t>de</w:t>
            </w:r>
            <w:r>
              <w:rPr>
                <w:spacing w:val="-5"/>
              </w:rPr>
              <w:t xml:space="preserve"> </w:t>
            </w:r>
            <w:r>
              <w:t>Operaciones</w:t>
            </w:r>
            <w:r>
              <w:rPr>
                <w:spacing w:val="-4"/>
              </w:rPr>
              <w:t xml:space="preserve"> </w:t>
            </w:r>
            <w:r>
              <w:t>a</w:t>
            </w:r>
            <w:r>
              <w:rPr>
                <w:spacing w:val="-4"/>
              </w:rPr>
              <w:t xml:space="preserve"> </w:t>
            </w:r>
            <w:r>
              <w:t>Futuros</w:t>
            </w:r>
            <w:r>
              <w:rPr>
                <w:spacing w:val="-4"/>
              </w:rPr>
              <w:t xml:space="preserve"> </w:t>
            </w:r>
            <w:r>
              <w:t>con</w:t>
            </w:r>
            <w:r>
              <w:rPr>
                <w:spacing w:val="-5"/>
              </w:rPr>
              <w:t xml:space="preserve"> </w:t>
            </w:r>
            <w:r>
              <w:t>M.E.</w:t>
            </w:r>
          </w:p>
          <w:p w14:paraId="40FE1A45" w14:textId="77777777" w:rsidR="008C20EB" w:rsidRDefault="008D25BE">
            <w:pPr>
              <w:pStyle w:val="TableParagraph"/>
              <w:numPr>
                <w:ilvl w:val="0"/>
                <w:numId w:val="102"/>
              </w:numPr>
              <w:tabs>
                <w:tab w:val="left" w:pos="361"/>
              </w:tabs>
              <w:spacing w:line="266" w:lineRule="exact"/>
              <w:ind w:hanging="289"/>
              <w:jc w:val="both"/>
            </w:pPr>
            <w:r>
              <w:t>Se</w:t>
            </w:r>
            <w:r>
              <w:rPr>
                <w:spacing w:val="-6"/>
              </w:rPr>
              <w:t xml:space="preserve"> </w:t>
            </w:r>
            <w:r>
              <w:t>cambia</w:t>
            </w:r>
            <w:r>
              <w:rPr>
                <w:spacing w:val="-5"/>
              </w:rPr>
              <w:t xml:space="preserve"> </w:t>
            </w:r>
            <w:r>
              <w:t>el</w:t>
            </w:r>
            <w:r>
              <w:rPr>
                <w:spacing w:val="-3"/>
              </w:rPr>
              <w:t xml:space="preserve"> </w:t>
            </w:r>
            <w:r>
              <w:t>cuadro</w:t>
            </w:r>
            <w:r>
              <w:rPr>
                <w:spacing w:val="-5"/>
              </w:rPr>
              <w:t xml:space="preserve"> </w:t>
            </w:r>
            <w:r>
              <w:t>de</w:t>
            </w:r>
            <w:r>
              <w:rPr>
                <w:spacing w:val="-5"/>
              </w:rPr>
              <w:t xml:space="preserve"> </w:t>
            </w:r>
            <w:r>
              <w:t>Operaciones</w:t>
            </w:r>
            <w:r>
              <w:rPr>
                <w:spacing w:val="-5"/>
              </w:rPr>
              <w:t xml:space="preserve"> </w:t>
            </w:r>
            <w:r>
              <w:t>con</w:t>
            </w:r>
            <w:r>
              <w:rPr>
                <w:spacing w:val="-5"/>
              </w:rPr>
              <w:t xml:space="preserve"> </w:t>
            </w:r>
            <w:r>
              <w:t>Opciones</w:t>
            </w:r>
            <w:r>
              <w:rPr>
                <w:spacing w:val="-4"/>
              </w:rPr>
              <w:t xml:space="preserve"> </w:t>
            </w:r>
            <w:r>
              <w:t>M.E.</w:t>
            </w:r>
          </w:p>
          <w:p w14:paraId="40FE1A46" w14:textId="77777777" w:rsidR="008C20EB" w:rsidRDefault="008D25BE">
            <w:pPr>
              <w:pStyle w:val="TableParagraph"/>
              <w:numPr>
                <w:ilvl w:val="0"/>
                <w:numId w:val="102"/>
              </w:numPr>
              <w:tabs>
                <w:tab w:val="left" w:pos="361"/>
              </w:tabs>
              <w:spacing w:line="269" w:lineRule="exact"/>
              <w:ind w:hanging="289"/>
              <w:jc w:val="both"/>
            </w:pPr>
            <w:r>
              <w:t>Se cambia el cuadro de Operaciones con Opciones Tasas de</w:t>
            </w:r>
            <w:r>
              <w:rPr>
                <w:spacing w:val="-28"/>
              </w:rPr>
              <w:t xml:space="preserve"> </w:t>
            </w:r>
            <w:r>
              <w:t>Interés</w:t>
            </w:r>
          </w:p>
          <w:p w14:paraId="40FE1A47" w14:textId="77777777" w:rsidR="008C20EB" w:rsidRDefault="008D25BE">
            <w:pPr>
              <w:pStyle w:val="TableParagraph"/>
              <w:numPr>
                <w:ilvl w:val="0"/>
                <w:numId w:val="102"/>
              </w:numPr>
              <w:tabs>
                <w:tab w:val="left" w:pos="361"/>
              </w:tabs>
              <w:spacing w:before="4" w:line="235" w:lineRule="auto"/>
              <w:ind w:right="57"/>
              <w:jc w:val="both"/>
            </w:pPr>
            <w:r>
              <w:t>Se cambia el cuadro de Operaciones con Commodities, instrumentos representativos de capital y</w:t>
            </w:r>
            <w:r>
              <w:rPr>
                <w:spacing w:val="-3"/>
              </w:rPr>
              <w:t xml:space="preserve"> </w:t>
            </w:r>
            <w:r>
              <w:t>deuda</w:t>
            </w:r>
          </w:p>
          <w:p w14:paraId="40FE1A48" w14:textId="77777777" w:rsidR="008C20EB" w:rsidRDefault="008D25BE">
            <w:pPr>
              <w:pStyle w:val="TableParagraph"/>
              <w:numPr>
                <w:ilvl w:val="0"/>
                <w:numId w:val="102"/>
              </w:numPr>
              <w:tabs>
                <w:tab w:val="left" w:pos="361"/>
              </w:tabs>
              <w:spacing w:before="2" w:line="260" w:lineRule="exact"/>
              <w:ind w:hanging="289"/>
              <w:jc w:val="both"/>
            </w:pPr>
            <w:r>
              <w:t>Se cambia el cuadro de Otros Productos Financieros</w:t>
            </w:r>
            <w:r>
              <w:rPr>
                <w:spacing w:val="-21"/>
              </w:rPr>
              <w:t xml:space="preserve"> </w:t>
            </w:r>
            <w:r>
              <w:t>Derivados</w:t>
            </w:r>
          </w:p>
        </w:tc>
      </w:tr>
      <w:tr w:rsidR="008C20EB" w14:paraId="40FE1A54" w14:textId="77777777">
        <w:trPr>
          <w:trHeight w:val="2779"/>
        </w:trPr>
        <w:tc>
          <w:tcPr>
            <w:tcW w:w="1445" w:type="dxa"/>
          </w:tcPr>
          <w:p w14:paraId="40FE1A4A" w14:textId="77777777" w:rsidR="008C20EB" w:rsidRDefault="008D25BE">
            <w:pPr>
              <w:pStyle w:val="TableParagraph"/>
              <w:spacing w:line="237" w:lineRule="auto"/>
              <w:ind w:left="71" w:right="371"/>
              <w:jc w:val="both"/>
              <w:rPr>
                <w:b/>
              </w:rPr>
            </w:pPr>
            <w:r>
              <w:rPr>
                <w:b/>
              </w:rPr>
              <w:t>Resolución S.B.S.</w:t>
            </w:r>
          </w:p>
          <w:p w14:paraId="40FE1A4B" w14:textId="77777777" w:rsidR="008C20EB" w:rsidRDefault="008D25BE">
            <w:pPr>
              <w:pStyle w:val="TableParagraph"/>
              <w:ind w:left="71"/>
              <w:jc w:val="both"/>
              <w:rPr>
                <w:b/>
              </w:rPr>
            </w:pPr>
            <w:r>
              <w:rPr>
                <w:b/>
              </w:rPr>
              <w:t>Nº 2740-2011</w:t>
            </w:r>
          </w:p>
        </w:tc>
        <w:tc>
          <w:tcPr>
            <w:tcW w:w="1733" w:type="dxa"/>
          </w:tcPr>
          <w:p w14:paraId="40FE1A4C"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25.02.2011</w:t>
            </w:r>
            <w:r>
              <w:rPr>
                <w:b/>
              </w:rPr>
              <w:tab/>
              <w:t>/</w:t>
            </w:r>
          </w:p>
          <w:p w14:paraId="40FE1A4D" w14:textId="77777777" w:rsidR="008C20EB" w:rsidRDefault="008D25BE">
            <w:pPr>
              <w:pStyle w:val="TableParagraph"/>
              <w:spacing w:line="251" w:lineRule="exact"/>
              <w:jc w:val="both"/>
              <w:rPr>
                <w:b/>
              </w:rPr>
            </w:pPr>
            <w:r>
              <w:rPr>
                <w:b/>
              </w:rPr>
              <w:t>Pub. 28.02.2011)</w:t>
            </w:r>
          </w:p>
        </w:tc>
        <w:tc>
          <w:tcPr>
            <w:tcW w:w="3500" w:type="dxa"/>
          </w:tcPr>
          <w:p w14:paraId="40FE1A4E" w14:textId="77777777" w:rsidR="008C20EB" w:rsidRDefault="008D25BE">
            <w:pPr>
              <w:pStyle w:val="TableParagraph"/>
              <w:ind w:left="177" w:right="57"/>
              <w:jc w:val="both"/>
            </w:pPr>
            <w:r>
              <w:t>Se modifican los Capítulos II, III y IV del Manual de Contabilidad para las Empresas del Sistema Financiero, a efectos de adecuar el nuevo tratamiento contable de la participación de los trabajadores en las utilidades de las empresas. Las modificaciones entran en vigencia a partir de la información correspondiente al mes de febrero de 2011.</w:t>
            </w:r>
          </w:p>
        </w:tc>
        <w:tc>
          <w:tcPr>
            <w:tcW w:w="8162" w:type="dxa"/>
          </w:tcPr>
          <w:p w14:paraId="40FE1A4F" w14:textId="77777777" w:rsidR="008C20EB" w:rsidRDefault="008D25BE">
            <w:pPr>
              <w:pStyle w:val="TableParagraph"/>
              <w:spacing w:line="240" w:lineRule="exact"/>
              <w:ind w:left="72"/>
              <w:jc w:val="both"/>
            </w:pPr>
            <w:r>
              <w:t>Los cambios principales son:</w:t>
            </w:r>
          </w:p>
          <w:p w14:paraId="40FE1A50" w14:textId="77777777" w:rsidR="008C20EB" w:rsidRDefault="008D25BE">
            <w:pPr>
              <w:pStyle w:val="TableParagraph"/>
              <w:numPr>
                <w:ilvl w:val="0"/>
                <w:numId w:val="103"/>
              </w:numPr>
              <w:tabs>
                <w:tab w:val="left" w:pos="361"/>
              </w:tabs>
              <w:spacing w:line="268" w:lineRule="exact"/>
              <w:ind w:hanging="289"/>
              <w:jc w:val="both"/>
            </w:pPr>
            <w:r>
              <w:t>Se modifica las Formas A y</w:t>
            </w:r>
            <w:r>
              <w:rPr>
                <w:spacing w:val="-12"/>
              </w:rPr>
              <w:t xml:space="preserve"> </w:t>
            </w:r>
            <w:r>
              <w:t>B</w:t>
            </w:r>
          </w:p>
          <w:p w14:paraId="40FE1A51" w14:textId="77777777" w:rsidR="008C20EB" w:rsidRDefault="008D25BE">
            <w:pPr>
              <w:pStyle w:val="TableParagraph"/>
              <w:numPr>
                <w:ilvl w:val="0"/>
                <w:numId w:val="103"/>
              </w:numPr>
              <w:tabs>
                <w:tab w:val="left" w:pos="361"/>
              </w:tabs>
              <w:spacing w:line="269" w:lineRule="exact"/>
              <w:ind w:hanging="289"/>
              <w:jc w:val="both"/>
            </w:pPr>
            <w:r>
              <w:t>Se elimina la subcuenta 2903.02 “Participación en las</w:t>
            </w:r>
            <w:r>
              <w:rPr>
                <w:spacing w:val="-12"/>
              </w:rPr>
              <w:t xml:space="preserve"> </w:t>
            </w:r>
            <w:r>
              <w:t>Utilidades”</w:t>
            </w:r>
          </w:p>
          <w:p w14:paraId="40FE1A52" w14:textId="77777777" w:rsidR="008C20EB" w:rsidRDefault="008D25BE">
            <w:pPr>
              <w:pStyle w:val="TableParagraph"/>
              <w:numPr>
                <w:ilvl w:val="0"/>
                <w:numId w:val="103"/>
              </w:numPr>
              <w:tabs>
                <w:tab w:val="left" w:pos="361"/>
              </w:tabs>
              <w:spacing w:line="269" w:lineRule="exact"/>
              <w:ind w:hanging="289"/>
              <w:jc w:val="both"/>
            </w:pPr>
            <w:r>
              <w:t>Se incorpora la subcuenta 4501.08 “Participación de los trabajadores en las</w:t>
            </w:r>
            <w:r>
              <w:rPr>
                <w:spacing w:val="-30"/>
              </w:rPr>
              <w:t xml:space="preserve"> </w:t>
            </w:r>
            <w:r>
              <w:t>utilidades”</w:t>
            </w:r>
          </w:p>
          <w:p w14:paraId="40FE1A53" w14:textId="77777777" w:rsidR="008C20EB" w:rsidRDefault="008D25BE">
            <w:pPr>
              <w:pStyle w:val="TableParagraph"/>
              <w:numPr>
                <w:ilvl w:val="0"/>
                <w:numId w:val="103"/>
              </w:numPr>
              <w:tabs>
                <w:tab w:val="left" w:pos="361"/>
              </w:tabs>
              <w:spacing w:line="269" w:lineRule="exact"/>
              <w:ind w:hanging="289"/>
              <w:jc w:val="both"/>
            </w:pPr>
            <w:r>
              <w:t>Se elimina el rubro 67 así como la cuenta 6701 “Participación de los</w:t>
            </w:r>
            <w:r>
              <w:rPr>
                <w:spacing w:val="-31"/>
              </w:rPr>
              <w:t xml:space="preserve"> </w:t>
            </w:r>
            <w:r>
              <w:t>trabajadores”.</w:t>
            </w:r>
          </w:p>
        </w:tc>
      </w:tr>
      <w:tr w:rsidR="008C20EB" w14:paraId="40FE1A5E" w14:textId="77777777">
        <w:trPr>
          <w:trHeight w:val="1767"/>
        </w:trPr>
        <w:tc>
          <w:tcPr>
            <w:tcW w:w="1445" w:type="dxa"/>
          </w:tcPr>
          <w:p w14:paraId="40FE1A55" w14:textId="77777777" w:rsidR="008C20EB" w:rsidRDefault="008D25BE">
            <w:pPr>
              <w:pStyle w:val="TableParagraph"/>
              <w:spacing w:line="237" w:lineRule="exact"/>
              <w:ind w:left="71"/>
              <w:jc w:val="both"/>
              <w:rPr>
                <w:b/>
              </w:rPr>
            </w:pPr>
            <w:r>
              <w:rPr>
                <w:b/>
              </w:rPr>
              <w:t>Resolución</w:t>
            </w:r>
          </w:p>
          <w:p w14:paraId="40FE1A56" w14:textId="77777777" w:rsidR="008C20EB" w:rsidRDefault="008D25BE">
            <w:pPr>
              <w:pStyle w:val="TableParagraph"/>
              <w:spacing w:before="2" w:line="251" w:lineRule="exact"/>
              <w:ind w:left="71"/>
              <w:jc w:val="both"/>
              <w:rPr>
                <w:b/>
              </w:rPr>
            </w:pPr>
            <w:r>
              <w:rPr>
                <w:b/>
              </w:rPr>
              <w:t>S.B.S.</w:t>
            </w:r>
          </w:p>
          <w:p w14:paraId="40FE1A57" w14:textId="77777777" w:rsidR="008C20EB" w:rsidRDefault="008D25BE">
            <w:pPr>
              <w:pStyle w:val="TableParagraph"/>
              <w:spacing w:line="251" w:lineRule="exact"/>
              <w:ind w:left="71"/>
              <w:jc w:val="both"/>
              <w:rPr>
                <w:b/>
              </w:rPr>
            </w:pPr>
            <w:r>
              <w:rPr>
                <w:b/>
              </w:rPr>
              <w:t>Nº 923-2011</w:t>
            </w:r>
          </w:p>
        </w:tc>
        <w:tc>
          <w:tcPr>
            <w:tcW w:w="1733" w:type="dxa"/>
          </w:tcPr>
          <w:p w14:paraId="40FE1A58"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24.01.2011</w:t>
            </w:r>
            <w:r>
              <w:rPr>
                <w:b/>
              </w:rPr>
              <w:tab/>
              <w:t>/</w:t>
            </w:r>
          </w:p>
          <w:p w14:paraId="40FE1A59" w14:textId="77777777" w:rsidR="008C20EB" w:rsidRDefault="008D25BE">
            <w:pPr>
              <w:pStyle w:val="TableParagraph"/>
              <w:spacing w:before="2"/>
              <w:jc w:val="both"/>
              <w:rPr>
                <w:b/>
              </w:rPr>
            </w:pPr>
            <w:r>
              <w:rPr>
                <w:b/>
              </w:rPr>
              <w:t>Pub. 24.01.2011)</w:t>
            </w:r>
          </w:p>
        </w:tc>
        <w:tc>
          <w:tcPr>
            <w:tcW w:w="3500" w:type="dxa"/>
          </w:tcPr>
          <w:p w14:paraId="40FE1A5A" w14:textId="77777777" w:rsidR="008C20EB" w:rsidRDefault="008D25BE">
            <w:pPr>
              <w:pStyle w:val="TableParagraph"/>
              <w:spacing w:line="237" w:lineRule="exact"/>
              <w:ind w:left="177"/>
              <w:jc w:val="both"/>
            </w:pPr>
            <w:r>
              <w:t>Se modifica el Capítulo V “Información</w:t>
            </w:r>
          </w:p>
          <w:p w14:paraId="40FE1A5B" w14:textId="77777777" w:rsidR="008C20EB" w:rsidRDefault="008D25BE">
            <w:pPr>
              <w:pStyle w:val="TableParagraph"/>
              <w:spacing w:before="2"/>
              <w:ind w:left="177" w:right="61"/>
              <w:jc w:val="both"/>
            </w:pPr>
            <w:r>
              <w:t>Complementaria” del Manual de Contabilidad para las Empresas del Sistema Financiero. Vigente a partir de la información correspondiente al mes de enero de</w:t>
            </w:r>
            <w:r>
              <w:rPr>
                <w:spacing w:val="-10"/>
              </w:rPr>
              <w:t xml:space="preserve"> </w:t>
            </w:r>
            <w:r>
              <w:t>2011.</w:t>
            </w:r>
          </w:p>
        </w:tc>
        <w:tc>
          <w:tcPr>
            <w:tcW w:w="8162" w:type="dxa"/>
          </w:tcPr>
          <w:p w14:paraId="40FE1A5C" w14:textId="77777777" w:rsidR="008C20EB" w:rsidRDefault="008D25BE">
            <w:pPr>
              <w:pStyle w:val="TableParagraph"/>
              <w:numPr>
                <w:ilvl w:val="0"/>
                <w:numId w:val="104"/>
              </w:numPr>
              <w:tabs>
                <w:tab w:val="left" w:pos="361"/>
              </w:tabs>
              <w:spacing w:before="2" w:line="254" w:lineRule="exact"/>
              <w:ind w:right="64"/>
              <w:jc w:val="both"/>
            </w:pPr>
            <w:r>
              <w:t>Se incorpora la Sección VII en el Anexo N° 15-A “Reporte de Tesorería y Posición Diaria de Liquidez”, referido a posición neta en productos financieros</w:t>
            </w:r>
            <w:r>
              <w:rPr>
                <w:spacing w:val="-26"/>
              </w:rPr>
              <w:t xml:space="preserve"> </w:t>
            </w:r>
            <w:r>
              <w:t>derivados.</w:t>
            </w:r>
          </w:p>
          <w:p w14:paraId="40FE1A5D" w14:textId="77777777" w:rsidR="008C20EB" w:rsidRDefault="008D25BE">
            <w:pPr>
              <w:pStyle w:val="TableParagraph"/>
              <w:numPr>
                <w:ilvl w:val="0"/>
                <w:numId w:val="104"/>
              </w:numPr>
              <w:tabs>
                <w:tab w:val="left" w:pos="361"/>
              </w:tabs>
              <w:spacing w:line="237" w:lineRule="auto"/>
              <w:ind w:right="62"/>
              <w:jc w:val="both"/>
            </w:pPr>
            <w:r>
              <w:t>Se incorpora el numeral 11.3 en la Sección I “Límites Globales” del Reporte N° 13 “Control de Límites Globales e Individuales Aplicables a las Empresas del Sistema Financiero”, referido al límite del valor absoluto de la posición neta en productos financieros</w:t>
            </w:r>
            <w:r>
              <w:rPr>
                <w:spacing w:val="-25"/>
              </w:rPr>
              <w:t xml:space="preserve"> </w:t>
            </w:r>
            <w:r>
              <w:t>derivados.</w:t>
            </w:r>
          </w:p>
        </w:tc>
      </w:tr>
      <w:tr w:rsidR="008C20EB" w14:paraId="40FE1A66" w14:textId="77777777">
        <w:trPr>
          <w:trHeight w:val="1516"/>
        </w:trPr>
        <w:tc>
          <w:tcPr>
            <w:tcW w:w="1445" w:type="dxa"/>
          </w:tcPr>
          <w:p w14:paraId="40FE1A5F" w14:textId="77777777" w:rsidR="008C20EB" w:rsidRDefault="008D25BE">
            <w:pPr>
              <w:pStyle w:val="TableParagraph"/>
              <w:spacing w:line="237" w:lineRule="auto"/>
              <w:ind w:left="71" w:right="371"/>
              <w:jc w:val="both"/>
              <w:rPr>
                <w:b/>
              </w:rPr>
            </w:pPr>
            <w:r>
              <w:rPr>
                <w:b/>
              </w:rPr>
              <w:t>Resolución S.B.S.</w:t>
            </w:r>
          </w:p>
          <w:p w14:paraId="40FE1A60" w14:textId="77777777" w:rsidR="008C20EB" w:rsidRDefault="008D25BE">
            <w:pPr>
              <w:pStyle w:val="TableParagraph"/>
              <w:ind w:left="71"/>
              <w:jc w:val="both"/>
              <w:rPr>
                <w:b/>
              </w:rPr>
            </w:pPr>
            <w:r>
              <w:rPr>
                <w:b/>
              </w:rPr>
              <w:t>Nº 18441-2010</w:t>
            </w:r>
          </w:p>
        </w:tc>
        <w:tc>
          <w:tcPr>
            <w:tcW w:w="1733" w:type="dxa"/>
          </w:tcPr>
          <w:p w14:paraId="40FE1A61"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30.12.2010</w:t>
            </w:r>
            <w:r>
              <w:rPr>
                <w:b/>
              </w:rPr>
              <w:tab/>
              <w:t>/</w:t>
            </w:r>
          </w:p>
          <w:p w14:paraId="40FE1A62" w14:textId="77777777" w:rsidR="008C20EB" w:rsidRDefault="008D25BE">
            <w:pPr>
              <w:pStyle w:val="TableParagraph"/>
              <w:spacing w:line="251" w:lineRule="exact"/>
              <w:jc w:val="both"/>
              <w:rPr>
                <w:b/>
              </w:rPr>
            </w:pPr>
            <w:r>
              <w:rPr>
                <w:b/>
              </w:rPr>
              <w:t>Pub. 30.12.2010)</w:t>
            </w:r>
          </w:p>
        </w:tc>
        <w:tc>
          <w:tcPr>
            <w:tcW w:w="3500" w:type="dxa"/>
          </w:tcPr>
          <w:p w14:paraId="40FE1A63" w14:textId="77777777" w:rsidR="008C20EB" w:rsidRDefault="008D25BE">
            <w:pPr>
              <w:pStyle w:val="TableParagraph"/>
              <w:ind w:left="177" w:right="61"/>
              <w:jc w:val="both"/>
            </w:pPr>
            <w:r>
              <w:t>Se modifica el Capítulo V “Información Complementaria” del Manual de Contabilidad para las Empresas del Sistema Financiero. Vigente a partir de la información correspondiente al mes</w:t>
            </w:r>
          </w:p>
          <w:p w14:paraId="40FE1A64" w14:textId="77777777" w:rsidR="008C20EB" w:rsidRDefault="008D25BE">
            <w:pPr>
              <w:pStyle w:val="TableParagraph"/>
              <w:spacing w:line="245" w:lineRule="exact"/>
              <w:ind w:left="177"/>
              <w:jc w:val="both"/>
            </w:pPr>
            <w:r>
              <w:t>de enero de 2011.</w:t>
            </w:r>
          </w:p>
        </w:tc>
        <w:tc>
          <w:tcPr>
            <w:tcW w:w="8162" w:type="dxa"/>
          </w:tcPr>
          <w:p w14:paraId="40FE1A65" w14:textId="77777777" w:rsidR="008C20EB" w:rsidRDefault="008D25BE">
            <w:pPr>
              <w:pStyle w:val="TableParagraph"/>
              <w:numPr>
                <w:ilvl w:val="0"/>
                <w:numId w:val="105"/>
              </w:numPr>
              <w:tabs>
                <w:tab w:val="left" w:pos="361"/>
              </w:tabs>
              <w:spacing w:line="237" w:lineRule="auto"/>
              <w:ind w:right="60"/>
              <w:jc w:val="both"/>
            </w:pPr>
            <w:r>
              <w:t>Se sustituye los formatos de los Reportes N° 2-C1 “Requerimiento de Patrimonio Efectivo por Riesgo Operacional – Método del Indicador Básico” y N° 2-C2 “Requerimiento de Patrimonio Efectivo por Riesgo Operacional – Método Estándar</w:t>
            </w:r>
            <w:r>
              <w:rPr>
                <w:spacing w:val="-10"/>
              </w:rPr>
              <w:t xml:space="preserve"> </w:t>
            </w:r>
            <w:r>
              <w:t>Alternativo”.</w:t>
            </w:r>
          </w:p>
        </w:tc>
      </w:tr>
    </w:tbl>
    <w:p w14:paraId="40FE1A67" w14:textId="77777777" w:rsidR="008C20EB" w:rsidRDefault="008C20EB">
      <w:pPr>
        <w:spacing w:line="237"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6C" w14:textId="77777777">
        <w:trPr>
          <w:trHeight w:val="254"/>
        </w:trPr>
        <w:tc>
          <w:tcPr>
            <w:tcW w:w="1445" w:type="dxa"/>
            <w:vAlign w:val="bottom"/>
          </w:tcPr>
          <w:p w14:paraId="40FE1A6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69" w14:textId="77777777" w:rsidR="008C20EB" w:rsidRDefault="008D25BE">
            <w:pPr>
              <w:pStyle w:val="TableParagraph"/>
              <w:spacing w:line="234" w:lineRule="exact"/>
              <w:ind w:left="556"/>
              <w:jc w:val="both"/>
              <w:rPr>
                <w:b/>
              </w:rPr>
            </w:pPr>
            <w:r>
              <w:rPr>
                <w:b/>
              </w:rPr>
              <w:t>FECHA</w:t>
            </w:r>
          </w:p>
        </w:tc>
        <w:tc>
          <w:tcPr>
            <w:tcW w:w="3500" w:type="dxa"/>
            <w:vAlign w:val="bottom"/>
          </w:tcPr>
          <w:p w14:paraId="40FE1A6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6B" w14:textId="77777777" w:rsidR="008C20EB" w:rsidRDefault="008D25BE">
            <w:pPr>
              <w:pStyle w:val="TableParagraph"/>
              <w:spacing w:line="234" w:lineRule="exact"/>
              <w:ind w:left="3271" w:right="3265"/>
              <w:jc w:val="both"/>
              <w:rPr>
                <w:b/>
              </w:rPr>
            </w:pPr>
            <w:r>
              <w:rPr>
                <w:b/>
              </w:rPr>
              <w:t>MODIFICATORIAS</w:t>
            </w:r>
          </w:p>
        </w:tc>
      </w:tr>
      <w:tr w:rsidR="008C20EB" w14:paraId="40FE1A74" w14:textId="77777777">
        <w:trPr>
          <w:trHeight w:val="1277"/>
        </w:trPr>
        <w:tc>
          <w:tcPr>
            <w:tcW w:w="1445" w:type="dxa"/>
          </w:tcPr>
          <w:p w14:paraId="40FE1A6D" w14:textId="77777777" w:rsidR="008C20EB" w:rsidRDefault="008D25BE">
            <w:pPr>
              <w:pStyle w:val="TableParagraph"/>
              <w:spacing w:line="237" w:lineRule="auto"/>
              <w:ind w:left="71" w:right="371"/>
              <w:jc w:val="both"/>
              <w:rPr>
                <w:b/>
              </w:rPr>
            </w:pPr>
            <w:r>
              <w:rPr>
                <w:b/>
              </w:rPr>
              <w:t>Resolución S.B.S.</w:t>
            </w:r>
          </w:p>
          <w:p w14:paraId="40FE1A6E" w14:textId="77777777" w:rsidR="008C20EB" w:rsidRDefault="008D25BE">
            <w:pPr>
              <w:pStyle w:val="TableParagraph"/>
              <w:ind w:left="71"/>
              <w:jc w:val="both"/>
              <w:rPr>
                <w:b/>
              </w:rPr>
            </w:pPr>
            <w:r>
              <w:rPr>
                <w:b/>
              </w:rPr>
              <w:t>Nº 15536- 2010</w:t>
            </w:r>
          </w:p>
        </w:tc>
        <w:tc>
          <w:tcPr>
            <w:tcW w:w="1733" w:type="dxa"/>
          </w:tcPr>
          <w:p w14:paraId="40FE1A6F" w14:textId="77777777" w:rsidR="008C20EB" w:rsidRDefault="008D25BE">
            <w:pPr>
              <w:pStyle w:val="TableParagraph"/>
              <w:tabs>
                <w:tab w:val="left" w:pos="1608"/>
              </w:tabs>
              <w:spacing w:line="240" w:lineRule="exact"/>
              <w:jc w:val="both"/>
              <w:rPr>
                <w:b/>
              </w:rPr>
            </w:pPr>
            <w:r>
              <w:rPr>
                <w:b/>
              </w:rPr>
              <w:t xml:space="preserve">(Pr.  </w:t>
            </w:r>
            <w:r>
              <w:rPr>
                <w:b/>
                <w:spacing w:val="44"/>
              </w:rPr>
              <w:t xml:space="preserve"> </w:t>
            </w:r>
            <w:r>
              <w:rPr>
                <w:b/>
              </w:rPr>
              <w:t>26.11.2010</w:t>
            </w:r>
            <w:r>
              <w:rPr>
                <w:b/>
              </w:rPr>
              <w:tab/>
              <w:t>/</w:t>
            </w:r>
          </w:p>
          <w:p w14:paraId="40FE1A70" w14:textId="77777777" w:rsidR="008C20EB" w:rsidRDefault="008D25BE">
            <w:pPr>
              <w:pStyle w:val="TableParagraph"/>
              <w:spacing w:line="251" w:lineRule="exact"/>
              <w:jc w:val="both"/>
              <w:rPr>
                <w:b/>
              </w:rPr>
            </w:pPr>
            <w:r>
              <w:rPr>
                <w:b/>
              </w:rPr>
              <w:t>Pub. 28.11.2010)</w:t>
            </w:r>
          </w:p>
        </w:tc>
        <w:tc>
          <w:tcPr>
            <w:tcW w:w="3500" w:type="dxa"/>
          </w:tcPr>
          <w:p w14:paraId="40FE1A71" w14:textId="77777777" w:rsidR="008C20EB" w:rsidRDefault="008D25BE">
            <w:pPr>
              <w:pStyle w:val="TableParagraph"/>
              <w:ind w:left="177" w:right="61"/>
              <w:jc w:val="both"/>
            </w:pPr>
            <w:r>
              <w:t>Se modifica el Capítulo V “Información Complementaria” del Manual de Contabilidad para las Empresas del Sistema Financiero. Vigente a partir del día siguiente a su publicación.</w:t>
            </w:r>
          </w:p>
        </w:tc>
        <w:tc>
          <w:tcPr>
            <w:tcW w:w="8162" w:type="dxa"/>
          </w:tcPr>
          <w:p w14:paraId="40FE1A72" w14:textId="77777777" w:rsidR="008C20EB" w:rsidRDefault="008D25BE">
            <w:pPr>
              <w:pStyle w:val="TableParagraph"/>
              <w:numPr>
                <w:ilvl w:val="0"/>
                <w:numId w:val="106"/>
              </w:numPr>
              <w:tabs>
                <w:tab w:val="left" w:pos="361"/>
              </w:tabs>
              <w:ind w:right="63"/>
              <w:jc w:val="both"/>
            </w:pPr>
            <w:r>
              <w:t>Se sustituye el numeral 11.2 de la Sección I “Límites Globales” del Reporte N° 13 “Control de Límites Globales e Individuales Aplicables a las Empresas del Sistema Financiero” del Manual de Contabilidad para las Empresas del Sistema Financiero, en los siguientes</w:t>
            </w:r>
            <w:r>
              <w:rPr>
                <w:spacing w:val="-34"/>
              </w:rPr>
              <w:t xml:space="preserve"> </w:t>
            </w:r>
            <w:r>
              <w:t>términos:</w:t>
            </w:r>
          </w:p>
          <w:p w14:paraId="40FE1A73" w14:textId="77777777" w:rsidR="008C20EB" w:rsidRDefault="008D25BE">
            <w:pPr>
              <w:pStyle w:val="TableParagraph"/>
              <w:spacing w:line="250" w:lineRule="exact"/>
              <w:ind w:left="792" w:right="61" w:hanging="360"/>
              <w:jc w:val="both"/>
            </w:pPr>
            <w:r>
              <w:t xml:space="preserve">- La posición global de sobrecompra de moneda extranjera tendrá como </w:t>
            </w:r>
            <w:r>
              <w:rPr>
                <w:spacing w:val="-3"/>
              </w:rPr>
              <w:t xml:space="preserve">límite  </w:t>
            </w:r>
            <w:r>
              <w:t>hasta el  sesenta por ciento (60%) de su patrimonio</w:t>
            </w:r>
            <w:r>
              <w:rPr>
                <w:spacing w:val="-19"/>
              </w:rPr>
              <w:t xml:space="preserve"> </w:t>
            </w:r>
            <w:r>
              <w:t>efectivo.</w:t>
            </w:r>
          </w:p>
        </w:tc>
      </w:tr>
      <w:tr w:rsidR="008C20EB" w14:paraId="40FE1A7C" w14:textId="77777777">
        <w:trPr>
          <w:trHeight w:val="1291"/>
        </w:trPr>
        <w:tc>
          <w:tcPr>
            <w:tcW w:w="1445" w:type="dxa"/>
          </w:tcPr>
          <w:p w14:paraId="40FE1A75" w14:textId="77777777" w:rsidR="008C20EB" w:rsidRDefault="008D25BE">
            <w:pPr>
              <w:pStyle w:val="TableParagraph"/>
              <w:spacing w:line="237" w:lineRule="auto"/>
              <w:ind w:left="71" w:right="371"/>
              <w:jc w:val="both"/>
              <w:rPr>
                <w:b/>
              </w:rPr>
            </w:pPr>
            <w:r>
              <w:rPr>
                <w:b/>
              </w:rPr>
              <w:t>Resolución S.B.S.</w:t>
            </w:r>
          </w:p>
          <w:p w14:paraId="40FE1A76" w14:textId="77777777" w:rsidR="008C20EB" w:rsidRDefault="008D25BE">
            <w:pPr>
              <w:pStyle w:val="TableParagraph"/>
              <w:ind w:left="71"/>
              <w:jc w:val="both"/>
              <w:rPr>
                <w:b/>
              </w:rPr>
            </w:pPr>
            <w:r>
              <w:rPr>
                <w:b/>
              </w:rPr>
              <w:t>Nº 11823-2010</w:t>
            </w:r>
          </w:p>
        </w:tc>
        <w:tc>
          <w:tcPr>
            <w:tcW w:w="1733" w:type="dxa"/>
          </w:tcPr>
          <w:p w14:paraId="40FE1A77"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29.09.2010</w:t>
            </w:r>
            <w:r>
              <w:rPr>
                <w:b/>
              </w:rPr>
              <w:tab/>
              <w:t>/</w:t>
            </w:r>
          </w:p>
          <w:p w14:paraId="40FE1A78" w14:textId="77777777" w:rsidR="008C20EB" w:rsidRDefault="008D25BE">
            <w:pPr>
              <w:pStyle w:val="TableParagraph"/>
              <w:spacing w:line="251" w:lineRule="exact"/>
              <w:jc w:val="both"/>
              <w:rPr>
                <w:b/>
              </w:rPr>
            </w:pPr>
            <w:r>
              <w:rPr>
                <w:b/>
              </w:rPr>
              <w:t>Pub. 29.09.2010)</w:t>
            </w:r>
          </w:p>
        </w:tc>
        <w:tc>
          <w:tcPr>
            <w:tcW w:w="3500" w:type="dxa"/>
          </w:tcPr>
          <w:p w14:paraId="40FE1A79" w14:textId="77777777" w:rsidR="008C20EB" w:rsidRDefault="008D25BE">
            <w:pPr>
              <w:pStyle w:val="TableParagraph"/>
              <w:ind w:left="177" w:right="62"/>
              <w:jc w:val="both"/>
            </w:pPr>
            <w:r>
              <w:t>Se modifica el Capítulo I “Disposiciones Generales” del Manual de Contabilidad para las Empresas del Sistema Financiero. Vigente a partir del 1 de enero del 2011.</w:t>
            </w:r>
          </w:p>
        </w:tc>
        <w:tc>
          <w:tcPr>
            <w:tcW w:w="8162" w:type="dxa"/>
          </w:tcPr>
          <w:p w14:paraId="40FE1A7A" w14:textId="77777777" w:rsidR="008C20EB" w:rsidRDefault="008D25BE">
            <w:pPr>
              <w:pStyle w:val="TableParagraph"/>
              <w:numPr>
                <w:ilvl w:val="0"/>
                <w:numId w:val="107"/>
              </w:numPr>
              <w:tabs>
                <w:tab w:val="left" w:pos="294"/>
              </w:tabs>
              <w:ind w:right="57"/>
              <w:jc w:val="both"/>
            </w:pPr>
            <w:r>
              <w:t>Se modifica el numeral 4 del Literal E, referido a la presentación trimestral del Balance General y el Estado de Ganancias y Pérdidas consolidados del grupo consolidable del sistema financiero, del grupo consolidable del sistema de seguros y del grupo</w:t>
            </w:r>
            <w:r>
              <w:rPr>
                <w:spacing w:val="-31"/>
              </w:rPr>
              <w:t xml:space="preserve"> </w:t>
            </w:r>
            <w:r>
              <w:t>financiero.</w:t>
            </w:r>
          </w:p>
          <w:p w14:paraId="40FE1A7B" w14:textId="77777777" w:rsidR="008C20EB" w:rsidRDefault="008D25BE">
            <w:pPr>
              <w:pStyle w:val="TableParagraph"/>
              <w:numPr>
                <w:ilvl w:val="0"/>
                <w:numId w:val="107"/>
              </w:numPr>
              <w:tabs>
                <w:tab w:val="left" w:pos="294"/>
              </w:tabs>
              <w:spacing w:before="8" w:line="250" w:lineRule="exact"/>
              <w:ind w:right="69"/>
              <w:jc w:val="both"/>
            </w:pPr>
            <w:r>
              <w:t>Se modifica el numeral 2 del Literal I, referido a la inclusión en la memoria del informe sobre los estados financieros consolidados anuales del</w:t>
            </w:r>
            <w:r>
              <w:rPr>
                <w:spacing w:val="-15"/>
              </w:rPr>
              <w:t xml:space="preserve"> </w:t>
            </w:r>
            <w:r>
              <w:t>conglomerado.</w:t>
            </w:r>
          </w:p>
        </w:tc>
      </w:tr>
      <w:tr w:rsidR="008C20EB" w14:paraId="40FE1A84" w14:textId="77777777">
        <w:trPr>
          <w:trHeight w:val="1785"/>
        </w:trPr>
        <w:tc>
          <w:tcPr>
            <w:tcW w:w="1445" w:type="dxa"/>
          </w:tcPr>
          <w:p w14:paraId="40FE1A7D" w14:textId="77777777" w:rsidR="008C20EB" w:rsidRDefault="008D25BE">
            <w:pPr>
              <w:pStyle w:val="TableParagraph"/>
              <w:spacing w:line="242" w:lineRule="auto"/>
              <w:ind w:left="71" w:right="61"/>
              <w:jc w:val="both"/>
              <w:rPr>
                <w:b/>
              </w:rPr>
            </w:pPr>
            <w:r>
              <w:rPr>
                <w:b/>
              </w:rPr>
              <w:t xml:space="preserve">CIRCULAR </w:t>
            </w:r>
            <w:r>
              <w:rPr>
                <w:b/>
                <w:spacing w:val="-7"/>
              </w:rPr>
              <w:t xml:space="preserve">Nº </w:t>
            </w:r>
            <w:r>
              <w:rPr>
                <w:b/>
              </w:rPr>
              <w:t>B-2188-2010,</w:t>
            </w:r>
          </w:p>
          <w:p w14:paraId="40FE1A7E" w14:textId="77777777" w:rsidR="008C20EB" w:rsidRDefault="008D25BE">
            <w:pPr>
              <w:pStyle w:val="TableParagraph"/>
              <w:ind w:left="71" w:right="201"/>
              <w:jc w:val="both"/>
              <w:rPr>
                <w:b/>
              </w:rPr>
            </w:pPr>
            <w:r>
              <w:rPr>
                <w:b/>
              </w:rPr>
              <w:t>F-528-2010, CM-375-2010, CR-244-2010</w:t>
            </w:r>
          </w:p>
        </w:tc>
        <w:tc>
          <w:tcPr>
            <w:tcW w:w="1733" w:type="dxa"/>
          </w:tcPr>
          <w:p w14:paraId="40FE1A7F"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11.05.2010</w:t>
            </w:r>
            <w:r>
              <w:rPr>
                <w:b/>
              </w:rPr>
              <w:tab/>
              <w:t>/</w:t>
            </w:r>
          </w:p>
          <w:p w14:paraId="40FE1A80" w14:textId="77777777" w:rsidR="008C20EB" w:rsidRDefault="008D25BE">
            <w:pPr>
              <w:pStyle w:val="TableParagraph"/>
              <w:spacing w:before="2"/>
              <w:jc w:val="both"/>
              <w:rPr>
                <w:b/>
              </w:rPr>
            </w:pPr>
            <w:r>
              <w:rPr>
                <w:b/>
              </w:rPr>
              <w:t>Pub. 11.05.2010)</w:t>
            </w:r>
          </w:p>
        </w:tc>
        <w:tc>
          <w:tcPr>
            <w:tcW w:w="3500" w:type="dxa"/>
          </w:tcPr>
          <w:p w14:paraId="40FE1A81" w14:textId="77777777" w:rsidR="008C20EB" w:rsidRDefault="008D25BE">
            <w:pPr>
              <w:pStyle w:val="TableParagraph"/>
              <w:ind w:left="177" w:right="57"/>
              <w:jc w:val="both"/>
            </w:pPr>
            <w:r>
              <w:t>Se deja de remitir los Anexos de Obligaciones sujetos a encaje en moneda nacional y moneda extranjera, a partir de la información correspondiente al mes de marzo de 2010.</w:t>
            </w:r>
          </w:p>
        </w:tc>
        <w:tc>
          <w:tcPr>
            <w:tcW w:w="8162" w:type="dxa"/>
          </w:tcPr>
          <w:p w14:paraId="40FE1A82" w14:textId="77777777" w:rsidR="008C20EB" w:rsidRDefault="008D25BE">
            <w:pPr>
              <w:pStyle w:val="TableParagraph"/>
              <w:numPr>
                <w:ilvl w:val="0"/>
                <w:numId w:val="108"/>
              </w:numPr>
              <w:tabs>
                <w:tab w:val="left" w:pos="294"/>
              </w:tabs>
              <w:ind w:right="55"/>
              <w:jc w:val="both"/>
            </w:pPr>
            <w:r>
              <w:t>Se dispone que las empresas de operaciones múltiples comprendidas en el literal A del artículo 16º de la Ley General, así como el Banco de la Nación, la Corporación Financiera de Desarrollo (COFIDE) y el Banco Agropecuario, cuyas obligaciones se encuentren sujetas a encaje, dejarán de remitir a esta Superintendencia el Formato 0121, Anexo 1 “Obligaciones sujetas a encaje en moneda nacional” y Anexo 2 “Obligaciones sujetas a encaje en moneda extranjera”, debiendo ceñirse</w:t>
            </w:r>
            <w:r>
              <w:rPr>
                <w:spacing w:val="18"/>
              </w:rPr>
              <w:t xml:space="preserve"> </w:t>
            </w:r>
            <w:r>
              <w:t>a</w:t>
            </w:r>
            <w:r>
              <w:rPr>
                <w:spacing w:val="19"/>
              </w:rPr>
              <w:t xml:space="preserve"> </w:t>
            </w:r>
            <w:r>
              <w:t>las</w:t>
            </w:r>
            <w:r>
              <w:rPr>
                <w:spacing w:val="20"/>
              </w:rPr>
              <w:t xml:space="preserve"> </w:t>
            </w:r>
            <w:r>
              <w:t>disposiciones</w:t>
            </w:r>
            <w:r>
              <w:rPr>
                <w:spacing w:val="20"/>
              </w:rPr>
              <w:t xml:space="preserve"> </w:t>
            </w:r>
            <w:r>
              <w:t>sobre</w:t>
            </w:r>
            <w:r>
              <w:rPr>
                <w:spacing w:val="19"/>
              </w:rPr>
              <w:t xml:space="preserve"> </w:t>
            </w:r>
            <w:r>
              <w:t>encaje</w:t>
            </w:r>
            <w:r>
              <w:rPr>
                <w:spacing w:val="19"/>
              </w:rPr>
              <w:t xml:space="preserve"> </w:t>
            </w:r>
            <w:r>
              <w:t>así</w:t>
            </w:r>
            <w:r>
              <w:rPr>
                <w:spacing w:val="17"/>
              </w:rPr>
              <w:t xml:space="preserve"> </w:t>
            </w:r>
            <w:r>
              <w:t>como</w:t>
            </w:r>
            <w:r>
              <w:rPr>
                <w:spacing w:val="24"/>
              </w:rPr>
              <w:t xml:space="preserve"> </w:t>
            </w:r>
            <w:r>
              <w:t>a</w:t>
            </w:r>
            <w:r>
              <w:rPr>
                <w:spacing w:val="19"/>
              </w:rPr>
              <w:t xml:space="preserve"> </w:t>
            </w:r>
            <w:r>
              <w:t>la</w:t>
            </w:r>
            <w:r>
              <w:rPr>
                <w:spacing w:val="19"/>
              </w:rPr>
              <w:t xml:space="preserve"> </w:t>
            </w:r>
            <w:r>
              <w:t>forma</w:t>
            </w:r>
            <w:r>
              <w:rPr>
                <w:spacing w:val="19"/>
              </w:rPr>
              <w:t xml:space="preserve"> </w:t>
            </w:r>
            <w:r>
              <w:t>de</w:t>
            </w:r>
            <w:r>
              <w:rPr>
                <w:spacing w:val="19"/>
              </w:rPr>
              <w:t xml:space="preserve"> </w:t>
            </w:r>
            <w:r>
              <w:t>remisión</w:t>
            </w:r>
            <w:r>
              <w:rPr>
                <w:spacing w:val="19"/>
              </w:rPr>
              <w:t xml:space="preserve"> </w:t>
            </w:r>
            <w:r>
              <w:t>que</w:t>
            </w:r>
            <w:r>
              <w:rPr>
                <w:spacing w:val="20"/>
              </w:rPr>
              <w:t xml:space="preserve"> </w:t>
            </w:r>
            <w:r>
              <w:t>emita</w:t>
            </w:r>
            <w:r>
              <w:rPr>
                <w:spacing w:val="19"/>
              </w:rPr>
              <w:t xml:space="preserve"> </w:t>
            </w:r>
            <w:r>
              <w:t>el</w:t>
            </w:r>
            <w:r>
              <w:rPr>
                <w:spacing w:val="21"/>
              </w:rPr>
              <w:t xml:space="preserve"> </w:t>
            </w:r>
            <w:r>
              <w:t>Banco</w:t>
            </w:r>
          </w:p>
          <w:p w14:paraId="40FE1A83" w14:textId="77777777" w:rsidR="008C20EB" w:rsidRDefault="008D25BE">
            <w:pPr>
              <w:pStyle w:val="TableParagraph"/>
              <w:spacing w:line="245" w:lineRule="exact"/>
              <w:ind w:left="293"/>
              <w:jc w:val="both"/>
            </w:pPr>
            <w:r>
              <w:t>Central de Reserva del Perú.</w:t>
            </w:r>
          </w:p>
        </w:tc>
      </w:tr>
      <w:tr w:rsidR="008C20EB" w14:paraId="40FE1A8F" w14:textId="77777777">
        <w:trPr>
          <w:trHeight w:val="2064"/>
        </w:trPr>
        <w:tc>
          <w:tcPr>
            <w:tcW w:w="1445" w:type="dxa"/>
          </w:tcPr>
          <w:p w14:paraId="40FE1A85" w14:textId="77777777" w:rsidR="008C20EB" w:rsidRDefault="008D25BE">
            <w:pPr>
              <w:pStyle w:val="TableParagraph"/>
              <w:spacing w:line="237" w:lineRule="exact"/>
              <w:ind w:left="71"/>
              <w:jc w:val="both"/>
              <w:rPr>
                <w:b/>
              </w:rPr>
            </w:pPr>
            <w:r>
              <w:rPr>
                <w:b/>
              </w:rPr>
              <w:t>Oficio Múltiple</w:t>
            </w:r>
          </w:p>
          <w:p w14:paraId="40FE1A86" w14:textId="77777777" w:rsidR="008C20EB" w:rsidRDefault="008D25BE">
            <w:pPr>
              <w:pStyle w:val="TableParagraph"/>
              <w:spacing w:before="2"/>
              <w:ind w:left="71" w:right="52"/>
              <w:jc w:val="both"/>
              <w:rPr>
                <w:b/>
              </w:rPr>
            </w:pPr>
            <w:r>
              <w:rPr>
                <w:b/>
              </w:rPr>
              <w:t>N° 17244-2010- SBS</w:t>
            </w:r>
          </w:p>
        </w:tc>
        <w:tc>
          <w:tcPr>
            <w:tcW w:w="1733" w:type="dxa"/>
          </w:tcPr>
          <w:p w14:paraId="40FE1A87"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06.05.2010</w:t>
            </w:r>
            <w:r>
              <w:rPr>
                <w:b/>
              </w:rPr>
              <w:tab/>
              <w:t>/</w:t>
            </w:r>
          </w:p>
          <w:p w14:paraId="40FE1A88" w14:textId="77777777" w:rsidR="008C20EB" w:rsidRDefault="008D25BE">
            <w:pPr>
              <w:pStyle w:val="TableParagraph"/>
              <w:spacing w:before="2"/>
              <w:jc w:val="both"/>
              <w:rPr>
                <w:b/>
              </w:rPr>
            </w:pPr>
            <w:r>
              <w:rPr>
                <w:b/>
              </w:rPr>
              <w:t>Pub. 06.05.2010)</w:t>
            </w:r>
          </w:p>
        </w:tc>
        <w:tc>
          <w:tcPr>
            <w:tcW w:w="3500" w:type="dxa"/>
          </w:tcPr>
          <w:p w14:paraId="40FE1A89" w14:textId="77777777" w:rsidR="008C20EB" w:rsidRDefault="008D25BE">
            <w:pPr>
              <w:pStyle w:val="TableParagraph"/>
              <w:spacing w:line="237" w:lineRule="exact"/>
              <w:ind w:left="177"/>
              <w:jc w:val="both"/>
            </w:pPr>
            <w:r>
              <w:t>Se modifica el Capítulo I “Disposiciones</w:t>
            </w:r>
          </w:p>
          <w:p w14:paraId="40FE1A8A" w14:textId="77777777" w:rsidR="008C20EB" w:rsidRDefault="008D25BE">
            <w:pPr>
              <w:pStyle w:val="TableParagraph"/>
              <w:spacing w:before="2"/>
              <w:ind w:left="177" w:right="66"/>
              <w:jc w:val="both"/>
            </w:pPr>
            <w:r>
              <w:t>Generales” del Manual de Contabilidad para las Empresas del Sistema Financiero. Vigente a partir del 1 de julio de 2010.</w:t>
            </w:r>
          </w:p>
        </w:tc>
        <w:tc>
          <w:tcPr>
            <w:tcW w:w="8162" w:type="dxa"/>
          </w:tcPr>
          <w:p w14:paraId="40FE1A8B" w14:textId="77777777" w:rsidR="008C20EB" w:rsidRDefault="008D25BE">
            <w:pPr>
              <w:pStyle w:val="TableParagraph"/>
              <w:numPr>
                <w:ilvl w:val="0"/>
                <w:numId w:val="109"/>
              </w:numPr>
              <w:tabs>
                <w:tab w:val="left" w:pos="294"/>
              </w:tabs>
              <w:spacing w:line="237" w:lineRule="auto"/>
              <w:ind w:right="57"/>
              <w:jc w:val="both"/>
            </w:pPr>
            <w:r>
              <w:t>En la tabla empresas, señaladas en el acápite J del capítulo 1 “Disposiciones Generales” del Manual de Contabilidad para las Empresas del Sistema Financiero se realiza las siguientes modificaciones:</w:t>
            </w:r>
          </w:p>
          <w:p w14:paraId="40FE1A8C" w14:textId="77777777" w:rsidR="008C20EB" w:rsidRDefault="008D25BE">
            <w:pPr>
              <w:pStyle w:val="TableParagraph"/>
              <w:numPr>
                <w:ilvl w:val="1"/>
                <w:numId w:val="109"/>
              </w:numPr>
              <w:tabs>
                <w:tab w:val="left" w:pos="778"/>
                <w:tab w:val="left" w:pos="779"/>
              </w:tabs>
              <w:spacing w:line="235" w:lineRule="auto"/>
              <w:ind w:right="67" w:hanging="360"/>
              <w:jc w:val="both"/>
            </w:pPr>
            <w:r>
              <w:t>Se incorpora en la Tabla “Financiera: 02” los códigos 15 “Financiera Efectiva S.A.” y 16 “Amerika Financiera</w:t>
            </w:r>
            <w:r>
              <w:rPr>
                <w:spacing w:val="-7"/>
              </w:rPr>
              <w:t xml:space="preserve"> </w:t>
            </w:r>
            <w:r>
              <w:t>S.A.”</w:t>
            </w:r>
          </w:p>
          <w:p w14:paraId="40FE1A8D" w14:textId="77777777" w:rsidR="008C20EB" w:rsidRDefault="008D25BE">
            <w:pPr>
              <w:pStyle w:val="TableParagraph"/>
              <w:numPr>
                <w:ilvl w:val="1"/>
                <w:numId w:val="109"/>
              </w:numPr>
              <w:tabs>
                <w:tab w:val="left" w:pos="778"/>
                <w:tab w:val="left" w:pos="779"/>
              </w:tabs>
              <w:spacing w:before="7" w:line="235" w:lineRule="auto"/>
              <w:ind w:right="59" w:hanging="360"/>
              <w:jc w:val="both"/>
            </w:pPr>
            <w:r>
              <w:t>Se Elimina el código 13 “Efectiva S.A.” de la Tabla “Financiera 02 Y Los Códigos 04 “Citileasing</w:t>
            </w:r>
            <w:r>
              <w:rPr>
                <w:spacing w:val="31"/>
              </w:rPr>
              <w:t xml:space="preserve"> </w:t>
            </w:r>
            <w:r>
              <w:t>S.A.”</w:t>
            </w:r>
            <w:r>
              <w:rPr>
                <w:spacing w:val="29"/>
              </w:rPr>
              <w:t xml:space="preserve"> </w:t>
            </w:r>
            <w:r>
              <w:t>05</w:t>
            </w:r>
            <w:r>
              <w:rPr>
                <w:spacing w:val="36"/>
              </w:rPr>
              <w:t xml:space="preserve"> </w:t>
            </w:r>
            <w:r>
              <w:t>“América</w:t>
            </w:r>
            <w:r>
              <w:rPr>
                <w:spacing w:val="32"/>
              </w:rPr>
              <w:t xml:space="preserve"> </w:t>
            </w:r>
            <w:r>
              <w:t>Leasing</w:t>
            </w:r>
            <w:r>
              <w:rPr>
                <w:spacing w:val="31"/>
              </w:rPr>
              <w:t xml:space="preserve"> </w:t>
            </w:r>
            <w:r>
              <w:t>S.A.”</w:t>
            </w:r>
            <w:r>
              <w:rPr>
                <w:spacing w:val="29"/>
              </w:rPr>
              <w:t xml:space="preserve"> </w:t>
            </w:r>
            <w:r>
              <w:t>y</w:t>
            </w:r>
            <w:r>
              <w:rPr>
                <w:spacing w:val="33"/>
              </w:rPr>
              <w:t xml:space="preserve"> </w:t>
            </w:r>
            <w:r>
              <w:t>08</w:t>
            </w:r>
            <w:r>
              <w:rPr>
                <w:spacing w:val="36"/>
              </w:rPr>
              <w:t xml:space="preserve"> </w:t>
            </w:r>
            <w:r>
              <w:t>“Crédito</w:t>
            </w:r>
            <w:r>
              <w:rPr>
                <w:spacing w:val="36"/>
              </w:rPr>
              <w:t xml:space="preserve"> </w:t>
            </w:r>
            <w:r>
              <w:t>Leasing</w:t>
            </w:r>
            <w:r>
              <w:rPr>
                <w:spacing w:val="39"/>
              </w:rPr>
              <w:t xml:space="preserve"> </w:t>
            </w:r>
            <w:r>
              <w:t>S.A.</w:t>
            </w:r>
            <w:r>
              <w:rPr>
                <w:spacing w:val="30"/>
              </w:rPr>
              <w:t xml:space="preserve"> </w:t>
            </w:r>
            <w:r>
              <w:t>–</w:t>
            </w:r>
            <w:r>
              <w:rPr>
                <w:spacing w:val="32"/>
              </w:rPr>
              <w:t xml:space="preserve"> </w:t>
            </w:r>
            <w:r>
              <w:t>Credileasing</w:t>
            </w:r>
          </w:p>
          <w:p w14:paraId="40FE1A8E" w14:textId="77777777" w:rsidR="008C20EB" w:rsidRDefault="008D25BE">
            <w:pPr>
              <w:pStyle w:val="TableParagraph"/>
              <w:spacing w:before="3" w:line="245" w:lineRule="exact"/>
              <w:ind w:left="792"/>
              <w:jc w:val="both"/>
            </w:pPr>
            <w:r>
              <w:t>S.A.” de la Tabla “Empresas de Arrendamiento Financiero: 07”</w:t>
            </w:r>
          </w:p>
        </w:tc>
      </w:tr>
      <w:tr w:rsidR="008C20EB" w14:paraId="40FE1A98" w14:textId="77777777">
        <w:trPr>
          <w:trHeight w:val="2333"/>
        </w:trPr>
        <w:tc>
          <w:tcPr>
            <w:tcW w:w="1445" w:type="dxa"/>
          </w:tcPr>
          <w:p w14:paraId="40FE1A90" w14:textId="77777777" w:rsidR="008C20EB" w:rsidRDefault="008D25BE">
            <w:pPr>
              <w:pStyle w:val="TableParagraph"/>
              <w:ind w:left="71" w:right="53"/>
              <w:jc w:val="both"/>
              <w:rPr>
                <w:b/>
              </w:rPr>
            </w:pPr>
            <w:r>
              <w:rPr>
                <w:b/>
              </w:rPr>
              <w:t>Oficio Múltiple N° 17141-2010- SBS</w:t>
            </w:r>
          </w:p>
        </w:tc>
        <w:tc>
          <w:tcPr>
            <w:tcW w:w="1733" w:type="dxa"/>
          </w:tcPr>
          <w:p w14:paraId="40FE1A91"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05.05.2010</w:t>
            </w:r>
            <w:r>
              <w:rPr>
                <w:b/>
              </w:rPr>
              <w:tab/>
              <w:t>/</w:t>
            </w:r>
          </w:p>
          <w:p w14:paraId="40FE1A92" w14:textId="77777777" w:rsidR="008C20EB" w:rsidRDefault="008D25BE">
            <w:pPr>
              <w:pStyle w:val="TableParagraph"/>
              <w:spacing w:line="251" w:lineRule="exact"/>
              <w:jc w:val="both"/>
              <w:rPr>
                <w:b/>
              </w:rPr>
            </w:pPr>
            <w:r>
              <w:rPr>
                <w:b/>
              </w:rPr>
              <w:t>Pub. 05.05.2010)</w:t>
            </w:r>
          </w:p>
        </w:tc>
        <w:tc>
          <w:tcPr>
            <w:tcW w:w="3500" w:type="dxa"/>
          </w:tcPr>
          <w:p w14:paraId="40FE1A93" w14:textId="77777777" w:rsidR="008C20EB" w:rsidRDefault="008D25BE">
            <w:pPr>
              <w:pStyle w:val="TableParagraph"/>
              <w:ind w:left="177" w:right="61"/>
              <w:jc w:val="both"/>
            </w:pPr>
            <w:r>
              <w:t>Se modifica el Capítulo I “Disposiciones Generales” y el Capítulo III  “Catálogo de Cuentas” del Manual de Contabilidad para las Empresas del Sistema Financiero. Vigente a partir del 1 de julio de</w:t>
            </w:r>
            <w:r>
              <w:rPr>
                <w:spacing w:val="-4"/>
              </w:rPr>
              <w:t xml:space="preserve"> </w:t>
            </w:r>
            <w:r>
              <w:t>2010.</w:t>
            </w:r>
          </w:p>
        </w:tc>
        <w:tc>
          <w:tcPr>
            <w:tcW w:w="8162" w:type="dxa"/>
          </w:tcPr>
          <w:p w14:paraId="40FE1A94" w14:textId="77777777" w:rsidR="008C20EB" w:rsidRDefault="008D25BE">
            <w:pPr>
              <w:pStyle w:val="TableParagraph"/>
              <w:numPr>
                <w:ilvl w:val="0"/>
                <w:numId w:val="110"/>
              </w:numPr>
              <w:tabs>
                <w:tab w:val="left" w:pos="294"/>
              </w:tabs>
              <w:ind w:right="61"/>
              <w:jc w:val="both"/>
            </w:pPr>
            <w:r>
              <w:t>Se incorpora las siguientes cuentas y subcuentas analíticas 5104.01.07.18, 5104.01.08.18, 5104.01.10.18, 5104.01.11.18, 5104.01.12.18, 5104.01.13.18, 5104.04.09, 5104.05.09 y 5104.06.09.</w:t>
            </w:r>
          </w:p>
          <w:p w14:paraId="40FE1A95" w14:textId="77777777" w:rsidR="008C20EB" w:rsidRDefault="008D25BE">
            <w:pPr>
              <w:pStyle w:val="TableParagraph"/>
              <w:numPr>
                <w:ilvl w:val="0"/>
                <w:numId w:val="110"/>
              </w:numPr>
              <w:tabs>
                <w:tab w:val="left" w:pos="294"/>
              </w:tabs>
              <w:spacing w:line="266" w:lineRule="exact"/>
              <w:ind w:hanging="222"/>
              <w:jc w:val="both"/>
            </w:pPr>
            <w:r>
              <w:t>Se elimina la siguiente cuenta analítica 5104.01.08.26 “Créditos-Comercio</w:t>
            </w:r>
            <w:r>
              <w:rPr>
                <w:spacing w:val="-21"/>
              </w:rPr>
              <w:t xml:space="preserve"> </w:t>
            </w:r>
            <w:r>
              <w:t>Exterior”.</w:t>
            </w:r>
          </w:p>
          <w:p w14:paraId="40FE1A96" w14:textId="77777777" w:rsidR="008C20EB" w:rsidRDefault="008D25BE">
            <w:pPr>
              <w:pStyle w:val="TableParagraph"/>
              <w:numPr>
                <w:ilvl w:val="0"/>
                <w:numId w:val="110"/>
              </w:numPr>
              <w:tabs>
                <w:tab w:val="left" w:pos="294"/>
              </w:tabs>
              <w:ind w:right="59"/>
              <w:jc w:val="both"/>
            </w:pPr>
            <w:r>
              <w:t>Se incorpora en el listado de cuentas para la aplicación de las tablas establecidas en el literal J del Capítulo I las siguientes cuentas y subcuentas analíticas: 1405.09.19.06, 1405.09.19.18 1405.09.19.19, 1405.09.19.99, 1406.09.19.06, 1406.09.19.18, 1406.09.19.19, 1406.09.19.99, 1408.09, 5104.04.09, 5104.05.09 y</w:t>
            </w:r>
            <w:r>
              <w:rPr>
                <w:spacing w:val="-7"/>
              </w:rPr>
              <w:t xml:space="preserve"> </w:t>
            </w:r>
            <w:r>
              <w:t>5104.06.09.</w:t>
            </w:r>
          </w:p>
          <w:p w14:paraId="40FE1A97" w14:textId="77777777" w:rsidR="008C20EB" w:rsidRDefault="008D25BE">
            <w:pPr>
              <w:pStyle w:val="TableParagraph"/>
              <w:numPr>
                <w:ilvl w:val="0"/>
                <w:numId w:val="110"/>
              </w:numPr>
              <w:tabs>
                <w:tab w:val="left" w:pos="356"/>
              </w:tabs>
              <w:spacing w:line="260" w:lineRule="exact"/>
              <w:ind w:left="355" w:hanging="284"/>
              <w:jc w:val="both"/>
            </w:pPr>
            <w:r>
              <w:t>Se incorpora en el literal J del Capítulo I, la tabla “Empresas del Sistema Financiero del</w:t>
            </w:r>
            <w:r>
              <w:rPr>
                <w:spacing w:val="31"/>
              </w:rPr>
              <w:t xml:space="preserve"> </w:t>
            </w:r>
            <w:r>
              <w:t>Exterior</w:t>
            </w:r>
          </w:p>
        </w:tc>
      </w:tr>
    </w:tbl>
    <w:p w14:paraId="40FE1A99" w14:textId="77777777" w:rsidR="008C20EB" w:rsidRDefault="008C20EB">
      <w:pPr>
        <w:spacing w:line="260"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9E" w14:textId="77777777">
        <w:trPr>
          <w:trHeight w:val="254"/>
        </w:trPr>
        <w:tc>
          <w:tcPr>
            <w:tcW w:w="1445" w:type="dxa"/>
            <w:vAlign w:val="bottom"/>
          </w:tcPr>
          <w:p w14:paraId="40FE1A9A"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9B" w14:textId="77777777" w:rsidR="008C20EB" w:rsidRDefault="008D25BE">
            <w:pPr>
              <w:pStyle w:val="TableParagraph"/>
              <w:spacing w:line="234" w:lineRule="exact"/>
              <w:ind w:left="556"/>
              <w:jc w:val="both"/>
              <w:rPr>
                <w:b/>
              </w:rPr>
            </w:pPr>
            <w:r>
              <w:rPr>
                <w:b/>
              </w:rPr>
              <w:t>FECHA</w:t>
            </w:r>
          </w:p>
        </w:tc>
        <w:tc>
          <w:tcPr>
            <w:tcW w:w="3500" w:type="dxa"/>
            <w:vAlign w:val="bottom"/>
          </w:tcPr>
          <w:p w14:paraId="40FE1A9C"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9D" w14:textId="77777777" w:rsidR="008C20EB" w:rsidRDefault="008D25BE">
            <w:pPr>
              <w:pStyle w:val="TableParagraph"/>
              <w:spacing w:line="234" w:lineRule="exact"/>
              <w:ind w:left="3271" w:right="3265"/>
              <w:jc w:val="both"/>
              <w:rPr>
                <w:b/>
              </w:rPr>
            </w:pPr>
            <w:r>
              <w:rPr>
                <w:b/>
              </w:rPr>
              <w:t>MODIFICATORIAS</w:t>
            </w:r>
          </w:p>
        </w:tc>
      </w:tr>
      <w:tr w:rsidR="008C20EB" w14:paraId="40FE1AA6" w14:textId="77777777">
        <w:trPr>
          <w:trHeight w:val="3077"/>
        </w:trPr>
        <w:tc>
          <w:tcPr>
            <w:tcW w:w="1445" w:type="dxa"/>
          </w:tcPr>
          <w:p w14:paraId="40FE1A9F" w14:textId="77777777" w:rsidR="008C20EB" w:rsidRDefault="008C20EB">
            <w:pPr>
              <w:pStyle w:val="TableParagraph"/>
              <w:jc w:val="both"/>
              <w:rPr>
                <w:rFonts w:ascii="Times New Roman"/>
              </w:rPr>
            </w:pPr>
          </w:p>
        </w:tc>
        <w:tc>
          <w:tcPr>
            <w:tcW w:w="1733" w:type="dxa"/>
          </w:tcPr>
          <w:p w14:paraId="40FE1AA0" w14:textId="77777777" w:rsidR="008C20EB" w:rsidRDefault="008C20EB">
            <w:pPr>
              <w:pStyle w:val="TableParagraph"/>
              <w:jc w:val="both"/>
              <w:rPr>
                <w:rFonts w:ascii="Times New Roman"/>
              </w:rPr>
            </w:pPr>
          </w:p>
        </w:tc>
        <w:tc>
          <w:tcPr>
            <w:tcW w:w="3500" w:type="dxa"/>
          </w:tcPr>
          <w:p w14:paraId="40FE1AA1" w14:textId="77777777" w:rsidR="008C20EB" w:rsidRDefault="008C20EB">
            <w:pPr>
              <w:pStyle w:val="TableParagraph"/>
              <w:jc w:val="both"/>
              <w:rPr>
                <w:rFonts w:ascii="Times New Roman"/>
              </w:rPr>
            </w:pPr>
          </w:p>
        </w:tc>
        <w:tc>
          <w:tcPr>
            <w:tcW w:w="8162" w:type="dxa"/>
          </w:tcPr>
          <w:p w14:paraId="40FE1AA2" w14:textId="77777777" w:rsidR="008C20EB" w:rsidRDefault="008D25BE">
            <w:pPr>
              <w:pStyle w:val="TableParagraph"/>
              <w:spacing w:line="237" w:lineRule="auto"/>
              <w:ind w:left="355" w:right="70"/>
              <w:jc w:val="both"/>
            </w:pPr>
            <w:r>
              <w:t>17” con los siguientes códigos 01 “Bancos del Exterior” y 02 “Otras Empresas del Sistema Financiero del Exterior”</w:t>
            </w:r>
          </w:p>
          <w:p w14:paraId="40FE1AA3" w14:textId="77777777" w:rsidR="008C20EB" w:rsidRDefault="008D25BE">
            <w:pPr>
              <w:pStyle w:val="TableParagraph"/>
              <w:numPr>
                <w:ilvl w:val="0"/>
                <w:numId w:val="111"/>
              </w:numPr>
              <w:tabs>
                <w:tab w:val="left" w:pos="356"/>
              </w:tabs>
              <w:spacing w:line="237" w:lineRule="auto"/>
              <w:ind w:right="62"/>
              <w:jc w:val="both"/>
            </w:pPr>
            <w:r>
              <w:t>Se establece que, las cuentas activas y pasivas, así como las cuentas contingentes correspondientes a créditos comerciales se eliminarán del Catálogo de Cuentas a partir del mes de agosto</w:t>
            </w:r>
            <w:r>
              <w:rPr>
                <w:spacing w:val="-7"/>
              </w:rPr>
              <w:t xml:space="preserve"> </w:t>
            </w:r>
            <w:r>
              <w:t>2010.</w:t>
            </w:r>
          </w:p>
          <w:p w14:paraId="40FE1AA4" w14:textId="77777777" w:rsidR="008C20EB" w:rsidRDefault="008D25BE">
            <w:pPr>
              <w:pStyle w:val="TableParagraph"/>
              <w:numPr>
                <w:ilvl w:val="0"/>
                <w:numId w:val="111"/>
              </w:numPr>
              <w:tabs>
                <w:tab w:val="left" w:pos="356"/>
              </w:tabs>
              <w:spacing w:before="4" w:line="235" w:lineRule="auto"/>
              <w:ind w:right="57"/>
              <w:jc w:val="both"/>
            </w:pPr>
            <w:r>
              <w:t>Se establece que, las cuentas de ingresos y gastos de créditos comerciales se mantendrán en el Catálogo de Cuentas hasta el</w:t>
            </w:r>
            <w:r>
              <w:rPr>
                <w:spacing w:val="-13"/>
              </w:rPr>
              <w:t xml:space="preserve"> </w:t>
            </w:r>
            <w:r>
              <w:t>31.12.2010.</w:t>
            </w:r>
          </w:p>
          <w:p w14:paraId="40FE1AA5" w14:textId="77777777" w:rsidR="008C20EB" w:rsidRDefault="008D25BE">
            <w:pPr>
              <w:pStyle w:val="TableParagraph"/>
              <w:numPr>
                <w:ilvl w:val="0"/>
                <w:numId w:val="111"/>
              </w:numPr>
              <w:tabs>
                <w:tab w:val="left" w:pos="356"/>
              </w:tabs>
              <w:spacing w:before="3"/>
              <w:ind w:right="55"/>
              <w:jc w:val="both"/>
            </w:pPr>
            <w:r>
              <w:t>Se establece que, en el formato del Anexo N° 5 “Informe de Clasificación de Deudores y provisiones”, en la sección V “Cuadre del Anexo 5 con Cifras de Balance”, los créditos indirectos se validarán con la fórmula (7101+7102+ 7103+7104) o con la fórmula (7201+7202+7203+7204).</w:t>
            </w:r>
          </w:p>
        </w:tc>
      </w:tr>
      <w:tr w:rsidR="008C20EB" w14:paraId="40FE1AB4" w14:textId="77777777">
        <w:trPr>
          <w:trHeight w:val="3370"/>
        </w:trPr>
        <w:tc>
          <w:tcPr>
            <w:tcW w:w="1445" w:type="dxa"/>
          </w:tcPr>
          <w:p w14:paraId="40FE1AA7" w14:textId="77777777" w:rsidR="008C20EB" w:rsidRDefault="008D25BE">
            <w:pPr>
              <w:pStyle w:val="TableParagraph"/>
              <w:spacing w:line="237" w:lineRule="exact"/>
              <w:ind w:left="71"/>
              <w:jc w:val="both"/>
              <w:rPr>
                <w:b/>
              </w:rPr>
            </w:pPr>
            <w:r>
              <w:rPr>
                <w:b/>
              </w:rPr>
              <w:t>Resolución</w:t>
            </w:r>
          </w:p>
          <w:p w14:paraId="40FE1AA8" w14:textId="77777777" w:rsidR="008C20EB" w:rsidRDefault="008D25BE">
            <w:pPr>
              <w:pStyle w:val="TableParagraph"/>
              <w:spacing w:before="2" w:line="251" w:lineRule="exact"/>
              <w:ind w:left="71"/>
              <w:jc w:val="both"/>
              <w:rPr>
                <w:b/>
              </w:rPr>
            </w:pPr>
            <w:r>
              <w:rPr>
                <w:b/>
              </w:rPr>
              <w:t>SBS Nº 1967-</w:t>
            </w:r>
          </w:p>
          <w:p w14:paraId="40FE1AA9" w14:textId="77777777" w:rsidR="008C20EB" w:rsidRDefault="008D25BE">
            <w:pPr>
              <w:pStyle w:val="TableParagraph"/>
              <w:spacing w:line="251" w:lineRule="exact"/>
              <w:ind w:left="71"/>
              <w:jc w:val="both"/>
              <w:rPr>
                <w:b/>
              </w:rPr>
            </w:pPr>
            <w:r>
              <w:rPr>
                <w:b/>
              </w:rPr>
              <w:t>2010</w:t>
            </w:r>
          </w:p>
        </w:tc>
        <w:tc>
          <w:tcPr>
            <w:tcW w:w="1733" w:type="dxa"/>
          </w:tcPr>
          <w:p w14:paraId="40FE1AAA"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24.02.2010</w:t>
            </w:r>
            <w:r>
              <w:rPr>
                <w:b/>
              </w:rPr>
              <w:tab/>
              <w:t>/</w:t>
            </w:r>
          </w:p>
          <w:p w14:paraId="40FE1AAB" w14:textId="77777777" w:rsidR="008C20EB" w:rsidRDefault="008D25BE">
            <w:pPr>
              <w:pStyle w:val="TableParagraph"/>
              <w:spacing w:before="2"/>
              <w:jc w:val="both"/>
              <w:rPr>
                <w:b/>
              </w:rPr>
            </w:pPr>
            <w:r>
              <w:rPr>
                <w:b/>
              </w:rPr>
              <w:t>Pub. 26.02.2010)</w:t>
            </w:r>
          </w:p>
        </w:tc>
        <w:tc>
          <w:tcPr>
            <w:tcW w:w="3500" w:type="dxa"/>
          </w:tcPr>
          <w:p w14:paraId="40FE1AAC" w14:textId="77777777" w:rsidR="008C20EB" w:rsidRDefault="008D25BE">
            <w:pPr>
              <w:pStyle w:val="TableParagraph"/>
              <w:spacing w:line="237" w:lineRule="exact"/>
              <w:ind w:left="177"/>
              <w:jc w:val="both"/>
            </w:pPr>
            <w:r>
              <w:t>Se modifica los Capítulos III “Catálogo</w:t>
            </w:r>
          </w:p>
          <w:p w14:paraId="40FE1AAD" w14:textId="77777777" w:rsidR="008C20EB" w:rsidRDefault="008D25BE">
            <w:pPr>
              <w:pStyle w:val="TableParagraph"/>
              <w:spacing w:before="2"/>
              <w:ind w:left="177" w:right="58"/>
              <w:jc w:val="both"/>
            </w:pPr>
            <w:r>
              <w:t>de Cuentas” y IV “Descripción y Dinámica de Cuentas” del Manual de Contabilidad para las Empresas del Sistema Financiero. La presente Resolución será de aplicación para la información a presentar en febrero de 2010.</w:t>
            </w:r>
          </w:p>
        </w:tc>
        <w:tc>
          <w:tcPr>
            <w:tcW w:w="8162" w:type="dxa"/>
          </w:tcPr>
          <w:p w14:paraId="40FE1AAE" w14:textId="77777777" w:rsidR="008C20EB" w:rsidRDefault="008D25BE">
            <w:pPr>
              <w:pStyle w:val="TableParagraph"/>
              <w:numPr>
                <w:ilvl w:val="0"/>
                <w:numId w:val="112"/>
              </w:numPr>
              <w:tabs>
                <w:tab w:val="left" w:pos="361"/>
                <w:tab w:val="left" w:pos="801"/>
              </w:tabs>
              <w:spacing w:before="2" w:line="254" w:lineRule="exact"/>
              <w:ind w:right="55"/>
              <w:jc w:val="both"/>
            </w:pPr>
            <w:r>
              <w:t>Se</w:t>
            </w:r>
            <w:r>
              <w:tab/>
              <w:t>modifica los párrafos 7 y penúltimo de la descripción del rubro 17 “Inversiones en Subsidiarias y</w:t>
            </w:r>
            <w:r>
              <w:rPr>
                <w:spacing w:val="-5"/>
              </w:rPr>
              <w:t xml:space="preserve"> </w:t>
            </w:r>
            <w:r>
              <w:t>Asociadas”.</w:t>
            </w:r>
          </w:p>
          <w:p w14:paraId="40FE1AAF" w14:textId="77777777" w:rsidR="008C20EB" w:rsidRDefault="008D25BE">
            <w:pPr>
              <w:pStyle w:val="TableParagraph"/>
              <w:numPr>
                <w:ilvl w:val="0"/>
                <w:numId w:val="112"/>
              </w:numPr>
              <w:tabs>
                <w:tab w:val="left" w:pos="361"/>
              </w:tabs>
              <w:spacing w:before="2" w:line="235" w:lineRule="auto"/>
              <w:ind w:right="60"/>
              <w:jc w:val="both"/>
            </w:pPr>
            <w:r>
              <w:t xml:space="preserve">Se modifica la denominación de la cuenta 1904  </w:t>
            </w:r>
            <w:r>
              <w:rPr>
                <w:spacing w:val="-3"/>
              </w:rPr>
              <w:t xml:space="preserve">“Gastos </w:t>
            </w:r>
            <w:r>
              <w:t>Amortizables” por “Activos Intangibles  y Gastos</w:t>
            </w:r>
            <w:r>
              <w:rPr>
                <w:spacing w:val="-5"/>
              </w:rPr>
              <w:t xml:space="preserve"> </w:t>
            </w:r>
            <w:r>
              <w:t>Amortizables”.</w:t>
            </w:r>
          </w:p>
          <w:p w14:paraId="40FE1AB0" w14:textId="77777777" w:rsidR="008C20EB" w:rsidRDefault="008D25BE">
            <w:pPr>
              <w:pStyle w:val="TableParagraph"/>
              <w:numPr>
                <w:ilvl w:val="0"/>
                <w:numId w:val="112"/>
              </w:numPr>
              <w:tabs>
                <w:tab w:val="left" w:pos="361"/>
              </w:tabs>
              <w:spacing w:before="2" w:line="269" w:lineRule="exact"/>
              <w:ind w:hanging="289"/>
              <w:jc w:val="both"/>
            </w:pPr>
            <w:r>
              <w:t>Se modifica la descripción de la cuenta 1904 “Activos Intangibles y Gastos</w:t>
            </w:r>
            <w:r>
              <w:rPr>
                <w:spacing w:val="-33"/>
              </w:rPr>
              <w:t xml:space="preserve"> </w:t>
            </w:r>
            <w:r>
              <w:t>Amortizables”</w:t>
            </w:r>
          </w:p>
          <w:p w14:paraId="40FE1AB1" w14:textId="77777777" w:rsidR="008C20EB" w:rsidRDefault="008D25BE">
            <w:pPr>
              <w:pStyle w:val="TableParagraph"/>
              <w:numPr>
                <w:ilvl w:val="0"/>
                <w:numId w:val="112"/>
              </w:numPr>
              <w:tabs>
                <w:tab w:val="left" w:pos="361"/>
              </w:tabs>
              <w:spacing w:line="267" w:lineRule="exact"/>
              <w:ind w:hanging="289"/>
              <w:jc w:val="both"/>
            </w:pPr>
            <w:r>
              <w:t>Se modifica la descripción de la subcuenta 1904.07</w:t>
            </w:r>
            <w:r>
              <w:rPr>
                <w:spacing w:val="-17"/>
              </w:rPr>
              <w:t xml:space="preserve"> </w:t>
            </w:r>
            <w:r>
              <w:t>“Goodwill”.</w:t>
            </w:r>
          </w:p>
          <w:p w14:paraId="40FE1AB2" w14:textId="77777777" w:rsidR="008C20EB" w:rsidRDefault="008D25BE">
            <w:pPr>
              <w:pStyle w:val="TableParagraph"/>
              <w:numPr>
                <w:ilvl w:val="0"/>
                <w:numId w:val="112"/>
              </w:numPr>
              <w:tabs>
                <w:tab w:val="left" w:pos="361"/>
              </w:tabs>
              <w:ind w:right="57"/>
              <w:jc w:val="both"/>
            </w:pPr>
            <w:r>
              <w:t xml:space="preserve">A partir de la información correspondiente al mes de febrero de 2010, el saldo de las subcuentas 1904.01 </w:t>
            </w:r>
            <w:r>
              <w:rPr>
                <w:spacing w:val="-3"/>
              </w:rPr>
              <w:t xml:space="preserve">“Gastos </w:t>
            </w:r>
            <w:r>
              <w:t xml:space="preserve">de organización e instalación” y 1904.02 </w:t>
            </w:r>
            <w:r>
              <w:rPr>
                <w:spacing w:val="-3"/>
              </w:rPr>
              <w:t xml:space="preserve">“Gastos </w:t>
            </w:r>
            <w:r>
              <w:t>de reorganización administrativa” y las cuentas analíticas 1904.09.01 “Amortización acumulada por gastos de organización e instalación” y 1904.09.02 “Amortización acumulada por gastos de reorganización administrativa” deberán ser eliminados, contra las cuentas de resultados</w:t>
            </w:r>
            <w:r>
              <w:rPr>
                <w:spacing w:val="-32"/>
              </w:rPr>
              <w:t xml:space="preserve"> </w:t>
            </w:r>
            <w:r>
              <w:t>acumulados.</w:t>
            </w:r>
          </w:p>
          <w:p w14:paraId="40FE1AB3" w14:textId="77777777" w:rsidR="008C20EB" w:rsidRDefault="008D25BE">
            <w:pPr>
              <w:pStyle w:val="TableParagraph"/>
              <w:numPr>
                <w:ilvl w:val="0"/>
                <w:numId w:val="112"/>
              </w:numPr>
              <w:tabs>
                <w:tab w:val="left" w:pos="361"/>
              </w:tabs>
              <w:spacing w:before="21" w:line="250" w:lineRule="exact"/>
              <w:ind w:right="64"/>
              <w:jc w:val="both"/>
            </w:pPr>
            <w:r>
              <w:t>A partir de la información correspondiente a marzo de 2010 se elimina las subcuentas y cuentas analíticas siguientes: 1904.01, 1904.02, 1904.09.01, 1904.09.02, 4403.01 y</w:t>
            </w:r>
            <w:r>
              <w:rPr>
                <w:spacing w:val="-30"/>
              </w:rPr>
              <w:t xml:space="preserve"> </w:t>
            </w:r>
            <w:r>
              <w:t>4403.02.</w:t>
            </w:r>
          </w:p>
        </w:tc>
      </w:tr>
      <w:tr w:rsidR="008C20EB" w14:paraId="40FE1ABE" w14:textId="77777777">
        <w:trPr>
          <w:trHeight w:val="2035"/>
        </w:trPr>
        <w:tc>
          <w:tcPr>
            <w:tcW w:w="1445" w:type="dxa"/>
          </w:tcPr>
          <w:p w14:paraId="40FE1AB5" w14:textId="77777777" w:rsidR="008C20EB" w:rsidRDefault="008D25BE">
            <w:pPr>
              <w:pStyle w:val="TableParagraph"/>
              <w:spacing w:line="237" w:lineRule="auto"/>
              <w:ind w:left="71" w:right="42"/>
              <w:jc w:val="both"/>
              <w:rPr>
                <w:b/>
              </w:rPr>
            </w:pPr>
            <w:r>
              <w:rPr>
                <w:b/>
              </w:rPr>
              <w:t>Resolución SBS Nº 1593-</w:t>
            </w:r>
          </w:p>
          <w:p w14:paraId="40FE1AB6" w14:textId="77777777" w:rsidR="008C20EB" w:rsidRDefault="008D25BE">
            <w:pPr>
              <w:pStyle w:val="TableParagraph"/>
              <w:ind w:left="71"/>
              <w:jc w:val="both"/>
              <w:rPr>
                <w:b/>
              </w:rPr>
            </w:pPr>
            <w:r>
              <w:rPr>
                <w:b/>
              </w:rPr>
              <w:t>2010</w:t>
            </w:r>
          </w:p>
        </w:tc>
        <w:tc>
          <w:tcPr>
            <w:tcW w:w="1733" w:type="dxa"/>
          </w:tcPr>
          <w:p w14:paraId="40FE1AB7"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12.02.2010</w:t>
            </w:r>
            <w:r>
              <w:rPr>
                <w:b/>
              </w:rPr>
              <w:tab/>
              <w:t>/</w:t>
            </w:r>
          </w:p>
          <w:p w14:paraId="40FE1AB8" w14:textId="77777777" w:rsidR="008C20EB" w:rsidRDefault="008D25BE">
            <w:pPr>
              <w:pStyle w:val="TableParagraph"/>
              <w:spacing w:line="251" w:lineRule="exact"/>
              <w:jc w:val="both"/>
              <w:rPr>
                <w:b/>
              </w:rPr>
            </w:pPr>
            <w:r>
              <w:rPr>
                <w:b/>
              </w:rPr>
              <w:t>Pub. 13.02.2010)</w:t>
            </w:r>
          </w:p>
        </w:tc>
        <w:tc>
          <w:tcPr>
            <w:tcW w:w="3500" w:type="dxa"/>
          </w:tcPr>
          <w:p w14:paraId="40FE1AB9" w14:textId="77777777" w:rsidR="008C20EB" w:rsidRDefault="008D25BE">
            <w:pPr>
              <w:pStyle w:val="TableParagraph"/>
              <w:ind w:left="177" w:right="61"/>
              <w:jc w:val="both"/>
            </w:pPr>
            <w:r>
              <w:t>Se modifica el Capítulo V “Información Complementaria” del Manual de Contabilidad para las Empresas del Sistema Financiero. Vigente a partir del día siguiente a su publicación.</w:t>
            </w:r>
          </w:p>
        </w:tc>
        <w:tc>
          <w:tcPr>
            <w:tcW w:w="8162" w:type="dxa"/>
          </w:tcPr>
          <w:p w14:paraId="40FE1ABA" w14:textId="77777777" w:rsidR="008C20EB" w:rsidRDefault="008D25BE">
            <w:pPr>
              <w:pStyle w:val="TableParagraph"/>
              <w:numPr>
                <w:ilvl w:val="0"/>
                <w:numId w:val="113"/>
              </w:numPr>
              <w:tabs>
                <w:tab w:val="left" w:pos="361"/>
              </w:tabs>
              <w:ind w:right="59"/>
              <w:jc w:val="both"/>
            </w:pPr>
            <w:r>
              <w:t>Se sustituye los numerales 11.1 y 11.2 de la Sección I “Límites Globales” del Reporte N° 13 “Control de Límites Globales e Individuales Aplicables a las Empresas del Sistema Financiero” del Manual de Contabilidad para las Empresas del Sistema Financiero, en los siguientes términos:</w:t>
            </w:r>
          </w:p>
          <w:p w14:paraId="40FE1ABB" w14:textId="77777777" w:rsidR="008C20EB" w:rsidRDefault="008D25BE">
            <w:pPr>
              <w:pStyle w:val="TableParagraph"/>
              <w:numPr>
                <w:ilvl w:val="1"/>
                <w:numId w:val="113"/>
              </w:numPr>
              <w:tabs>
                <w:tab w:val="left" w:pos="779"/>
              </w:tabs>
              <w:spacing w:line="242" w:lineRule="auto"/>
              <w:ind w:right="66" w:hanging="360"/>
              <w:jc w:val="both"/>
            </w:pPr>
            <w:r>
              <w:t xml:space="preserve">La posición global de sobreventa de moneda extranjera tendrá como </w:t>
            </w:r>
            <w:r>
              <w:rPr>
                <w:spacing w:val="-3"/>
              </w:rPr>
              <w:t xml:space="preserve">límite </w:t>
            </w:r>
            <w:r>
              <w:t>hasta quince por ciento (15%) de su patrimonio</w:t>
            </w:r>
            <w:r>
              <w:rPr>
                <w:spacing w:val="-16"/>
              </w:rPr>
              <w:t xml:space="preserve"> </w:t>
            </w:r>
            <w:r>
              <w:t>efectivo.</w:t>
            </w:r>
          </w:p>
          <w:p w14:paraId="40FE1ABC" w14:textId="77777777" w:rsidR="008C20EB" w:rsidRDefault="008D25BE">
            <w:pPr>
              <w:pStyle w:val="TableParagraph"/>
              <w:numPr>
                <w:ilvl w:val="1"/>
                <w:numId w:val="113"/>
              </w:numPr>
              <w:tabs>
                <w:tab w:val="left" w:pos="779"/>
              </w:tabs>
              <w:spacing w:line="247" w:lineRule="exact"/>
              <w:ind w:left="778" w:hanging="347"/>
              <w:jc w:val="both"/>
            </w:pPr>
            <w:r>
              <w:t>La posición global de sobrecompra de moneda extranjera tendrá como límite hasta</w:t>
            </w:r>
            <w:r>
              <w:rPr>
                <w:spacing w:val="-4"/>
              </w:rPr>
              <w:t xml:space="preserve"> </w:t>
            </w:r>
            <w:r>
              <w:t>setenta</w:t>
            </w:r>
          </w:p>
          <w:p w14:paraId="40FE1ABD" w14:textId="77777777" w:rsidR="008C20EB" w:rsidRDefault="008D25BE">
            <w:pPr>
              <w:pStyle w:val="TableParagraph"/>
              <w:spacing w:line="245" w:lineRule="exact"/>
              <w:ind w:left="792"/>
              <w:jc w:val="both"/>
            </w:pPr>
            <w:r>
              <w:t>y cinco por ciento (75%) de su patrimonio efectivo.</w:t>
            </w:r>
          </w:p>
        </w:tc>
      </w:tr>
      <w:tr w:rsidR="008C20EB" w14:paraId="40FE1AC6" w14:textId="77777777">
        <w:trPr>
          <w:trHeight w:val="503"/>
        </w:trPr>
        <w:tc>
          <w:tcPr>
            <w:tcW w:w="1445" w:type="dxa"/>
          </w:tcPr>
          <w:p w14:paraId="40FE1ABF" w14:textId="77777777" w:rsidR="008C20EB" w:rsidRDefault="008D25BE">
            <w:pPr>
              <w:pStyle w:val="TableParagraph"/>
              <w:spacing w:line="240" w:lineRule="exact"/>
              <w:ind w:left="71"/>
              <w:jc w:val="both"/>
              <w:rPr>
                <w:b/>
              </w:rPr>
            </w:pPr>
            <w:r>
              <w:rPr>
                <w:b/>
              </w:rPr>
              <w:t>Resolución</w:t>
            </w:r>
          </w:p>
          <w:p w14:paraId="40FE1AC0" w14:textId="77777777" w:rsidR="008C20EB" w:rsidRDefault="008D25BE">
            <w:pPr>
              <w:pStyle w:val="TableParagraph"/>
              <w:spacing w:line="243" w:lineRule="exact"/>
              <w:ind w:left="71"/>
              <w:jc w:val="both"/>
              <w:rPr>
                <w:b/>
              </w:rPr>
            </w:pPr>
            <w:r>
              <w:rPr>
                <w:b/>
              </w:rPr>
              <w:t>SBS Nº 1445-</w:t>
            </w:r>
          </w:p>
        </w:tc>
        <w:tc>
          <w:tcPr>
            <w:tcW w:w="1733" w:type="dxa"/>
          </w:tcPr>
          <w:p w14:paraId="40FE1AC1"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09.02.2010</w:t>
            </w:r>
            <w:r>
              <w:rPr>
                <w:b/>
              </w:rPr>
              <w:tab/>
              <w:t>/</w:t>
            </w:r>
          </w:p>
          <w:p w14:paraId="40FE1AC2" w14:textId="77777777" w:rsidR="008C20EB" w:rsidRDefault="008D25BE">
            <w:pPr>
              <w:pStyle w:val="TableParagraph"/>
              <w:spacing w:line="243" w:lineRule="exact"/>
              <w:jc w:val="both"/>
              <w:rPr>
                <w:b/>
              </w:rPr>
            </w:pPr>
            <w:r>
              <w:rPr>
                <w:b/>
              </w:rPr>
              <w:t>Pub. 11.02.2010)</w:t>
            </w:r>
          </w:p>
        </w:tc>
        <w:tc>
          <w:tcPr>
            <w:tcW w:w="3500" w:type="dxa"/>
          </w:tcPr>
          <w:p w14:paraId="40FE1AC3" w14:textId="77777777" w:rsidR="008C20EB" w:rsidRDefault="008D25BE">
            <w:pPr>
              <w:pStyle w:val="TableParagraph"/>
              <w:spacing w:line="240" w:lineRule="exact"/>
              <w:ind w:left="177"/>
              <w:jc w:val="both"/>
            </w:pPr>
            <w:r>
              <w:t xml:space="preserve">Se modifica los Capítulos  III, IV y V </w:t>
            </w:r>
            <w:r>
              <w:rPr>
                <w:spacing w:val="19"/>
              </w:rPr>
              <w:t xml:space="preserve"> </w:t>
            </w:r>
            <w:r>
              <w:t>del</w:t>
            </w:r>
          </w:p>
          <w:p w14:paraId="40FE1AC4" w14:textId="77777777" w:rsidR="008C20EB" w:rsidRDefault="008D25BE">
            <w:pPr>
              <w:pStyle w:val="TableParagraph"/>
              <w:tabs>
                <w:tab w:val="left" w:pos="979"/>
                <w:tab w:val="left" w:pos="1396"/>
                <w:tab w:val="left" w:pos="2615"/>
                <w:tab w:val="left" w:pos="3190"/>
              </w:tabs>
              <w:spacing w:line="243" w:lineRule="exact"/>
              <w:ind w:left="177"/>
              <w:jc w:val="both"/>
            </w:pPr>
            <w:r>
              <w:t>Manual</w:t>
            </w:r>
            <w:r>
              <w:tab/>
              <w:t>de</w:t>
            </w:r>
            <w:r>
              <w:tab/>
              <w:t>Contabilidad</w:t>
            </w:r>
            <w:r>
              <w:tab/>
              <w:t>para</w:t>
            </w:r>
            <w:r>
              <w:tab/>
              <w:t>las</w:t>
            </w:r>
          </w:p>
        </w:tc>
        <w:tc>
          <w:tcPr>
            <w:tcW w:w="8162" w:type="dxa"/>
          </w:tcPr>
          <w:p w14:paraId="40FE1AC5" w14:textId="77777777" w:rsidR="008C20EB" w:rsidRDefault="008D25BE">
            <w:pPr>
              <w:pStyle w:val="TableParagraph"/>
              <w:numPr>
                <w:ilvl w:val="0"/>
                <w:numId w:val="114"/>
              </w:numPr>
              <w:tabs>
                <w:tab w:val="left" w:pos="361"/>
              </w:tabs>
              <w:spacing w:line="258" w:lineRule="exact"/>
              <w:ind w:hanging="289"/>
              <w:jc w:val="both"/>
            </w:pPr>
            <w:r>
              <w:t>Se incorpora en la cuenta 5104 “Intereses por Créditos” las subcuentas analíticas</w:t>
            </w:r>
            <w:r>
              <w:rPr>
                <w:spacing w:val="17"/>
              </w:rPr>
              <w:t xml:space="preserve"> </w:t>
            </w:r>
            <w:r>
              <w:t>desde</w:t>
            </w:r>
          </w:p>
        </w:tc>
      </w:tr>
    </w:tbl>
    <w:p w14:paraId="40FE1AC7" w14:textId="77777777" w:rsidR="008C20EB" w:rsidRDefault="008C20EB">
      <w:pPr>
        <w:spacing w:line="258"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CC" w14:textId="77777777">
        <w:trPr>
          <w:trHeight w:val="254"/>
        </w:trPr>
        <w:tc>
          <w:tcPr>
            <w:tcW w:w="1445" w:type="dxa"/>
            <w:vAlign w:val="bottom"/>
          </w:tcPr>
          <w:p w14:paraId="40FE1AC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C9" w14:textId="77777777" w:rsidR="008C20EB" w:rsidRDefault="008D25BE">
            <w:pPr>
              <w:pStyle w:val="TableParagraph"/>
              <w:spacing w:line="234" w:lineRule="exact"/>
              <w:ind w:left="556"/>
              <w:jc w:val="both"/>
              <w:rPr>
                <w:b/>
              </w:rPr>
            </w:pPr>
            <w:r>
              <w:rPr>
                <w:b/>
              </w:rPr>
              <w:t>FECHA</w:t>
            </w:r>
          </w:p>
        </w:tc>
        <w:tc>
          <w:tcPr>
            <w:tcW w:w="3500" w:type="dxa"/>
            <w:vAlign w:val="bottom"/>
          </w:tcPr>
          <w:p w14:paraId="40FE1AC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CB" w14:textId="77777777" w:rsidR="008C20EB" w:rsidRDefault="008D25BE">
            <w:pPr>
              <w:pStyle w:val="TableParagraph"/>
              <w:spacing w:line="234" w:lineRule="exact"/>
              <w:ind w:left="3271" w:right="3265"/>
              <w:jc w:val="both"/>
              <w:rPr>
                <w:b/>
              </w:rPr>
            </w:pPr>
            <w:r>
              <w:rPr>
                <w:b/>
              </w:rPr>
              <w:t>MODIFICATORIAS</w:t>
            </w:r>
          </w:p>
        </w:tc>
      </w:tr>
      <w:tr w:rsidR="008C20EB" w14:paraId="40FE1AD4" w14:textId="77777777">
        <w:trPr>
          <w:trHeight w:val="1814"/>
        </w:trPr>
        <w:tc>
          <w:tcPr>
            <w:tcW w:w="1445" w:type="dxa"/>
          </w:tcPr>
          <w:p w14:paraId="40FE1ACD" w14:textId="77777777" w:rsidR="008C20EB" w:rsidRDefault="008D25BE">
            <w:pPr>
              <w:pStyle w:val="TableParagraph"/>
              <w:spacing w:line="242" w:lineRule="exact"/>
              <w:ind w:left="71"/>
              <w:jc w:val="both"/>
              <w:rPr>
                <w:b/>
              </w:rPr>
            </w:pPr>
            <w:r>
              <w:rPr>
                <w:b/>
              </w:rPr>
              <w:t>2010</w:t>
            </w:r>
          </w:p>
        </w:tc>
        <w:tc>
          <w:tcPr>
            <w:tcW w:w="1733" w:type="dxa"/>
          </w:tcPr>
          <w:p w14:paraId="40FE1ACE" w14:textId="77777777" w:rsidR="008C20EB" w:rsidRDefault="008C20EB">
            <w:pPr>
              <w:pStyle w:val="TableParagraph"/>
              <w:jc w:val="both"/>
              <w:rPr>
                <w:rFonts w:ascii="Times New Roman"/>
              </w:rPr>
            </w:pPr>
          </w:p>
        </w:tc>
        <w:tc>
          <w:tcPr>
            <w:tcW w:w="3500" w:type="dxa"/>
          </w:tcPr>
          <w:p w14:paraId="40FE1ACF" w14:textId="77777777" w:rsidR="008C20EB" w:rsidRDefault="008D25BE">
            <w:pPr>
              <w:pStyle w:val="TableParagraph"/>
              <w:tabs>
                <w:tab w:val="left" w:pos="1208"/>
                <w:tab w:val="left" w:pos="1664"/>
                <w:tab w:val="left" w:pos="2528"/>
              </w:tabs>
              <w:spacing w:line="237" w:lineRule="auto"/>
              <w:ind w:left="177" w:right="61"/>
              <w:jc w:val="both"/>
            </w:pPr>
            <w:r>
              <w:t>Empresas</w:t>
            </w:r>
            <w:r>
              <w:tab/>
              <w:t>del</w:t>
            </w:r>
            <w:r>
              <w:tab/>
              <w:t>Sistema</w:t>
            </w:r>
            <w:r>
              <w:tab/>
            </w:r>
            <w:r>
              <w:rPr>
                <w:spacing w:val="-1"/>
              </w:rPr>
              <w:t xml:space="preserve">Financiero. </w:t>
            </w:r>
            <w:r>
              <w:t>Vigente a partir del 1 de julio de</w:t>
            </w:r>
            <w:r>
              <w:rPr>
                <w:spacing w:val="-18"/>
              </w:rPr>
              <w:t xml:space="preserve"> </w:t>
            </w:r>
            <w:r>
              <w:t>2010.</w:t>
            </w:r>
          </w:p>
        </w:tc>
        <w:tc>
          <w:tcPr>
            <w:tcW w:w="8162" w:type="dxa"/>
          </w:tcPr>
          <w:p w14:paraId="40FE1AD0" w14:textId="77777777" w:rsidR="008C20EB" w:rsidRDefault="008D25BE">
            <w:pPr>
              <w:pStyle w:val="TableParagraph"/>
              <w:spacing w:line="240" w:lineRule="exact"/>
              <w:ind w:left="360"/>
              <w:jc w:val="both"/>
            </w:pPr>
            <w:r>
              <w:t>5104.01.12.30 hasta la 5104.01.12.34.</w:t>
            </w:r>
          </w:p>
          <w:p w14:paraId="40FE1AD1" w14:textId="77777777" w:rsidR="008C20EB" w:rsidRDefault="008D25BE">
            <w:pPr>
              <w:pStyle w:val="TableParagraph"/>
              <w:numPr>
                <w:ilvl w:val="0"/>
                <w:numId w:val="115"/>
              </w:numPr>
              <w:tabs>
                <w:tab w:val="left" w:pos="361"/>
              </w:tabs>
              <w:ind w:right="54"/>
              <w:jc w:val="both"/>
            </w:pPr>
            <w:r>
              <w:t>Se sustituye el Reporte N° 2-A1 “Activos y Contingentes Ponderados por Riesgo de Crédito – Método Estándar”, por nuevo</w:t>
            </w:r>
            <w:r>
              <w:rPr>
                <w:spacing w:val="-8"/>
              </w:rPr>
              <w:t xml:space="preserve"> </w:t>
            </w:r>
            <w:r>
              <w:t>formato.</w:t>
            </w:r>
          </w:p>
          <w:p w14:paraId="40FE1AD2" w14:textId="77777777" w:rsidR="008C20EB" w:rsidRDefault="008D25BE">
            <w:pPr>
              <w:pStyle w:val="TableParagraph"/>
              <w:numPr>
                <w:ilvl w:val="0"/>
                <w:numId w:val="115"/>
              </w:numPr>
              <w:tabs>
                <w:tab w:val="left" w:pos="361"/>
              </w:tabs>
              <w:spacing w:before="4" w:line="235" w:lineRule="auto"/>
              <w:ind w:right="61"/>
              <w:jc w:val="both"/>
            </w:pPr>
            <w:r>
              <w:t>Se sustituyen las notas metodológicas III, VI, VII, XII y XVI del Reporte N° 2-A1 “Reporte de Activos y Contingentes Ponderados por Riesgo de Crédito – Método</w:t>
            </w:r>
            <w:r>
              <w:rPr>
                <w:spacing w:val="-23"/>
              </w:rPr>
              <w:t xml:space="preserve"> </w:t>
            </w:r>
            <w:r>
              <w:t>Estándar”.</w:t>
            </w:r>
          </w:p>
          <w:p w14:paraId="40FE1AD3" w14:textId="77777777" w:rsidR="008C20EB" w:rsidRDefault="008D25BE">
            <w:pPr>
              <w:pStyle w:val="TableParagraph"/>
              <w:numPr>
                <w:ilvl w:val="0"/>
                <w:numId w:val="115"/>
              </w:numPr>
              <w:tabs>
                <w:tab w:val="left" w:pos="361"/>
              </w:tabs>
              <w:spacing w:before="3" w:line="250" w:lineRule="atLeast"/>
              <w:ind w:right="62"/>
              <w:jc w:val="both"/>
            </w:pPr>
            <w:r>
              <w:t>Se incorpora las notas metodológicas XVII y XVIII en el Reporte N° 2-A1 “Reporte de Activos y Contingentes Ponderados por Riesgo de Crédito – Método</w:t>
            </w:r>
            <w:r>
              <w:rPr>
                <w:spacing w:val="-17"/>
              </w:rPr>
              <w:t xml:space="preserve"> </w:t>
            </w:r>
            <w:r>
              <w:t>Estándar”.</w:t>
            </w:r>
          </w:p>
        </w:tc>
      </w:tr>
      <w:tr w:rsidR="008C20EB" w14:paraId="40FE1ADE" w14:textId="77777777">
        <w:trPr>
          <w:trHeight w:val="1766"/>
        </w:trPr>
        <w:tc>
          <w:tcPr>
            <w:tcW w:w="1445" w:type="dxa"/>
          </w:tcPr>
          <w:p w14:paraId="40FE1AD5" w14:textId="77777777" w:rsidR="008C20EB" w:rsidRDefault="008D25BE">
            <w:pPr>
              <w:pStyle w:val="TableParagraph"/>
              <w:spacing w:line="237" w:lineRule="exact"/>
              <w:ind w:left="71"/>
              <w:jc w:val="both"/>
              <w:rPr>
                <w:b/>
              </w:rPr>
            </w:pPr>
            <w:r>
              <w:rPr>
                <w:b/>
              </w:rPr>
              <w:t>Resolución</w:t>
            </w:r>
          </w:p>
          <w:p w14:paraId="40FE1AD6" w14:textId="77777777" w:rsidR="008C20EB" w:rsidRDefault="008D25BE">
            <w:pPr>
              <w:pStyle w:val="TableParagraph"/>
              <w:spacing w:before="2" w:line="251" w:lineRule="exact"/>
              <w:ind w:left="71"/>
              <w:jc w:val="both"/>
              <w:rPr>
                <w:b/>
              </w:rPr>
            </w:pPr>
            <w:r>
              <w:rPr>
                <w:b/>
              </w:rPr>
              <w:t>SBS Nº 1260-</w:t>
            </w:r>
          </w:p>
          <w:p w14:paraId="40FE1AD7" w14:textId="77777777" w:rsidR="008C20EB" w:rsidRDefault="008D25BE">
            <w:pPr>
              <w:pStyle w:val="TableParagraph"/>
              <w:spacing w:line="251" w:lineRule="exact"/>
              <w:ind w:left="71"/>
              <w:jc w:val="both"/>
              <w:rPr>
                <w:b/>
              </w:rPr>
            </w:pPr>
            <w:r>
              <w:rPr>
                <w:b/>
              </w:rPr>
              <w:t>2010</w:t>
            </w:r>
          </w:p>
        </w:tc>
        <w:tc>
          <w:tcPr>
            <w:tcW w:w="1733" w:type="dxa"/>
          </w:tcPr>
          <w:p w14:paraId="40FE1AD8" w14:textId="77777777" w:rsidR="008C20EB" w:rsidRDefault="008D25BE">
            <w:pPr>
              <w:pStyle w:val="TableParagraph"/>
              <w:tabs>
                <w:tab w:val="left" w:pos="1607"/>
              </w:tabs>
              <w:spacing w:line="237" w:lineRule="exact"/>
              <w:jc w:val="both"/>
              <w:rPr>
                <w:b/>
              </w:rPr>
            </w:pPr>
            <w:r>
              <w:rPr>
                <w:b/>
              </w:rPr>
              <w:t xml:space="preserve">(Pr.  </w:t>
            </w:r>
            <w:r>
              <w:rPr>
                <w:b/>
                <w:spacing w:val="45"/>
              </w:rPr>
              <w:t xml:space="preserve"> </w:t>
            </w:r>
            <w:r>
              <w:rPr>
                <w:b/>
              </w:rPr>
              <w:t>05.02.2010</w:t>
            </w:r>
            <w:r>
              <w:rPr>
                <w:b/>
              </w:rPr>
              <w:tab/>
              <w:t>/</w:t>
            </w:r>
          </w:p>
          <w:p w14:paraId="40FE1AD9" w14:textId="77777777" w:rsidR="008C20EB" w:rsidRDefault="008D25BE">
            <w:pPr>
              <w:pStyle w:val="TableParagraph"/>
              <w:spacing w:before="2"/>
              <w:jc w:val="both"/>
              <w:rPr>
                <w:b/>
              </w:rPr>
            </w:pPr>
            <w:r>
              <w:rPr>
                <w:b/>
              </w:rPr>
              <w:t>Pub. 08.02.2010)</w:t>
            </w:r>
          </w:p>
        </w:tc>
        <w:tc>
          <w:tcPr>
            <w:tcW w:w="3500" w:type="dxa"/>
          </w:tcPr>
          <w:p w14:paraId="40FE1ADA" w14:textId="77777777" w:rsidR="008C20EB" w:rsidRDefault="008D25BE">
            <w:pPr>
              <w:pStyle w:val="TableParagraph"/>
              <w:spacing w:line="237" w:lineRule="exact"/>
              <w:ind w:left="177"/>
              <w:jc w:val="both"/>
            </w:pPr>
            <w:r>
              <w:t>Se modifica los Capítulos III, IV y V del</w:t>
            </w:r>
          </w:p>
          <w:p w14:paraId="40FE1ADB" w14:textId="77777777" w:rsidR="008C20EB" w:rsidRDefault="008D25BE">
            <w:pPr>
              <w:pStyle w:val="TableParagraph"/>
              <w:spacing w:before="2"/>
              <w:ind w:left="177" w:right="61"/>
              <w:jc w:val="both"/>
            </w:pPr>
            <w:r>
              <w:t>Manual de Contabilidad para las Empresas del Sistema Financiero. Vigente a partir de la información correspondiente al mes de febrero de 2010.</w:t>
            </w:r>
          </w:p>
        </w:tc>
        <w:tc>
          <w:tcPr>
            <w:tcW w:w="8162" w:type="dxa"/>
          </w:tcPr>
          <w:p w14:paraId="40FE1ADC" w14:textId="77777777" w:rsidR="008C20EB" w:rsidRDefault="008D25BE">
            <w:pPr>
              <w:pStyle w:val="TableParagraph"/>
              <w:numPr>
                <w:ilvl w:val="0"/>
                <w:numId w:val="116"/>
              </w:numPr>
              <w:tabs>
                <w:tab w:val="left" w:pos="361"/>
              </w:tabs>
              <w:spacing w:before="2" w:line="254" w:lineRule="exact"/>
              <w:ind w:right="59"/>
              <w:jc w:val="both"/>
            </w:pPr>
            <w:r>
              <w:t xml:space="preserve">Se incorpora en la cuenta 8109 </w:t>
            </w:r>
            <w:r>
              <w:rPr>
                <w:spacing w:val="-2"/>
              </w:rPr>
              <w:t xml:space="preserve">“Otras </w:t>
            </w:r>
            <w:r>
              <w:t>Cuentas de Orden Deudoras”, la subcuenta 8109.27 “Créditos – OM N° 5345 -2010”, así como su</w:t>
            </w:r>
            <w:r>
              <w:rPr>
                <w:spacing w:val="-25"/>
              </w:rPr>
              <w:t xml:space="preserve"> </w:t>
            </w:r>
            <w:r>
              <w:t>descripción.</w:t>
            </w:r>
          </w:p>
          <w:p w14:paraId="40FE1ADD" w14:textId="77777777" w:rsidR="008C20EB" w:rsidRDefault="008D25BE">
            <w:pPr>
              <w:pStyle w:val="TableParagraph"/>
              <w:numPr>
                <w:ilvl w:val="0"/>
                <w:numId w:val="116"/>
              </w:numPr>
              <w:tabs>
                <w:tab w:val="left" w:pos="361"/>
              </w:tabs>
              <w:spacing w:before="2" w:line="235" w:lineRule="auto"/>
              <w:ind w:right="61"/>
              <w:jc w:val="both"/>
            </w:pPr>
            <w:r>
              <w:t>En el anexo N° 6 “Reporte Crediticio de Deudores - RCD”, se incorpora la subcuenta 8109.27 “Créditos–OM N° 5345</w:t>
            </w:r>
            <w:r>
              <w:rPr>
                <w:spacing w:val="-12"/>
              </w:rPr>
              <w:t xml:space="preserve"> </w:t>
            </w:r>
            <w:r>
              <w:t>-2010”.</w:t>
            </w:r>
          </w:p>
        </w:tc>
      </w:tr>
      <w:tr w:rsidR="008C20EB" w14:paraId="40FE1AF6" w14:textId="77777777">
        <w:trPr>
          <w:trHeight w:val="5247"/>
        </w:trPr>
        <w:tc>
          <w:tcPr>
            <w:tcW w:w="1445" w:type="dxa"/>
          </w:tcPr>
          <w:p w14:paraId="40FE1ADF" w14:textId="77777777" w:rsidR="008C20EB" w:rsidRDefault="008D25BE">
            <w:pPr>
              <w:pStyle w:val="TableParagraph"/>
              <w:spacing w:line="237" w:lineRule="exact"/>
              <w:ind w:left="71"/>
              <w:jc w:val="both"/>
              <w:rPr>
                <w:b/>
              </w:rPr>
            </w:pPr>
            <w:r>
              <w:rPr>
                <w:b/>
              </w:rPr>
              <w:t>Resolución</w:t>
            </w:r>
          </w:p>
          <w:p w14:paraId="40FE1AE0" w14:textId="77777777" w:rsidR="008C20EB" w:rsidRDefault="008D25BE">
            <w:pPr>
              <w:pStyle w:val="TableParagraph"/>
              <w:spacing w:before="2"/>
              <w:ind w:left="71"/>
              <w:jc w:val="both"/>
              <w:rPr>
                <w:b/>
              </w:rPr>
            </w:pPr>
            <w:r>
              <w:rPr>
                <w:b/>
              </w:rPr>
              <w:t>SBS Nº 914-</w:t>
            </w:r>
          </w:p>
          <w:p w14:paraId="40FE1AE1" w14:textId="77777777" w:rsidR="008C20EB" w:rsidRDefault="008D25BE">
            <w:pPr>
              <w:pStyle w:val="TableParagraph"/>
              <w:spacing w:before="2"/>
              <w:ind w:left="71"/>
              <w:jc w:val="both"/>
              <w:rPr>
                <w:b/>
              </w:rPr>
            </w:pPr>
            <w:r>
              <w:rPr>
                <w:b/>
              </w:rPr>
              <w:t>2010</w:t>
            </w:r>
          </w:p>
        </w:tc>
        <w:tc>
          <w:tcPr>
            <w:tcW w:w="1733" w:type="dxa"/>
          </w:tcPr>
          <w:p w14:paraId="40FE1AE2"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26.01.2010</w:t>
            </w:r>
            <w:r>
              <w:rPr>
                <w:b/>
              </w:rPr>
              <w:tab/>
              <w:t>/</w:t>
            </w:r>
          </w:p>
          <w:p w14:paraId="40FE1AE3" w14:textId="77777777" w:rsidR="008C20EB" w:rsidRDefault="008D25BE">
            <w:pPr>
              <w:pStyle w:val="TableParagraph"/>
              <w:spacing w:before="2"/>
              <w:jc w:val="both"/>
              <w:rPr>
                <w:b/>
              </w:rPr>
            </w:pPr>
            <w:r>
              <w:rPr>
                <w:b/>
              </w:rPr>
              <w:t>Pub. 30.01.2010)</w:t>
            </w:r>
          </w:p>
        </w:tc>
        <w:tc>
          <w:tcPr>
            <w:tcW w:w="3500" w:type="dxa"/>
          </w:tcPr>
          <w:p w14:paraId="40FE1AE4" w14:textId="77777777" w:rsidR="008C20EB" w:rsidRDefault="008D25BE">
            <w:pPr>
              <w:pStyle w:val="TableParagraph"/>
              <w:spacing w:line="237" w:lineRule="exact"/>
              <w:ind w:left="177"/>
              <w:jc w:val="both"/>
            </w:pPr>
            <w:r>
              <w:t>Se modifican los capítulos I, II. III. IV y V</w:t>
            </w:r>
          </w:p>
          <w:p w14:paraId="40FE1AE5" w14:textId="77777777" w:rsidR="008C20EB" w:rsidRDefault="008D25BE">
            <w:pPr>
              <w:pStyle w:val="TableParagraph"/>
              <w:spacing w:before="2"/>
              <w:ind w:left="177" w:right="64"/>
              <w:jc w:val="both"/>
            </w:pPr>
            <w:r>
              <w:t>del Manual de Contabilidad para las Empresas del Sistema Financiero. Vigente a partir de la información del mes de marzo de 2010.</w:t>
            </w:r>
          </w:p>
          <w:p w14:paraId="40FE1AE6" w14:textId="77777777" w:rsidR="008C20EB" w:rsidRDefault="008C20EB">
            <w:pPr>
              <w:pStyle w:val="TableParagraph"/>
              <w:jc w:val="both"/>
              <w:rPr>
                <w:rFonts w:ascii="Arial"/>
                <w:b/>
              </w:rPr>
            </w:pPr>
          </w:p>
          <w:p w14:paraId="40FE1AE7" w14:textId="77777777" w:rsidR="008C20EB" w:rsidRDefault="008D25BE">
            <w:pPr>
              <w:pStyle w:val="TableParagraph"/>
              <w:ind w:left="177" w:right="62"/>
              <w:jc w:val="both"/>
            </w:pPr>
            <w:r>
              <w:t>Se prorroga la aplicación de las Normas Internacionales de Información Financiera Nº 7 “Instrumentos Financieros: Información a Revelar” y Nº</w:t>
            </w:r>
          </w:p>
          <w:p w14:paraId="40FE1AE8" w14:textId="77777777" w:rsidR="008C20EB" w:rsidRDefault="008D25BE">
            <w:pPr>
              <w:pStyle w:val="TableParagraph"/>
              <w:ind w:left="177" w:right="65"/>
              <w:jc w:val="both"/>
            </w:pPr>
            <w:r>
              <w:t>8 “Información por Segmentos” hasta que esta Superintendencia emita las disposiciones correspondientes.</w:t>
            </w:r>
          </w:p>
        </w:tc>
        <w:tc>
          <w:tcPr>
            <w:tcW w:w="8162" w:type="dxa"/>
          </w:tcPr>
          <w:p w14:paraId="40FE1AE9" w14:textId="77777777" w:rsidR="008C20EB" w:rsidRDefault="008D25BE">
            <w:pPr>
              <w:pStyle w:val="TableParagraph"/>
              <w:numPr>
                <w:ilvl w:val="0"/>
                <w:numId w:val="117"/>
              </w:numPr>
              <w:tabs>
                <w:tab w:val="left" w:pos="361"/>
              </w:tabs>
              <w:spacing w:line="255" w:lineRule="exact"/>
              <w:ind w:hanging="289"/>
              <w:jc w:val="both"/>
            </w:pPr>
            <w:r>
              <w:t>Se sustituye el numeral 5 del acápite</w:t>
            </w:r>
            <w:r>
              <w:rPr>
                <w:spacing w:val="-17"/>
              </w:rPr>
              <w:t xml:space="preserve"> </w:t>
            </w:r>
            <w:r>
              <w:t>E.</w:t>
            </w:r>
          </w:p>
          <w:p w14:paraId="40FE1AEA" w14:textId="77777777" w:rsidR="008C20EB" w:rsidRDefault="008D25BE">
            <w:pPr>
              <w:pStyle w:val="TableParagraph"/>
              <w:numPr>
                <w:ilvl w:val="0"/>
                <w:numId w:val="117"/>
              </w:numPr>
              <w:tabs>
                <w:tab w:val="left" w:pos="361"/>
              </w:tabs>
              <w:ind w:right="63"/>
              <w:jc w:val="both"/>
            </w:pPr>
            <w:r>
              <w:t>Se modifica en la Tabla de Empresas, indicado en el acápite J “Nomenclatura de cuentas para las empresas del sistema financiero y entidades</w:t>
            </w:r>
            <w:r>
              <w:rPr>
                <w:spacing w:val="-13"/>
              </w:rPr>
              <w:t xml:space="preserve"> </w:t>
            </w:r>
            <w:r>
              <w:t>relacionadas”.</w:t>
            </w:r>
          </w:p>
          <w:p w14:paraId="40FE1AEB" w14:textId="77777777" w:rsidR="008C20EB" w:rsidRDefault="008D25BE">
            <w:pPr>
              <w:pStyle w:val="TableParagraph"/>
              <w:numPr>
                <w:ilvl w:val="0"/>
                <w:numId w:val="117"/>
              </w:numPr>
              <w:tabs>
                <w:tab w:val="left" w:pos="361"/>
              </w:tabs>
              <w:spacing w:line="267" w:lineRule="exact"/>
              <w:ind w:hanging="289"/>
              <w:jc w:val="both"/>
            </w:pPr>
            <w:r>
              <w:t>Se</w:t>
            </w:r>
            <w:r>
              <w:rPr>
                <w:spacing w:val="-4"/>
              </w:rPr>
              <w:t xml:space="preserve"> </w:t>
            </w:r>
            <w:r>
              <w:t>reemplaza</w:t>
            </w:r>
            <w:r>
              <w:rPr>
                <w:spacing w:val="-3"/>
              </w:rPr>
              <w:t xml:space="preserve"> </w:t>
            </w:r>
            <w:r>
              <w:t>el</w:t>
            </w:r>
            <w:r>
              <w:rPr>
                <w:spacing w:val="-6"/>
              </w:rPr>
              <w:t xml:space="preserve"> </w:t>
            </w:r>
            <w:r>
              <w:t>acápite</w:t>
            </w:r>
            <w:r>
              <w:rPr>
                <w:spacing w:val="1"/>
              </w:rPr>
              <w:t xml:space="preserve"> </w:t>
            </w:r>
            <w:r>
              <w:t>C.</w:t>
            </w:r>
            <w:r>
              <w:rPr>
                <w:spacing w:val="-2"/>
              </w:rPr>
              <w:t xml:space="preserve"> </w:t>
            </w:r>
            <w:r>
              <w:t>Frecuencia</w:t>
            </w:r>
            <w:r>
              <w:rPr>
                <w:spacing w:val="-4"/>
              </w:rPr>
              <w:t xml:space="preserve"> </w:t>
            </w:r>
            <w:r>
              <w:t>y</w:t>
            </w:r>
            <w:r>
              <w:rPr>
                <w:spacing w:val="-2"/>
              </w:rPr>
              <w:t xml:space="preserve"> </w:t>
            </w:r>
            <w:r>
              <w:t>Plazos</w:t>
            </w:r>
            <w:r>
              <w:rPr>
                <w:spacing w:val="-3"/>
              </w:rPr>
              <w:t xml:space="preserve"> </w:t>
            </w:r>
            <w:r>
              <w:t>de</w:t>
            </w:r>
            <w:r>
              <w:rPr>
                <w:spacing w:val="-4"/>
              </w:rPr>
              <w:t xml:space="preserve"> </w:t>
            </w:r>
            <w:r>
              <w:t>Presentación</w:t>
            </w:r>
            <w:r>
              <w:rPr>
                <w:spacing w:val="-4"/>
              </w:rPr>
              <w:t xml:space="preserve"> </w:t>
            </w:r>
            <w:r>
              <w:t>de</w:t>
            </w:r>
            <w:r>
              <w:rPr>
                <w:spacing w:val="-4"/>
              </w:rPr>
              <w:t xml:space="preserve"> </w:t>
            </w:r>
            <w:r>
              <w:t>Estados</w:t>
            </w:r>
            <w:r>
              <w:rPr>
                <w:spacing w:val="-3"/>
              </w:rPr>
              <w:t xml:space="preserve"> </w:t>
            </w:r>
            <w:r>
              <w:t>Financieros.</w:t>
            </w:r>
          </w:p>
          <w:p w14:paraId="40FE1AEC" w14:textId="77777777" w:rsidR="008C20EB" w:rsidRDefault="008D25BE">
            <w:pPr>
              <w:pStyle w:val="TableParagraph"/>
              <w:numPr>
                <w:ilvl w:val="0"/>
                <w:numId w:val="117"/>
              </w:numPr>
              <w:tabs>
                <w:tab w:val="left" w:pos="361"/>
              </w:tabs>
              <w:spacing w:line="266" w:lineRule="exact"/>
              <w:ind w:hanging="289"/>
              <w:jc w:val="both"/>
            </w:pPr>
            <w:r>
              <w:t>Se</w:t>
            </w:r>
            <w:r>
              <w:rPr>
                <w:spacing w:val="-5"/>
              </w:rPr>
              <w:t xml:space="preserve"> </w:t>
            </w:r>
            <w:r>
              <w:t>modifica</w:t>
            </w:r>
            <w:r>
              <w:rPr>
                <w:spacing w:val="-4"/>
              </w:rPr>
              <w:t xml:space="preserve"> </w:t>
            </w:r>
            <w:r>
              <w:t>la</w:t>
            </w:r>
            <w:r>
              <w:rPr>
                <w:spacing w:val="-4"/>
              </w:rPr>
              <w:t xml:space="preserve"> </w:t>
            </w:r>
            <w:r>
              <w:t>Forma</w:t>
            </w:r>
            <w:r>
              <w:rPr>
                <w:spacing w:val="5"/>
              </w:rPr>
              <w:t xml:space="preserve"> </w:t>
            </w:r>
            <w:r>
              <w:t>“A”</w:t>
            </w:r>
            <w:r>
              <w:rPr>
                <w:spacing w:val="-4"/>
              </w:rPr>
              <w:t xml:space="preserve"> </w:t>
            </w:r>
            <w:r>
              <w:t>–</w:t>
            </w:r>
            <w:r>
              <w:rPr>
                <w:spacing w:val="-4"/>
              </w:rPr>
              <w:t xml:space="preserve"> </w:t>
            </w:r>
            <w:r>
              <w:t>Balance</w:t>
            </w:r>
            <w:r>
              <w:rPr>
                <w:spacing w:val="-5"/>
              </w:rPr>
              <w:t xml:space="preserve"> </w:t>
            </w:r>
            <w:r>
              <w:t>General</w:t>
            </w:r>
            <w:r>
              <w:rPr>
                <w:spacing w:val="-6"/>
              </w:rPr>
              <w:t xml:space="preserve"> </w:t>
            </w:r>
            <w:r>
              <w:t>y</w:t>
            </w:r>
            <w:r>
              <w:rPr>
                <w:spacing w:val="-3"/>
              </w:rPr>
              <w:t xml:space="preserve"> </w:t>
            </w:r>
            <w:r>
              <w:t>la</w:t>
            </w:r>
            <w:r>
              <w:rPr>
                <w:spacing w:val="1"/>
              </w:rPr>
              <w:t xml:space="preserve"> </w:t>
            </w:r>
            <w:r>
              <w:t>Forma “B”</w:t>
            </w:r>
            <w:r>
              <w:rPr>
                <w:spacing w:val="-3"/>
              </w:rPr>
              <w:t xml:space="preserve"> </w:t>
            </w:r>
            <w:r>
              <w:t>– Estado</w:t>
            </w:r>
            <w:r>
              <w:rPr>
                <w:spacing w:val="-3"/>
              </w:rPr>
              <w:t xml:space="preserve"> </w:t>
            </w:r>
            <w:r>
              <w:t>de</w:t>
            </w:r>
            <w:r>
              <w:rPr>
                <w:spacing w:val="-4"/>
              </w:rPr>
              <w:t xml:space="preserve"> </w:t>
            </w:r>
            <w:r>
              <w:t>Ganancias</w:t>
            </w:r>
            <w:r>
              <w:rPr>
                <w:spacing w:val="-3"/>
              </w:rPr>
              <w:t xml:space="preserve"> </w:t>
            </w:r>
            <w:r>
              <w:t>y</w:t>
            </w:r>
            <w:r>
              <w:rPr>
                <w:spacing w:val="1"/>
              </w:rPr>
              <w:t xml:space="preserve"> </w:t>
            </w:r>
            <w:r>
              <w:t>Pérdidas.</w:t>
            </w:r>
          </w:p>
          <w:p w14:paraId="40FE1AED" w14:textId="77777777" w:rsidR="008C20EB" w:rsidRDefault="008D25BE">
            <w:pPr>
              <w:pStyle w:val="TableParagraph"/>
              <w:numPr>
                <w:ilvl w:val="0"/>
                <w:numId w:val="117"/>
              </w:numPr>
              <w:tabs>
                <w:tab w:val="left" w:pos="361"/>
              </w:tabs>
              <w:ind w:right="59"/>
              <w:jc w:val="both"/>
            </w:pPr>
            <w:r>
              <w:t>Se sustituye las Normas de Agrupación de la Forma “A” – Balance General y de la Forma “B” – Estado de Ganancias y</w:t>
            </w:r>
            <w:r>
              <w:rPr>
                <w:spacing w:val="-10"/>
              </w:rPr>
              <w:t xml:space="preserve"> </w:t>
            </w:r>
            <w:r>
              <w:t>Pérdidas.</w:t>
            </w:r>
          </w:p>
          <w:p w14:paraId="40FE1AEE" w14:textId="77777777" w:rsidR="008C20EB" w:rsidRDefault="008D25BE">
            <w:pPr>
              <w:pStyle w:val="TableParagraph"/>
              <w:numPr>
                <w:ilvl w:val="0"/>
                <w:numId w:val="117"/>
              </w:numPr>
              <w:tabs>
                <w:tab w:val="left" w:pos="361"/>
              </w:tabs>
              <w:spacing w:line="266" w:lineRule="exact"/>
              <w:ind w:hanging="289"/>
              <w:jc w:val="both"/>
            </w:pPr>
            <w:r>
              <w:t>Se</w:t>
            </w:r>
            <w:r>
              <w:rPr>
                <w:spacing w:val="-5"/>
              </w:rPr>
              <w:t xml:space="preserve"> </w:t>
            </w:r>
            <w:r>
              <w:t>sustituye</w:t>
            </w:r>
            <w:r>
              <w:rPr>
                <w:spacing w:val="-4"/>
              </w:rPr>
              <w:t xml:space="preserve"> </w:t>
            </w:r>
            <w:r>
              <w:t>el</w:t>
            </w:r>
            <w:r>
              <w:rPr>
                <w:spacing w:val="-1"/>
              </w:rPr>
              <w:t xml:space="preserve"> </w:t>
            </w:r>
            <w:r>
              <w:t>primer</w:t>
            </w:r>
            <w:r>
              <w:rPr>
                <w:spacing w:val="-3"/>
              </w:rPr>
              <w:t xml:space="preserve"> </w:t>
            </w:r>
            <w:r>
              <w:t>y</w:t>
            </w:r>
            <w:r>
              <w:rPr>
                <w:spacing w:val="-3"/>
              </w:rPr>
              <w:t xml:space="preserve"> </w:t>
            </w:r>
            <w:r>
              <w:t>segundo</w:t>
            </w:r>
            <w:r>
              <w:rPr>
                <w:spacing w:val="-4"/>
              </w:rPr>
              <w:t xml:space="preserve"> </w:t>
            </w:r>
            <w:r>
              <w:t>párrafo</w:t>
            </w:r>
            <w:r>
              <w:rPr>
                <w:spacing w:val="-4"/>
              </w:rPr>
              <w:t xml:space="preserve"> </w:t>
            </w:r>
            <w:r>
              <w:t>de</w:t>
            </w:r>
            <w:r>
              <w:rPr>
                <w:spacing w:val="-5"/>
              </w:rPr>
              <w:t xml:space="preserve"> </w:t>
            </w:r>
            <w:r>
              <w:t>la</w:t>
            </w:r>
            <w:r>
              <w:rPr>
                <w:spacing w:val="-5"/>
              </w:rPr>
              <w:t xml:space="preserve"> </w:t>
            </w:r>
            <w:r>
              <w:t>descripción</w:t>
            </w:r>
            <w:r>
              <w:rPr>
                <w:spacing w:val="-4"/>
              </w:rPr>
              <w:t xml:space="preserve"> </w:t>
            </w:r>
            <w:r>
              <w:t>del</w:t>
            </w:r>
            <w:r>
              <w:rPr>
                <w:spacing w:val="-6"/>
              </w:rPr>
              <w:t xml:space="preserve"> </w:t>
            </w:r>
            <w:r>
              <w:t>rubro</w:t>
            </w:r>
            <w:r>
              <w:rPr>
                <w:spacing w:val="-4"/>
              </w:rPr>
              <w:t xml:space="preserve"> </w:t>
            </w:r>
            <w:r>
              <w:t>12 “Fondos</w:t>
            </w:r>
            <w:r>
              <w:rPr>
                <w:spacing w:val="-3"/>
              </w:rPr>
              <w:t xml:space="preserve"> </w:t>
            </w:r>
            <w:r>
              <w:t>Interbancarios”.</w:t>
            </w:r>
          </w:p>
          <w:p w14:paraId="40FE1AEF" w14:textId="77777777" w:rsidR="008C20EB" w:rsidRDefault="008D25BE">
            <w:pPr>
              <w:pStyle w:val="TableParagraph"/>
              <w:numPr>
                <w:ilvl w:val="0"/>
                <w:numId w:val="117"/>
              </w:numPr>
              <w:tabs>
                <w:tab w:val="left" w:pos="361"/>
              </w:tabs>
              <w:spacing w:line="269" w:lineRule="exact"/>
              <w:ind w:hanging="289"/>
              <w:jc w:val="both"/>
            </w:pPr>
            <w:r>
              <w:t>Se sustituye la descripción del rubro 18 “Inmuebles, Mobiliario y</w:t>
            </w:r>
            <w:r>
              <w:rPr>
                <w:spacing w:val="-23"/>
              </w:rPr>
              <w:t xml:space="preserve"> </w:t>
            </w:r>
            <w:r>
              <w:t>Equipo”.</w:t>
            </w:r>
          </w:p>
          <w:p w14:paraId="40FE1AF0" w14:textId="77777777" w:rsidR="008C20EB" w:rsidRDefault="008D25BE">
            <w:pPr>
              <w:pStyle w:val="TableParagraph"/>
              <w:numPr>
                <w:ilvl w:val="0"/>
                <w:numId w:val="117"/>
              </w:numPr>
              <w:tabs>
                <w:tab w:val="left" w:pos="361"/>
              </w:tabs>
              <w:spacing w:before="2" w:line="235" w:lineRule="auto"/>
              <w:ind w:right="57"/>
              <w:jc w:val="both"/>
            </w:pPr>
            <w:r>
              <w:t>Se modifica la denominación de la cuenta 1809 por lo siguiente “Depreciación y Deterioro Acumulados de Inmuebles, Mobiliario y Equipo”, así como su descripción y</w:t>
            </w:r>
            <w:r>
              <w:rPr>
                <w:spacing w:val="-35"/>
              </w:rPr>
              <w:t xml:space="preserve"> </w:t>
            </w:r>
            <w:r>
              <w:t>dinámica.</w:t>
            </w:r>
          </w:p>
          <w:p w14:paraId="40FE1AF1" w14:textId="77777777" w:rsidR="008C20EB" w:rsidRDefault="008D25BE">
            <w:pPr>
              <w:pStyle w:val="TableParagraph"/>
              <w:numPr>
                <w:ilvl w:val="0"/>
                <w:numId w:val="117"/>
              </w:numPr>
              <w:tabs>
                <w:tab w:val="left" w:pos="361"/>
              </w:tabs>
              <w:spacing w:before="3"/>
              <w:ind w:right="62"/>
              <w:jc w:val="both"/>
            </w:pPr>
            <w:r>
              <w:t>Se modifica la denominación de la cuenta 1807 “Instalaciones y mejoras en propiedades alquiladas” por “Instalaciones y mejoras en bienes</w:t>
            </w:r>
            <w:r>
              <w:rPr>
                <w:spacing w:val="-16"/>
              </w:rPr>
              <w:t xml:space="preserve"> </w:t>
            </w:r>
            <w:r>
              <w:t>alquilados”.</w:t>
            </w:r>
          </w:p>
          <w:p w14:paraId="40FE1AF2" w14:textId="77777777" w:rsidR="008C20EB" w:rsidRDefault="008D25BE">
            <w:pPr>
              <w:pStyle w:val="TableParagraph"/>
              <w:numPr>
                <w:ilvl w:val="0"/>
                <w:numId w:val="117"/>
              </w:numPr>
              <w:tabs>
                <w:tab w:val="left" w:pos="361"/>
              </w:tabs>
              <w:spacing w:before="4" w:line="237" w:lineRule="auto"/>
              <w:ind w:right="61"/>
              <w:jc w:val="both"/>
            </w:pPr>
            <w:r>
              <w:t>Se incorpora en la cuenta 1809 “(Depreciación y Deterioro Acumulados de Inmuebles, Mobiliario y Equipo)”, la subcuenta 1809.09 y las cuentas analíticas desde la 1809.09.01 hasta la 1809.09.07.</w:t>
            </w:r>
          </w:p>
          <w:p w14:paraId="40FE1AF3" w14:textId="77777777" w:rsidR="008C20EB" w:rsidRDefault="008D25BE">
            <w:pPr>
              <w:pStyle w:val="TableParagraph"/>
              <w:numPr>
                <w:ilvl w:val="0"/>
                <w:numId w:val="117"/>
              </w:numPr>
              <w:tabs>
                <w:tab w:val="left" w:pos="361"/>
              </w:tabs>
              <w:spacing w:line="268" w:lineRule="exact"/>
              <w:ind w:hanging="289"/>
              <w:jc w:val="both"/>
            </w:pPr>
            <w:r>
              <w:t xml:space="preserve">Se modifica la descripción del rubro 19 </w:t>
            </w:r>
            <w:r>
              <w:rPr>
                <w:spacing w:val="-2"/>
              </w:rPr>
              <w:t>“Otros</w:t>
            </w:r>
            <w:r>
              <w:rPr>
                <w:spacing w:val="-16"/>
              </w:rPr>
              <w:t xml:space="preserve"> </w:t>
            </w:r>
            <w:r>
              <w:t>Activos”.</w:t>
            </w:r>
          </w:p>
          <w:p w14:paraId="40FE1AF4" w14:textId="77777777" w:rsidR="008C20EB" w:rsidRDefault="008D25BE">
            <w:pPr>
              <w:pStyle w:val="TableParagraph"/>
              <w:numPr>
                <w:ilvl w:val="0"/>
                <w:numId w:val="117"/>
              </w:numPr>
              <w:tabs>
                <w:tab w:val="left" w:pos="361"/>
              </w:tabs>
              <w:ind w:right="59"/>
              <w:jc w:val="both"/>
            </w:pPr>
            <w:r>
              <w:t>Se sustituye la denominación de la subcuenta 1904.03 “Software adquirido” por “Software”, así como su</w:t>
            </w:r>
            <w:r>
              <w:rPr>
                <w:spacing w:val="-7"/>
              </w:rPr>
              <w:t xml:space="preserve"> </w:t>
            </w:r>
            <w:r>
              <w:t>descripción.</w:t>
            </w:r>
          </w:p>
          <w:p w14:paraId="40FE1AF5" w14:textId="77777777" w:rsidR="008C20EB" w:rsidRDefault="008D25BE">
            <w:pPr>
              <w:pStyle w:val="TableParagraph"/>
              <w:numPr>
                <w:ilvl w:val="0"/>
                <w:numId w:val="117"/>
              </w:numPr>
              <w:tabs>
                <w:tab w:val="left" w:pos="361"/>
              </w:tabs>
              <w:spacing w:line="261" w:lineRule="exact"/>
              <w:ind w:hanging="289"/>
              <w:jc w:val="both"/>
            </w:pPr>
            <w:r>
              <w:t>Se incorpora en la cuenta 1904 “Gastos Amortizables”, la subcuenta 1904.04 y la</w:t>
            </w:r>
            <w:r>
              <w:rPr>
                <w:spacing w:val="-10"/>
              </w:rPr>
              <w:t xml:space="preserve"> </w:t>
            </w:r>
            <w:r>
              <w:t>cuenta</w:t>
            </w:r>
          </w:p>
        </w:tc>
      </w:tr>
    </w:tbl>
    <w:p w14:paraId="40FE1AF7" w14:textId="77777777" w:rsidR="008C20EB" w:rsidRDefault="008C20EB">
      <w:pPr>
        <w:spacing w:line="261"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AFC" w14:textId="77777777">
        <w:trPr>
          <w:trHeight w:val="254"/>
        </w:trPr>
        <w:tc>
          <w:tcPr>
            <w:tcW w:w="1445" w:type="dxa"/>
            <w:vAlign w:val="bottom"/>
          </w:tcPr>
          <w:p w14:paraId="40FE1AF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AF9" w14:textId="77777777" w:rsidR="008C20EB" w:rsidRDefault="008D25BE">
            <w:pPr>
              <w:pStyle w:val="TableParagraph"/>
              <w:spacing w:line="234" w:lineRule="exact"/>
              <w:ind w:left="556"/>
              <w:jc w:val="both"/>
              <w:rPr>
                <w:b/>
              </w:rPr>
            </w:pPr>
            <w:r>
              <w:rPr>
                <w:b/>
              </w:rPr>
              <w:t>FECHA</w:t>
            </w:r>
          </w:p>
        </w:tc>
        <w:tc>
          <w:tcPr>
            <w:tcW w:w="3500" w:type="dxa"/>
            <w:vAlign w:val="bottom"/>
          </w:tcPr>
          <w:p w14:paraId="40FE1AF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AFB" w14:textId="77777777" w:rsidR="008C20EB" w:rsidRDefault="008D25BE">
            <w:pPr>
              <w:pStyle w:val="TableParagraph"/>
              <w:spacing w:line="234" w:lineRule="exact"/>
              <w:ind w:left="3271" w:right="3265"/>
              <w:jc w:val="both"/>
              <w:rPr>
                <w:b/>
              </w:rPr>
            </w:pPr>
            <w:r>
              <w:rPr>
                <w:b/>
              </w:rPr>
              <w:t>MODIFICATORIAS</w:t>
            </w:r>
          </w:p>
        </w:tc>
      </w:tr>
      <w:tr w:rsidR="008C20EB" w14:paraId="40FE1B15" w14:textId="77777777">
        <w:trPr>
          <w:trHeight w:val="8873"/>
        </w:trPr>
        <w:tc>
          <w:tcPr>
            <w:tcW w:w="1445" w:type="dxa"/>
          </w:tcPr>
          <w:p w14:paraId="40FE1AFD" w14:textId="77777777" w:rsidR="008C20EB" w:rsidRDefault="008C20EB">
            <w:pPr>
              <w:pStyle w:val="TableParagraph"/>
              <w:jc w:val="both"/>
              <w:rPr>
                <w:rFonts w:ascii="Times New Roman"/>
              </w:rPr>
            </w:pPr>
          </w:p>
        </w:tc>
        <w:tc>
          <w:tcPr>
            <w:tcW w:w="1733" w:type="dxa"/>
          </w:tcPr>
          <w:p w14:paraId="40FE1AFE" w14:textId="77777777" w:rsidR="008C20EB" w:rsidRDefault="008C20EB">
            <w:pPr>
              <w:pStyle w:val="TableParagraph"/>
              <w:jc w:val="both"/>
              <w:rPr>
                <w:rFonts w:ascii="Times New Roman"/>
              </w:rPr>
            </w:pPr>
          </w:p>
        </w:tc>
        <w:tc>
          <w:tcPr>
            <w:tcW w:w="3500" w:type="dxa"/>
          </w:tcPr>
          <w:p w14:paraId="40FE1AFF" w14:textId="77777777" w:rsidR="008C20EB" w:rsidRDefault="008C20EB">
            <w:pPr>
              <w:pStyle w:val="TableParagraph"/>
              <w:jc w:val="both"/>
              <w:rPr>
                <w:rFonts w:ascii="Times New Roman"/>
              </w:rPr>
            </w:pPr>
          </w:p>
        </w:tc>
        <w:tc>
          <w:tcPr>
            <w:tcW w:w="8162" w:type="dxa"/>
          </w:tcPr>
          <w:p w14:paraId="40FE1B00" w14:textId="77777777" w:rsidR="008C20EB" w:rsidRDefault="008D25BE">
            <w:pPr>
              <w:pStyle w:val="TableParagraph"/>
              <w:spacing w:line="240" w:lineRule="exact"/>
              <w:ind w:left="360"/>
              <w:jc w:val="both"/>
            </w:pPr>
            <w:r>
              <w:t>analítica 1904.09.04.</w:t>
            </w:r>
          </w:p>
          <w:p w14:paraId="40FE1B01" w14:textId="77777777" w:rsidR="008C20EB" w:rsidRDefault="008D25BE">
            <w:pPr>
              <w:pStyle w:val="TableParagraph"/>
              <w:numPr>
                <w:ilvl w:val="0"/>
                <w:numId w:val="118"/>
              </w:numPr>
              <w:tabs>
                <w:tab w:val="left" w:pos="361"/>
              </w:tabs>
              <w:ind w:right="61"/>
              <w:jc w:val="both"/>
            </w:pPr>
            <w:r>
              <w:t>Se sustituye en la cuenta 1904 “Activos Intangibles y Gastos Amortizables”, las denominaciones de las cuentas analíticas 1904.09.03 y</w:t>
            </w:r>
            <w:r>
              <w:rPr>
                <w:spacing w:val="-11"/>
              </w:rPr>
              <w:t xml:space="preserve"> </w:t>
            </w:r>
            <w:r>
              <w:t>1904.09.07.</w:t>
            </w:r>
          </w:p>
          <w:p w14:paraId="40FE1B02" w14:textId="77777777" w:rsidR="008C20EB" w:rsidRDefault="008D25BE">
            <w:pPr>
              <w:pStyle w:val="TableParagraph"/>
              <w:numPr>
                <w:ilvl w:val="0"/>
                <w:numId w:val="118"/>
              </w:numPr>
              <w:tabs>
                <w:tab w:val="left" w:pos="361"/>
              </w:tabs>
              <w:spacing w:line="267" w:lineRule="exact"/>
              <w:ind w:hanging="289"/>
              <w:jc w:val="both"/>
            </w:pPr>
            <w:r>
              <w:t>Se sustituye la descripción del rubro 22 “Fondos</w:t>
            </w:r>
            <w:r>
              <w:rPr>
                <w:spacing w:val="-17"/>
              </w:rPr>
              <w:t xml:space="preserve"> </w:t>
            </w:r>
            <w:r>
              <w:t>Interbancarios”.</w:t>
            </w:r>
          </w:p>
          <w:p w14:paraId="40FE1B03" w14:textId="77777777" w:rsidR="008C20EB" w:rsidRDefault="008D25BE">
            <w:pPr>
              <w:pStyle w:val="TableParagraph"/>
              <w:numPr>
                <w:ilvl w:val="0"/>
                <w:numId w:val="118"/>
              </w:numPr>
              <w:tabs>
                <w:tab w:val="left" w:pos="361"/>
              </w:tabs>
              <w:spacing w:line="266" w:lineRule="exact"/>
              <w:ind w:hanging="289"/>
              <w:jc w:val="both"/>
            </w:pPr>
            <w:r>
              <w:t>Se modifica la descripción del rubro 27</w:t>
            </w:r>
            <w:r>
              <w:rPr>
                <w:spacing w:val="-15"/>
              </w:rPr>
              <w:t xml:space="preserve"> </w:t>
            </w:r>
            <w:r>
              <w:t>“Provisiones”.</w:t>
            </w:r>
          </w:p>
          <w:p w14:paraId="40FE1B04" w14:textId="77777777" w:rsidR="008C20EB" w:rsidRDefault="008D25BE">
            <w:pPr>
              <w:pStyle w:val="TableParagraph"/>
              <w:numPr>
                <w:ilvl w:val="0"/>
                <w:numId w:val="118"/>
              </w:numPr>
              <w:tabs>
                <w:tab w:val="left" w:pos="361"/>
              </w:tabs>
              <w:spacing w:line="269" w:lineRule="exact"/>
              <w:ind w:hanging="289"/>
              <w:jc w:val="both"/>
            </w:pPr>
            <w:r>
              <w:t>Se</w:t>
            </w:r>
            <w:r>
              <w:rPr>
                <w:spacing w:val="-6"/>
              </w:rPr>
              <w:t xml:space="preserve"> </w:t>
            </w:r>
            <w:r>
              <w:t>sustituye la</w:t>
            </w:r>
            <w:r>
              <w:rPr>
                <w:spacing w:val="-6"/>
              </w:rPr>
              <w:t xml:space="preserve"> </w:t>
            </w:r>
            <w:r>
              <w:t>descripción</w:t>
            </w:r>
            <w:r>
              <w:rPr>
                <w:spacing w:val="-6"/>
              </w:rPr>
              <w:t xml:space="preserve"> </w:t>
            </w:r>
            <w:r>
              <w:t>de</w:t>
            </w:r>
            <w:r>
              <w:rPr>
                <w:spacing w:val="-6"/>
              </w:rPr>
              <w:t xml:space="preserve"> </w:t>
            </w:r>
            <w:r>
              <w:t>la</w:t>
            </w:r>
            <w:r>
              <w:rPr>
                <w:spacing w:val="-5"/>
              </w:rPr>
              <w:t xml:space="preserve"> </w:t>
            </w:r>
            <w:r>
              <w:t>cuenta</w:t>
            </w:r>
            <w:r>
              <w:rPr>
                <w:spacing w:val="-1"/>
              </w:rPr>
              <w:t xml:space="preserve"> </w:t>
            </w:r>
            <w:r>
              <w:t>3602</w:t>
            </w:r>
            <w:r>
              <w:rPr>
                <w:spacing w:val="-2"/>
              </w:rPr>
              <w:t xml:space="preserve"> </w:t>
            </w:r>
            <w:r>
              <w:t>“Revaluaciones</w:t>
            </w:r>
            <w:r>
              <w:rPr>
                <w:spacing w:val="-4"/>
              </w:rPr>
              <w:t xml:space="preserve"> </w:t>
            </w:r>
            <w:r>
              <w:t>especiales</w:t>
            </w:r>
            <w:r>
              <w:rPr>
                <w:spacing w:val="-5"/>
              </w:rPr>
              <w:t xml:space="preserve"> </w:t>
            </w:r>
            <w:r>
              <w:t>autorizadas</w:t>
            </w:r>
            <w:r>
              <w:rPr>
                <w:spacing w:val="-5"/>
              </w:rPr>
              <w:t xml:space="preserve"> </w:t>
            </w:r>
            <w:r>
              <w:t>por</w:t>
            </w:r>
            <w:r>
              <w:rPr>
                <w:spacing w:val="-4"/>
              </w:rPr>
              <w:t xml:space="preserve"> </w:t>
            </w:r>
            <w:r>
              <w:t>SBS”.</w:t>
            </w:r>
          </w:p>
          <w:p w14:paraId="40FE1B05" w14:textId="77777777" w:rsidR="008C20EB" w:rsidRDefault="008D25BE">
            <w:pPr>
              <w:pStyle w:val="TableParagraph"/>
              <w:numPr>
                <w:ilvl w:val="0"/>
                <w:numId w:val="118"/>
              </w:numPr>
              <w:tabs>
                <w:tab w:val="left" w:pos="361"/>
              </w:tabs>
              <w:spacing w:line="269" w:lineRule="exact"/>
              <w:ind w:hanging="289"/>
              <w:jc w:val="both"/>
            </w:pPr>
            <w:r>
              <w:t>Se incorpora la subcuenta 4305.04 “Provisiones para litigios y</w:t>
            </w:r>
            <w:r>
              <w:rPr>
                <w:spacing w:val="-20"/>
              </w:rPr>
              <w:t xml:space="preserve"> </w:t>
            </w:r>
            <w:r>
              <w:t>demandas”.</w:t>
            </w:r>
          </w:p>
          <w:p w14:paraId="40FE1B06" w14:textId="77777777" w:rsidR="008C20EB" w:rsidRDefault="008D25BE">
            <w:pPr>
              <w:pStyle w:val="TableParagraph"/>
              <w:numPr>
                <w:ilvl w:val="0"/>
                <w:numId w:val="118"/>
              </w:numPr>
              <w:tabs>
                <w:tab w:val="left" w:pos="361"/>
              </w:tabs>
              <w:spacing w:before="4" w:line="235" w:lineRule="auto"/>
              <w:ind w:right="62"/>
              <w:jc w:val="both"/>
            </w:pPr>
            <w:r>
              <w:t>Se sustituye la denominación del rubro 44 “Depreciación de Inmuebles, Mobiliario y Equipo y Amortización” por “Depreciación, Amortización y Deterioro” así, como su</w:t>
            </w:r>
            <w:r>
              <w:rPr>
                <w:spacing w:val="15"/>
              </w:rPr>
              <w:t xml:space="preserve"> </w:t>
            </w:r>
            <w:r>
              <w:t>descripción.</w:t>
            </w:r>
          </w:p>
          <w:p w14:paraId="40FE1B07" w14:textId="77777777" w:rsidR="008C20EB" w:rsidRDefault="008D25BE">
            <w:pPr>
              <w:pStyle w:val="TableParagraph"/>
              <w:numPr>
                <w:ilvl w:val="0"/>
                <w:numId w:val="118"/>
              </w:numPr>
              <w:tabs>
                <w:tab w:val="left" w:pos="361"/>
              </w:tabs>
              <w:spacing w:before="7" w:line="235" w:lineRule="auto"/>
              <w:ind w:right="64"/>
              <w:jc w:val="both"/>
            </w:pPr>
            <w:r>
              <w:t>Se sustituye la denominación de la cuenta 4403 “Amortización de Gastos Amortizables” por “Amortización de Intangibles y Gastos Amortizables”. Asimismo se modifica su</w:t>
            </w:r>
            <w:r>
              <w:rPr>
                <w:spacing w:val="-35"/>
              </w:rPr>
              <w:t xml:space="preserve"> </w:t>
            </w:r>
            <w:r>
              <w:t>descripción.</w:t>
            </w:r>
          </w:p>
          <w:p w14:paraId="40FE1B08" w14:textId="77777777" w:rsidR="008C20EB" w:rsidRDefault="008D25BE">
            <w:pPr>
              <w:pStyle w:val="TableParagraph"/>
              <w:numPr>
                <w:ilvl w:val="0"/>
                <w:numId w:val="118"/>
              </w:numPr>
              <w:tabs>
                <w:tab w:val="left" w:pos="361"/>
              </w:tabs>
              <w:spacing w:before="2"/>
              <w:ind w:right="63"/>
              <w:jc w:val="both"/>
            </w:pPr>
            <w:r>
              <w:t>Se incorpora en la cuenta 4403 “Amortización de Intangibles y Gastos Amortizables”, la subcuenta 4403.04 “Amortización de Otros Activos</w:t>
            </w:r>
            <w:r>
              <w:rPr>
                <w:spacing w:val="-9"/>
              </w:rPr>
              <w:t xml:space="preserve"> </w:t>
            </w:r>
            <w:r>
              <w:t>Intangibles”</w:t>
            </w:r>
          </w:p>
          <w:p w14:paraId="40FE1B09" w14:textId="77777777" w:rsidR="008C20EB" w:rsidRDefault="008D25BE">
            <w:pPr>
              <w:pStyle w:val="TableParagraph"/>
              <w:numPr>
                <w:ilvl w:val="0"/>
                <w:numId w:val="118"/>
              </w:numPr>
              <w:tabs>
                <w:tab w:val="left" w:pos="361"/>
              </w:tabs>
              <w:spacing w:before="7" w:line="235" w:lineRule="auto"/>
              <w:ind w:right="62"/>
              <w:jc w:val="both"/>
            </w:pPr>
            <w:r>
              <w:t>Se incorpora la cuenta 4404 “Deterioro de valor de inmuebles, maquinaria y equipo” y sus respectivas subcuentas, desde la 4404.01 hasta la</w:t>
            </w:r>
            <w:r>
              <w:rPr>
                <w:spacing w:val="-20"/>
              </w:rPr>
              <w:t xml:space="preserve"> </w:t>
            </w:r>
            <w:r>
              <w:t>4404.07.</w:t>
            </w:r>
          </w:p>
          <w:p w14:paraId="40FE1B0A" w14:textId="77777777" w:rsidR="008C20EB" w:rsidRDefault="008D25BE">
            <w:pPr>
              <w:pStyle w:val="TableParagraph"/>
              <w:numPr>
                <w:ilvl w:val="0"/>
                <w:numId w:val="118"/>
              </w:numPr>
              <w:tabs>
                <w:tab w:val="left" w:pos="361"/>
              </w:tabs>
              <w:spacing w:before="7" w:line="235" w:lineRule="auto"/>
              <w:ind w:right="60"/>
              <w:jc w:val="both"/>
            </w:pPr>
            <w:r>
              <w:t>Se incorpora la cuenta 4405 “Deterioro de valor de activos intangibles” y sus respectivas subcuentas: 4405.03, 4405.04 y</w:t>
            </w:r>
            <w:r>
              <w:rPr>
                <w:spacing w:val="-16"/>
              </w:rPr>
              <w:t xml:space="preserve"> </w:t>
            </w:r>
            <w:r>
              <w:t>4405.07.</w:t>
            </w:r>
          </w:p>
          <w:p w14:paraId="40FE1B0B" w14:textId="77777777" w:rsidR="008C20EB" w:rsidRDefault="008D25BE">
            <w:pPr>
              <w:pStyle w:val="TableParagraph"/>
              <w:numPr>
                <w:ilvl w:val="0"/>
                <w:numId w:val="118"/>
              </w:numPr>
              <w:tabs>
                <w:tab w:val="left" w:pos="361"/>
              </w:tabs>
              <w:spacing w:before="2" w:line="269" w:lineRule="exact"/>
              <w:ind w:hanging="289"/>
              <w:jc w:val="both"/>
            </w:pPr>
            <w:r>
              <w:t>Se sustituye la dinámica contable aplicable a las cuentas 4401, 4403, 4404 y</w:t>
            </w:r>
            <w:r>
              <w:rPr>
                <w:spacing w:val="-33"/>
              </w:rPr>
              <w:t xml:space="preserve"> </w:t>
            </w:r>
            <w:r>
              <w:t>4405.</w:t>
            </w:r>
          </w:p>
          <w:p w14:paraId="40FE1B0C" w14:textId="77777777" w:rsidR="008C20EB" w:rsidRDefault="008D25BE">
            <w:pPr>
              <w:pStyle w:val="TableParagraph"/>
              <w:numPr>
                <w:ilvl w:val="0"/>
                <w:numId w:val="118"/>
              </w:numPr>
              <w:tabs>
                <w:tab w:val="left" w:pos="361"/>
              </w:tabs>
              <w:spacing w:before="2" w:line="237" w:lineRule="auto"/>
              <w:ind w:right="62"/>
              <w:jc w:val="both"/>
            </w:pPr>
            <w:r>
              <w:t>Se sustituye la denominación del rubro 53 “Reversión de pérdidas por deterioro” por “Reversión de Pérdidas por Deterioro y Recuperación de Deterioro en Inmuebles, Mobiliario y Equipo, e Intangibles”. Asimismo se sustituye su</w:t>
            </w:r>
            <w:r>
              <w:rPr>
                <w:spacing w:val="-9"/>
              </w:rPr>
              <w:t xml:space="preserve"> </w:t>
            </w:r>
            <w:r>
              <w:t>descripción.</w:t>
            </w:r>
          </w:p>
          <w:p w14:paraId="40FE1B0D" w14:textId="77777777" w:rsidR="008C20EB" w:rsidRDefault="008D25BE">
            <w:pPr>
              <w:pStyle w:val="TableParagraph"/>
              <w:numPr>
                <w:ilvl w:val="0"/>
                <w:numId w:val="118"/>
              </w:numPr>
              <w:tabs>
                <w:tab w:val="left" w:pos="361"/>
              </w:tabs>
              <w:spacing w:before="4"/>
              <w:ind w:right="60"/>
              <w:jc w:val="both"/>
            </w:pPr>
            <w:r>
              <w:t>Se incorpora la cuenta 5302 “Recuperación de Deterioro en Inmuebles, Mobiliario y Equipo” y sus respectivas subcuentas desde la 5302.01 hasta la 5302.07. Asimismo se incorpora su descripción.</w:t>
            </w:r>
          </w:p>
          <w:p w14:paraId="40FE1B0E" w14:textId="77777777" w:rsidR="008C20EB" w:rsidRDefault="008D25BE">
            <w:pPr>
              <w:pStyle w:val="TableParagraph"/>
              <w:numPr>
                <w:ilvl w:val="0"/>
                <w:numId w:val="118"/>
              </w:numPr>
              <w:tabs>
                <w:tab w:val="left" w:pos="361"/>
              </w:tabs>
              <w:spacing w:before="3" w:line="235" w:lineRule="auto"/>
              <w:ind w:right="64"/>
              <w:jc w:val="both"/>
            </w:pPr>
            <w:r>
              <w:t>Se incorpora la cuenta 5303 “Recuperación de Deterioro de Activos Intangibles” y sus respectivas subcuentas: 5303.03 y 5303.04. Asimismo se incorpora su</w:t>
            </w:r>
            <w:r>
              <w:rPr>
                <w:spacing w:val="-32"/>
              </w:rPr>
              <w:t xml:space="preserve"> </w:t>
            </w:r>
            <w:r>
              <w:t>descripción.</w:t>
            </w:r>
          </w:p>
          <w:p w14:paraId="40FE1B0F" w14:textId="77777777" w:rsidR="008C20EB" w:rsidRDefault="008D25BE">
            <w:pPr>
              <w:pStyle w:val="TableParagraph"/>
              <w:numPr>
                <w:ilvl w:val="0"/>
                <w:numId w:val="118"/>
              </w:numPr>
              <w:tabs>
                <w:tab w:val="left" w:pos="361"/>
              </w:tabs>
              <w:spacing w:before="3" w:line="269" w:lineRule="exact"/>
              <w:ind w:hanging="289"/>
              <w:jc w:val="both"/>
            </w:pPr>
            <w:r>
              <w:t xml:space="preserve">Se modifica la descripción del rubro 68 </w:t>
            </w:r>
            <w:r>
              <w:rPr>
                <w:spacing w:val="-3"/>
              </w:rPr>
              <w:t xml:space="preserve">“Impuesto </w:t>
            </w:r>
            <w:r>
              <w:t>a la</w:t>
            </w:r>
            <w:r>
              <w:rPr>
                <w:spacing w:val="-9"/>
              </w:rPr>
              <w:t xml:space="preserve"> </w:t>
            </w:r>
            <w:r>
              <w:t>renta”.</w:t>
            </w:r>
          </w:p>
          <w:p w14:paraId="40FE1B10" w14:textId="77777777" w:rsidR="008C20EB" w:rsidRDefault="008D25BE">
            <w:pPr>
              <w:pStyle w:val="TableParagraph"/>
              <w:numPr>
                <w:ilvl w:val="0"/>
                <w:numId w:val="118"/>
              </w:numPr>
              <w:tabs>
                <w:tab w:val="left" w:pos="361"/>
              </w:tabs>
              <w:spacing w:line="266" w:lineRule="exact"/>
              <w:ind w:hanging="289"/>
              <w:jc w:val="both"/>
            </w:pPr>
            <w:r>
              <w:t>Se sustituye la denominación de las cuenta 7109 y 7209 por “Responsabilidades</w:t>
            </w:r>
            <w:r>
              <w:rPr>
                <w:spacing w:val="-36"/>
              </w:rPr>
              <w:t xml:space="preserve"> </w:t>
            </w:r>
            <w:r>
              <w:t>Diversas“.</w:t>
            </w:r>
          </w:p>
          <w:p w14:paraId="40FE1B11" w14:textId="77777777" w:rsidR="008C20EB" w:rsidRDefault="008D25BE">
            <w:pPr>
              <w:pStyle w:val="TableParagraph"/>
              <w:numPr>
                <w:ilvl w:val="0"/>
                <w:numId w:val="118"/>
              </w:numPr>
              <w:tabs>
                <w:tab w:val="left" w:pos="361"/>
              </w:tabs>
              <w:spacing w:line="266" w:lineRule="exact"/>
              <w:ind w:hanging="289"/>
              <w:jc w:val="both"/>
            </w:pPr>
            <w:r>
              <w:t>Se elimina la subcuenta 7209.01 “Litigios y demandas</w:t>
            </w:r>
            <w:r>
              <w:rPr>
                <w:spacing w:val="-15"/>
              </w:rPr>
              <w:t xml:space="preserve"> </w:t>
            </w:r>
            <w:r>
              <w:t>pendientes”.</w:t>
            </w:r>
          </w:p>
          <w:p w14:paraId="40FE1B12" w14:textId="77777777" w:rsidR="008C20EB" w:rsidRDefault="008D25BE">
            <w:pPr>
              <w:pStyle w:val="TableParagraph"/>
              <w:numPr>
                <w:ilvl w:val="0"/>
                <w:numId w:val="118"/>
              </w:numPr>
              <w:tabs>
                <w:tab w:val="left" w:pos="361"/>
              </w:tabs>
              <w:spacing w:line="269" w:lineRule="exact"/>
              <w:ind w:hanging="289"/>
              <w:jc w:val="both"/>
            </w:pPr>
            <w:r>
              <w:t>Se</w:t>
            </w:r>
            <w:r>
              <w:rPr>
                <w:spacing w:val="-6"/>
              </w:rPr>
              <w:t xml:space="preserve"> </w:t>
            </w:r>
            <w:r>
              <w:t>sustituye la</w:t>
            </w:r>
            <w:r>
              <w:rPr>
                <w:spacing w:val="-6"/>
              </w:rPr>
              <w:t xml:space="preserve"> </w:t>
            </w:r>
            <w:r>
              <w:t>denominación</w:t>
            </w:r>
            <w:r>
              <w:rPr>
                <w:spacing w:val="-6"/>
              </w:rPr>
              <w:t xml:space="preserve"> </w:t>
            </w:r>
            <w:r>
              <w:t>de</w:t>
            </w:r>
            <w:r>
              <w:rPr>
                <w:spacing w:val="-1"/>
              </w:rPr>
              <w:t xml:space="preserve"> </w:t>
            </w:r>
            <w:r>
              <w:t>la</w:t>
            </w:r>
            <w:r>
              <w:rPr>
                <w:spacing w:val="-6"/>
              </w:rPr>
              <w:t xml:space="preserve"> </w:t>
            </w:r>
            <w:r>
              <w:t>cuenta</w:t>
            </w:r>
            <w:r>
              <w:rPr>
                <w:spacing w:val="-1"/>
              </w:rPr>
              <w:t xml:space="preserve"> </w:t>
            </w:r>
            <w:r>
              <w:t>analítica</w:t>
            </w:r>
            <w:r>
              <w:rPr>
                <w:spacing w:val="-5"/>
              </w:rPr>
              <w:t xml:space="preserve"> </w:t>
            </w:r>
            <w:r>
              <w:t>7209.02.09</w:t>
            </w:r>
            <w:r>
              <w:rPr>
                <w:spacing w:val="-6"/>
              </w:rPr>
              <w:t xml:space="preserve"> </w:t>
            </w:r>
            <w:r>
              <w:t>por</w:t>
            </w:r>
            <w:r>
              <w:rPr>
                <w:spacing w:val="1"/>
              </w:rPr>
              <w:t xml:space="preserve"> </w:t>
            </w:r>
            <w:r>
              <w:rPr>
                <w:spacing w:val="-2"/>
              </w:rPr>
              <w:t>“Otras</w:t>
            </w:r>
            <w:r>
              <w:rPr>
                <w:spacing w:val="-5"/>
              </w:rPr>
              <w:t xml:space="preserve"> </w:t>
            </w:r>
            <w:r>
              <w:t>Responsabilidades”.</w:t>
            </w:r>
          </w:p>
          <w:p w14:paraId="40FE1B13" w14:textId="77777777" w:rsidR="008C20EB" w:rsidRDefault="008D25BE">
            <w:pPr>
              <w:pStyle w:val="TableParagraph"/>
              <w:numPr>
                <w:ilvl w:val="0"/>
                <w:numId w:val="118"/>
              </w:numPr>
              <w:tabs>
                <w:tab w:val="left" w:pos="361"/>
              </w:tabs>
              <w:ind w:right="55"/>
              <w:jc w:val="both"/>
            </w:pPr>
            <w:r>
              <w:t>Se elimina del Anexo 16 “Cuadro de Liquidez por Plazos de Vencimiento” la sección referida a Préstamos,</w:t>
            </w:r>
            <w:r>
              <w:rPr>
                <w:spacing w:val="4"/>
              </w:rPr>
              <w:t xml:space="preserve"> </w:t>
            </w:r>
            <w:r>
              <w:t>contingentes</w:t>
            </w:r>
            <w:r>
              <w:rPr>
                <w:spacing w:val="7"/>
              </w:rPr>
              <w:t xml:space="preserve"> </w:t>
            </w:r>
            <w:r>
              <w:t>y</w:t>
            </w:r>
            <w:r>
              <w:rPr>
                <w:spacing w:val="12"/>
              </w:rPr>
              <w:t xml:space="preserve"> </w:t>
            </w:r>
            <w:r>
              <w:t>operaciones</w:t>
            </w:r>
            <w:r>
              <w:rPr>
                <w:spacing w:val="8"/>
              </w:rPr>
              <w:t xml:space="preserve"> </w:t>
            </w:r>
            <w:r>
              <w:t>de</w:t>
            </w:r>
            <w:r>
              <w:rPr>
                <w:spacing w:val="7"/>
              </w:rPr>
              <w:t xml:space="preserve"> </w:t>
            </w:r>
            <w:r>
              <w:t>arrendamiento</w:t>
            </w:r>
            <w:r>
              <w:rPr>
                <w:spacing w:val="7"/>
              </w:rPr>
              <w:t xml:space="preserve"> </w:t>
            </w:r>
            <w:r>
              <w:t>financiero</w:t>
            </w:r>
            <w:r>
              <w:rPr>
                <w:spacing w:val="8"/>
              </w:rPr>
              <w:t xml:space="preserve"> </w:t>
            </w:r>
            <w:r>
              <w:t>a</w:t>
            </w:r>
            <w:r>
              <w:rPr>
                <w:spacing w:val="7"/>
              </w:rPr>
              <w:t xml:space="preserve"> </w:t>
            </w:r>
            <w:r>
              <w:t>plazo</w:t>
            </w:r>
            <w:r>
              <w:rPr>
                <w:spacing w:val="7"/>
              </w:rPr>
              <w:t xml:space="preserve"> </w:t>
            </w:r>
            <w:r>
              <w:t>mayor</w:t>
            </w:r>
            <w:r>
              <w:rPr>
                <w:spacing w:val="8"/>
              </w:rPr>
              <w:t xml:space="preserve"> </w:t>
            </w:r>
            <w:r>
              <w:t>de</w:t>
            </w:r>
            <w:r>
              <w:rPr>
                <w:spacing w:val="8"/>
              </w:rPr>
              <w:t xml:space="preserve"> </w:t>
            </w:r>
            <w:r>
              <w:t>1</w:t>
            </w:r>
          </w:p>
          <w:p w14:paraId="40FE1B14" w14:textId="77777777" w:rsidR="008C20EB" w:rsidRDefault="008D25BE">
            <w:pPr>
              <w:pStyle w:val="TableParagraph"/>
              <w:spacing w:line="254" w:lineRule="exact"/>
              <w:ind w:left="360" w:right="207"/>
              <w:jc w:val="both"/>
            </w:pPr>
            <w:r>
              <w:t>año/Patrimonio Efectivo (VI); Depósitos y bonos a más de 18 meses/Patrimonio Efectivo (VII); Brecha de Mediano Plazo (VI-VII); y, las notas 13/ y 14/ del referido Anexo. Asimismo se</w:t>
            </w:r>
          </w:p>
        </w:tc>
      </w:tr>
    </w:tbl>
    <w:p w14:paraId="40FE1B16" w14:textId="77777777" w:rsidR="008C20EB" w:rsidRDefault="008C20EB">
      <w:pPr>
        <w:spacing w:line="254"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1B" w14:textId="77777777">
        <w:trPr>
          <w:trHeight w:val="254"/>
        </w:trPr>
        <w:tc>
          <w:tcPr>
            <w:tcW w:w="1445" w:type="dxa"/>
            <w:vAlign w:val="bottom"/>
          </w:tcPr>
          <w:p w14:paraId="40FE1B17"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18" w14:textId="77777777" w:rsidR="008C20EB" w:rsidRDefault="008D25BE">
            <w:pPr>
              <w:pStyle w:val="TableParagraph"/>
              <w:spacing w:line="234" w:lineRule="exact"/>
              <w:ind w:left="556"/>
              <w:jc w:val="both"/>
              <w:rPr>
                <w:b/>
              </w:rPr>
            </w:pPr>
            <w:r>
              <w:rPr>
                <w:b/>
              </w:rPr>
              <w:t>FECHA</w:t>
            </w:r>
          </w:p>
        </w:tc>
        <w:tc>
          <w:tcPr>
            <w:tcW w:w="3500" w:type="dxa"/>
            <w:vAlign w:val="bottom"/>
          </w:tcPr>
          <w:p w14:paraId="40FE1B19"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1A" w14:textId="77777777" w:rsidR="008C20EB" w:rsidRDefault="008D25BE">
            <w:pPr>
              <w:pStyle w:val="TableParagraph"/>
              <w:spacing w:line="234" w:lineRule="exact"/>
              <w:ind w:left="3271" w:right="3265"/>
              <w:jc w:val="both"/>
              <w:rPr>
                <w:b/>
              </w:rPr>
            </w:pPr>
            <w:r>
              <w:rPr>
                <w:b/>
              </w:rPr>
              <w:t>MODIFICATORIAS</w:t>
            </w:r>
          </w:p>
        </w:tc>
      </w:tr>
      <w:tr w:rsidR="008C20EB" w14:paraId="40FE1B20" w14:textId="77777777">
        <w:trPr>
          <w:trHeight w:val="359"/>
        </w:trPr>
        <w:tc>
          <w:tcPr>
            <w:tcW w:w="1445" w:type="dxa"/>
          </w:tcPr>
          <w:p w14:paraId="40FE1B1C" w14:textId="77777777" w:rsidR="008C20EB" w:rsidRDefault="008C20EB">
            <w:pPr>
              <w:pStyle w:val="TableParagraph"/>
              <w:jc w:val="both"/>
              <w:rPr>
                <w:rFonts w:ascii="Times New Roman"/>
              </w:rPr>
            </w:pPr>
          </w:p>
        </w:tc>
        <w:tc>
          <w:tcPr>
            <w:tcW w:w="1733" w:type="dxa"/>
          </w:tcPr>
          <w:p w14:paraId="40FE1B1D" w14:textId="77777777" w:rsidR="008C20EB" w:rsidRDefault="008C20EB">
            <w:pPr>
              <w:pStyle w:val="TableParagraph"/>
              <w:jc w:val="both"/>
              <w:rPr>
                <w:rFonts w:ascii="Times New Roman"/>
              </w:rPr>
            </w:pPr>
          </w:p>
        </w:tc>
        <w:tc>
          <w:tcPr>
            <w:tcW w:w="3500" w:type="dxa"/>
          </w:tcPr>
          <w:p w14:paraId="40FE1B1E" w14:textId="77777777" w:rsidR="008C20EB" w:rsidRDefault="008C20EB">
            <w:pPr>
              <w:pStyle w:val="TableParagraph"/>
              <w:jc w:val="both"/>
              <w:rPr>
                <w:rFonts w:ascii="Times New Roman"/>
              </w:rPr>
            </w:pPr>
          </w:p>
        </w:tc>
        <w:tc>
          <w:tcPr>
            <w:tcW w:w="8162" w:type="dxa"/>
          </w:tcPr>
          <w:p w14:paraId="40FE1B1F" w14:textId="77777777" w:rsidR="008C20EB" w:rsidRDefault="008D25BE">
            <w:pPr>
              <w:pStyle w:val="TableParagraph"/>
              <w:spacing w:line="242" w:lineRule="exact"/>
              <w:ind w:left="360"/>
              <w:jc w:val="both"/>
            </w:pPr>
            <w:r>
              <w:t>sustituye la nota 15/ por la nota 13/.</w:t>
            </w:r>
          </w:p>
        </w:tc>
      </w:tr>
      <w:tr w:rsidR="008C20EB" w14:paraId="40FE1B28" w14:textId="77777777">
        <w:trPr>
          <w:trHeight w:val="2271"/>
        </w:trPr>
        <w:tc>
          <w:tcPr>
            <w:tcW w:w="1445" w:type="dxa"/>
          </w:tcPr>
          <w:p w14:paraId="40FE1B21" w14:textId="77777777" w:rsidR="008C20EB" w:rsidRDefault="008D25BE">
            <w:pPr>
              <w:pStyle w:val="TableParagraph"/>
              <w:spacing w:line="237" w:lineRule="auto"/>
              <w:ind w:left="71" w:right="42"/>
              <w:jc w:val="both"/>
              <w:rPr>
                <w:b/>
              </w:rPr>
            </w:pPr>
            <w:r>
              <w:rPr>
                <w:b/>
              </w:rPr>
              <w:t>Resolución SBS Nº 562-</w:t>
            </w:r>
          </w:p>
          <w:p w14:paraId="40FE1B22" w14:textId="77777777" w:rsidR="008C20EB" w:rsidRDefault="008D25BE">
            <w:pPr>
              <w:pStyle w:val="TableParagraph"/>
              <w:ind w:left="71"/>
              <w:jc w:val="both"/>
              <w:rPr>
                <w:b/>
              </w:rPr>
            </w:pPr>
            <w:r>
              <w:rPr>
                <w:b/>
              </w:rPr>
              <w:t>2010</w:t>
            </w:r>
          </w:p>
        </w:tc>
        <w:tc>
          <w:tcPr>
            <w:tcW w:w="1733" w:type="dxa"/>
          </w:tcPr>
          <w:p w14:paraId="40FE1B23" w14:textId="77777777" w:rsidR="008C20EB" w:rsidRDefault="008D25BE">
            <w:pPr>
              <w:pStyle w:val="TableParagraph"/>
              <w:tabs>
                <w:tab w:val="left" w:pos="1606"/>
              </w:tabs>
              <w:spacing w:line="241" w:lineRule="exact"/>
              <w:jc w:val="both"/>
              <w:rPr>
                <w:b/>
              </w:rPr>
            </w:pPr>
            <w:r>
              <w:rPr>
                <w:b/>
              </w:rPr>
              <w:t xml:space="preserve">(Pr.  </w:t>
            </w:r>
            <w:r>
              <w:rPr>
                <w:b/>
                <w:spacing w:val="44"/>
              </w:rPr>
              <w:t xml:space="preserve"> </w:t>
            </w:r>
            <w:r>
              <w:rPr>
                <w:b/>
              </w:rPr>
              <w:t>19.01.2010</w:t>
            </w:r>
            <w:r>
              <w:rPr>
                <w:b/>
              </w:rPr>
              <w:tab/>
              <w:t>/</w:t>
            </w:r>
          </w:p>
          <w:p w14:paraId="40FE1B24" w14:textId="77777777" w:rsidR="008C20EB" w:rsidRDefault="008D25BE">
            <w:pPr>
              <w:pStyle w:val="TableParagraph"/>
              <w:spacing w:line="251" w:lineRule="exact"/>
              <w:jc w:val="both"/>
              <w:rPr>
                <w:b/>
              </w:rPr>
            </w:pPr>
            <w:r>
              <w:rPr>
                <w:b/>
              </w:rPr>
              <w:t>Pub. 22.01.2010)</w:t>
            </w:r>
          </w:p>
        </w:tc>
        <w:tc>
          <w:tcPr>
            <w:tcW w:w="3500" w:type="dxa"/>
          </w:tcPr>
          <w:p w14:paraId="40FE1B25" w14:textId="77777777" w:rsidR="008C20EB" w:rsidRDefault="008D25BE">
            <w:pPr>
              <w:pStyle w:val="TableParagraph"/>
              <w:ind w:left="177" w:right="56"/>
              <w:jc w:val="both"/>
            </w:pPr>
            <w:r>
              <w:t>Se sustituye el artículo 9° “Información  a la Superintendencia” del Reglamento para el Requerimiento de Patrimonio Efectivo por Riesgo de Mercado aprobado por la Resolución SBS N° 6328-2009. Vigente a partir de la información correspondiente al mes de enero de</w:t>
            </w:r>
            <w:r>
              <w:rPr>
                <w:spacing w:val="-7"/>
              </w:rPr>
              <w:t xml:space="preserve"> </w:t>
            </w:r>
            <w:r>
              <w:t>2010.</w:t>
            </w:r>
          </w:p>
        </w:tc>
        <w:tc>
          <w:tcPr>
            <w:tcW w:w="8162" w:type="dxa"/>
          </w:tcPr>
          <w:p w14:paraId="40FE1B26" w14:textId="77777777" w:rsidR="008C20EB" w:rsidRDefault="008D25BE">
            <w:pPr>
              <w:pStyle w:val="TableParagraph"/>
              <w:numPr>
                <w:ilvl w:val="0"/>
                <w:numId w:val="119"/>
              </w:numPr>
              <w:tabs>
                <w:tab w:val="left" w:pos="433"/>
              </w:tabs>
              <w:ind w:right="62"/>
              <w:jc w:val="both"/>
            </w:pPr>
            <w:r>
              <w:t>Se sustituye el artículo 9° “Información a la Superintendencia” del Reglamento para el Requerimiento de Patrimonio Efectivo por Riesgo de Mercado, referido al plazo de presentación del siguiente</w:t>
            </w:r>
            <w:r>
              <w:rPr>
                <w:spacing w:val="-11"/>
              </w:rPr>
              <w:t xml:space="preserve"> </w:t>
            </w:r>
            <w:r>
              <w:t>reporte:</w:t>
            </w:r>
          </w:p>
          <w:p w14:paraId="40FE1B27" w14:textId="77777777" w:rsidR="008C20EB" w:rsidRDefault="008D25BE">
            <w:pPr>
              <w:pStyle w:val="TableParagraph"/>
              <w:ind w:left="1358" w:right="60" w:hanging="360"/>
              <w:jc w:val="both"/>
            </w:pPr>
            <w:r>
              <w:t>- El Reporte N° 2-B1 Anexo 3 “Método Estándar- Requerimiento  de  Patrimonio Efectivo por Riesgo Cambiario”: Deberá ser presentado en un plazo que no exceda de</w:t>
            </w:r>
            <w:r>
              <w:rPr>
                <w:spacing w:val="-4"/>
              </w:rPr>
              <w:t xml:space="preserve"> </w:t>
            </w:r>
            <w:r>
              <w:t>15</w:t>
            </w:r>
            <w:r>
              <w:rPr>
                <w:spacing w:val="-4"/>
              </w:rPr>
              <w:t xml:space="preserve"> </w:t>
            </w:r>
            <w:r>
              <w:t>días</w:t>
            </w:r>
            <w:r>
              <w:rPr>
                <w:spacing w:val="-3"/>
              </w:rPr>
              <w:t xml:space="preserve"> </w:t>
            </w:r>
            <w:r>
              <w:t>calendario</w:t>
            </w:r>
            <w:r>
              <w:rPr>
                <w:spacing w:val="-4"/>
              </w:rPr>
              <w:t xml:space="preserve"> </w:t>
            </w:r>
            <w:r>
              <w:t>de</w:t>
            </w:r>
            <w:r>
              <w:rPr>
                <w:spacing w:val="-4"/>
              </w:rPr>
              <w:t xml:space="preserve"> </w:t>
            </w:r>
            <w:r>
              <w:t>concluido</w:t>
            </w:r>
            <w:r>
              <w:rPr>
                <w:spacing w:val="-4"/>
              </w:rPr>
              <w:t xml:space="preserve"> </w:t>
            </w:r>
            <w:r>
              <w:t>el</w:t>
            </w:r>
            <w:r>
              <w:rPr>
                <w:spacing w:val="-5"/>
              </w:rPr>
              <w:t xml:space="preserve"> </w:t>
            </w:r>
            <w:r>
              <w:t>mes</w:t>
            </w:r>
            <w:r>
              <w:rPr>
                <w:spacing w:val="-3"/>
              </w:rPr>
              <w:t xml:space="preserve"> </w:t>
            </w:r>
            <w:r>
              <w:t>a</w:t>
            </w:r>
            <w:r>
              <w:rPr>
                <w:spacing w:val="1"/>
              </w:rPr>
              <w:t xml:space="preserve"> </w:t>
            </w:r>
            <w:r>
              <w:t>que</w:t>
            </w:r>
            <w:r>
              <w:rPr>
                <w:spacing w:val="-3"/>
              </w:rPr>
              <w:t xml:space="preserve"> </w:t>
            </w:r>
            <w:r>
              <w:t>corresponde</w:t>
            </w:r>
            <w:r>
              <w:rPr>
                <w:spacing w:val="-4"/>
              </w:rPr>
              <w:t xml:space="preserve"> </w:t>
            </w:r>
            <w:r>
              <w:t>la</w:t>
            </w:r>
            <w:r>
              <w:rPr>
                <w:spacing w:val="-4"/>
              </w:rPr>
              <w:t xml:space="preserve"> </w:t>
            </w:r>
            <w:r>
              <w:t>información.</w:t>
            </w:r>
          </w:p>
        </w:tc>
      </w:tr>
      <w:tr w:rsidR="008C20EB" w14:paraId="40FE1B2F" w14:textId="77777777">
        <w:trPr>
          <w:trHeight w:val="1771"/>
        </w:trPr>
        <w:tc>
          <w:tcPr>
            <w:tcW w:w="1445" w:type="dxa"/>
          </w:tcPr>
          <w:p w14:paraId="40FE1B29" w14:textId="77777777" w:rsidR="008C20EB" w:rsidRDefault="008D25BE">
            <w:pPr>
              <w:pStyle w:val="TableParagraph"/>
              <w:spacing w:line="242" w:lineRule="auto"/>
              <w:ind w:left="71" w:right="115"/>
              <w:jc w:val="both"/>
              <w:rPr>
                <w:b/>
              </w:rPr>
            </w:pPr>
            <w:r>
              <w:rPr>
                <w:b/>
              </w:rPr>
              <w:t>Resolución SBS Nº 9-2010</w:t>
            </w:r>
          </w:p>
        </w:tc>
        <w:tc>
          <w:tcPr>
            <w:tcW w:w="1733" w:type="dxa"/>
          </w:tcPr>
          <w:p w14:paraId="40FE1B2A"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07.01.2010</w:t>
            </w:r>
            <w:r>
              <w:rPr>
                <w:b/>
              </w:rPr>
              <w:tab/>
              <w:t>/</w:t>
            </w:r>
          </w:p>
          <w:p w14:paraId="40FE1B2B" w14:textId="77777777" w:rsidR="008C20EB" w:rsidRDefault="008D25BE">
            <w:pPr>
              <w:pStyle w:val="TableParagraph"/>
              <w:spacing w:before="2"/>
              <w:jc w:val="both"/>
              <w:rPr>
                <w:b/>
              </w:rPr>
            </w:pPr>
            <w:r>
              <w:rPr>
                <w:b/>
              </w:rPr>
              <w:t>Pub. 11.01.2010)</w:t>
            </w:r>
          </w:p>
        </w:tc>
        <w:tc>
          <w:tcPr>
            <w:tcW w:w="3500" w:type="dxa"/>
          </w:tcPr>
          <w:p w14:paraId="40FE1B2C" w14:textId="77777777" w:rsidR="008C20EB" w:rsidRDefault="008D25BE">
            <w:pPr>
              <w:pStyle w:val="TableParagraph"/>
              <w:ind w:left="177" w:right="58"/>
              <w:jc w:val="both"/>
            </w:pPr>
            <w:r>
              <w:t>Se incorpora en el Capítulo V del Manual de Contabilidad para las Empresas del Sistema Financiero, el Reporte Nº 31 “Detalle de Fideicomisos por Contrato”. Vigente a partir</w:t>
            </w:r>
            <w:r>
              <w:rPr>
                <w:spacing w:val="-4"/>
              </w:rPr>
              <w:t xml:space="preserve"> </w:t>
            </w:r>
            <w:r>
              <w:t>de la</w:t>
            </w:r>
          </w:p>
          <w:p w14:paraId="40FE1B2D" w14:textId="77777777" w:rsidR="008C20EB" w:rsidRDefault="008D25BE">
            <w:pPr>
              <w:pStyle w:val="TableParagraph"/>
              <w:spacing w:line="254" w:lineRule="exact"/>
              <w:ind w:left="177" w:right="58"/>
              <w:jc w:val="both"/>
            </w:pPr>
            <w:r>
              <w:t>información correspondiente al segundo trimestre de 2010</w:t>
            </w:r>
          </w:p>
        </w:tc>
        <w:tc>
          <w:tcPr>
            <w:tcW w:w="8162" w:type="dxa"/>
          </w:tcPr>
          <w:p w14:paraId="40FE1B2E" w14:textId="77777777" w:rsidR="008C20EB" w:rsidRDefault="008D25BE">
            <w:pPr>
              <w:pStyle w:val="TableParagraph"/>
              <w:numPr>
                <w:ilvl w:val="0"/>
                <w:numId w:val="120"/>
              </w:numPr>
              <w:tabs>
                <w:tab w:val="left" w:pos="361"/>
              </w:tabs>
              <w:ind w:right="60"/>
              <w:jc w:val="both"/>
            </w:pPr>
            <w:r>
              <w:t>Se incorpora en el Capítulo V del Manual de Contabilidad para las Empresas del Sistema Financiero, el Reporte Nº 31 denominado  “Detalle de  Fideicomisos por Contrato” aplicable a las empresas de servicios fiduciarios y a COFIDE. Reportado a través de</w:t>
            </w:r>
            <w:r>
              <w:rPr>
                <w:spacing w:val="-35"/>
              </w:rPr>
              <w:t xml:space="preserve"> </w:t>
            </w:r>
            <w:r>
              <w:t>SUCAVE.</w:t>
            </w:r>
          </w:p>
        </w:tc>
      </w:tr>
      <w:tr w:rsidR="008C20EB" w14:paraId="40FE1B38" w14:textId="77777777">
        <w:trPr>
          <w:trHeight w:val="1766"/>
        </w:trPr>
        <w:tc>
          <w:tcPr>
            <w:tcW w:w="1445" w:type="dxa"/>
          </w:tcPr>
          <w:p w14:paraId="40FE1B30" w14:textId="77777777" w:rsidR="008C20EB" w:rsidRDefault="008D25BE">
            <w:pPr>
              <w:pStyle w:val="TableParagraph"/>
              <w:tabs>
                <w:tab w:val="left" w:pos="1002"/>
              </w:tabs>
              <w:spacing w:line="237" w:lineRule="exact"/>
              <w:ind w:left="71"/>
              <w:jc w:val="both"/>
              <w:rPr>
                <w:b/>
              </w:rPr>
            </w:pPr>
            <w:r>
              <w:rPr>
                <w:b/>
              </w:rPr>
              <w:t>Circular</w:t>
            </w:r>
            <w:r>
              <w:rPr>
                <w:b/>
              </w:rPr>
              <w:tab/>
              <w:t>SBS</w:t>
            </w:r>
          </w:p>
          <w:p w14:paraId="40FE1B31" w14:textId="77777777" w:rsidR="008C20EB" w:rsidRDefault="008D25BE">
            <w:pPr>
              <w:pStyle w:val="TableParagraph"/>
              <w:spacing w:before="2"/>
              <w:ind w:left="71"/>
              <w:jc w:val="both"/>
              <w:rPr>
                <w:b/>
              </w:rPr>
            </w:pPr>
            <w:r>
              <w:rPr>
                <w:b/>
              </w:rPr>
              <w:t>N° G-146-2009</w:t>
            </w:r>
          </w:p>
        </w:tc>
        <w:tc>
          <w:tcPr>
            <w:tcW w:w="1733" w:type="dxa"/>
          </w:tcPr>
          <w:p w14:paraId="40FE1B32" w14:textId="77777777" w:rsidR="008C20EB" w:rsidRDefault="008D25BE">
            <w:pPr>
              <w:pStyle w:val="TableParagraph"/>
              <w:tabs>
                <w:tab w:val="left" w:pos="1607"/>
              </w:tabs>
              <w:spacing w:line="237" w:lineRule="exact"/>
              <w:jc w:val="both"/>
              <w:rPr>
                <w:b/>
              </w:rPr>
            </w:pPr>
            <w:r>
              <w:rPr>
                <w:b/>
              </w:rPr>
              <w:t xml:space="preserve">(Pr.  </w:t>
            </w:r>
            <w:r>
              <w:rPr>
                <w:b/>
                <w:spacing w:val="45"/>
              </w:rPr>
              <w:t xml:space="preserve"> </w:t>
            </w:r>
            <w:r>
              <w:rPr>
                <w:b/>
              </w:rPr>
              <w:t>30.12.2009</w:t>
            </w:r>
            <w:r>
              <w:rPr>
                <w:b/>
              </w:rPr>
              <w:tab/>
              <w:t>/</w:t>
            </w:r>
          </w:p>
          <w:p w14:paraId="40FE1B33" w14:textId="77777777" w:rsidR="008C20EB" w:rsidRDefault="008D25BE">
            <w:pPr>
              <w:pStyle w:val="TableParagraph"/>
              <w:spacing w:before="2"/>
              <w:jc w:val="both"/>
              <w:rPr>
                <w:b/>
              </w:rPr>
            </w:pPr>
            <w:r>
              <w:rPr>
                <w:b/>
              </w:rPr>
              <w:t>Pub. 03.01.2010)</w:t>
            </w:r>
          </w:p>
        </w:tc>
        <w:tc>
          <w:tcPr>
            <w:tcW w:w="3500" w:type="dxa"/>
          </w:tcPr>
          <w:p w14:paraId="40FE1B34" w14:textId="77777777" w:rsidR="008C20EB" w:rsidRDefault="008D25BE">
            <w:pPr>
              <w:pStyle w:val="TableParagraph"/>
              <w:spacing w:line="237" w:lineRule="exact"/>
              <w:ind w:left="134"/>
              <w:jc w:val="both"/>
            </w:pPr>
            <w:r>
              <w:t xml:space="preserve">Se     modifica     el     Reporte     N° </w:t>
            </w:r>
            <w:r>
              <w:rPr>
                <w:spacing w:val="6"/>
              </w:rPr>
              <w:t xml:space="preserve"> </w:t>
            </w:r>
            <w:r>
              <w:t>24</w:t>
            </w:r>
          </w:p>
          <w:p w14:paraId="40FE1B35" w14:textId="77777777" w:rsidR="008C20EB" w:rsidRDefault="008D25BE">
            <w:pPr>
              <w:pStyle w:val="TableParagraph"/>
              <w:spacing w:before="2"/>
              <w:ind w:left="134" w:right="126"/>
              <w:jc w:val="both"/>
            </w:pPr>
            <w:r>
              <w:t>“Información de Reclamos Recibidos de los Usuarios” y el Reporte N° 24-B “Detalle de Otras Operaciones – Servicios o Productos y Otros Motivos de  Reclamo”  vigentes  a   partir   de  la</w:t>
            </w:r>
          </w:p>
          <w:p w14:paraId="40FE1B36" w14:textId="77777777" w:rsidR="008C20EB" w:rsidRDefault="008D25BE">
            <w:pPr>
              <w:pStyle w:val="TableParagraph"/>
              <w:spacing w:line="245" w:lineRule="exact"/>
              <w:ind w:left="134"/>
              <w:jc w:val="both"/>
            </w:pPr>
            <w:r>
              <w:t>información de junio 2010.</w:t>
            </w:r>
          </w:p>
        </w:tc>
        <w:tc>
          <w:tcPr>
            <w:tcW w:w="8162" w:type="dxa"/>
          </w:tcPr>
          <w:p w14:paraId="40FE1B37" w14:textId="77777777" w:rsidR="008C20EB" w:rsidRDefault="008D25BE">
            <w:pPr>
              <w:pStyle w:val="TableParagraph"/>
              <w:numPr>
                <w:ilvl w:val="0"/>
                <w:numId w:val="121"/>
              </w:numPr>
              <w:tabs>
                <w:tab w:val="left" w:pos="361"/>
              </w:tabs>
              <w:spacing w:line="254" w:lineRule="exact"/>
              <w:ind w:hanging="289"/>
              <w:jc w:val="both"/>
            </w:pPr>
            <w:r>
              <w:t>Se</w:t>
            </w:r>
            <w:r>
              <w:rPr>
                <w:spacing w:val="-4"/>
              </w:rPr>
              <w:t xml:space="preserve"> </w:t>
            </w:r>
            <w:r>
              <w:t>modifica</w:t>
            </w:r>
            <w:r>
              <w:rPr>
                <w:spacing w:val="-4"/>
              </w:rPr>
              <w:t xml:space="preserve"> </w:t>
            </w:r>
            <w:r>
              <w:t>en</w:t>
            </w:r>
            <w:r>
              <w:rPr>
                <w:spacing w:val="-3"/>
              </w:rPr>
              <w:t xml:space="preserve"> </w:t>
            </w:r>
            <w:r>
              <w:t>el</w:t>
            </w:r>
            <w:r>
              <w:rPr>
                <w:spacing w:val="-1"/>
              </w:rPr>
              <w:t xml:space="preserve"> </w:t>
            </w:r>
            <w:r>
              <w:t>Capítulo</w:t>
            </w:r>
            <w:r>
              <w:rPr>
                <w:spacing w:val="-3"/>
              </w:rPr>
              <w:t xml:space="preserve"> </w:t>
            </w:r>
            <w:r>
              <w:t>V del</w:t>
            </w:r>
            <w:r>
              <w:rPr>
                <w:spacing w:val="-1"/>
              </w:rPr>
              <w:t xml:space="preserve"> </w:t>
            </w:r>
            <w:r>
              <w:t>Manual</w:t>
            </w:r>
            <w:r>
              <w:rPr>
                <w:spacing w:val="-4"/>
              </w:rPr>
              <w:t xml:space="preserve"> </w:t>
            </w:r>
            <w:r>
              <w:t>de</w:t>
            </w:r>
            <w:r>
              <w:rPr>
                <w:spacing w:val="-4"/>
              </w:rPr>
              <w:t xml:space="preserve"> </w:t>
            </w:r>
            <w:r>
              <w:t>Contabilidad</w:t>
            </w:r>
            <w:r>
              <w:rPr>
                <w:spacing w:val="2"/>
              </w:rPr>
              <w:t xml:space="preserve"> </w:t>
            </w:r>
            <w:r>
              <w:t>los</w:t>
            </w:r>
            <w:r>
              <w:rPr>
                <w:spacing w:val="2"/>
              </w:rPr>
              <w:t xml:space="preserve"> </w:t>
            </w:r>
            <w:r>
              <w:t>Reportes</w:t>
            </w:r>
            <w:r>
              <w:rPr>
                <w:spacing w:val="-3"/>
              </w:rPr>
              <w:t xml:space="preserve"> </w:t>
            </w:r>
            <w:r>
              <w:t>N°</w:t>
            </w:r>
            <w:r>
              <w:rPr>
                <w:spacing w:val="-5"/>
              </w:rPr>
              <w:t xml:space="preserve"> </w:t>
            </w:r>
            <w:r>
              <w:t>24</w:t>
            </w:r>
            <w:r>
              <w:rPr>
                <w:spacing w:val="-4"/>
              </w:rPr>
              <w:t xml:space="preserve"> </w:t>
            </w:r>
            <w:r>
              <w:t>y</w:t>
            </w:r>
            <w:r>
              <w:rPr>
                <w:spacing w:val="-2"/>
              </w:rPr>
              <w:t xml:space="preserve"> </w:t>
            </w:r>
            <w:r>
              <w:t>N°</w:t>
            </w:r>
            <w:r>
              <w:rPr>
                <w:spacing w:val="-6"/>
              </w:rPr>
              <w:t xml:space="preserve"> </w:t>
            </w:r>
            <w:r>
              <w:t>24-B</w:t>
            </w:r>
          </w:p>
        </w:tc>
      </w:tr>
      <w:tr w:rsidR="008C20EB" w14:paraId="40FE1B40" w14:textId="77777777">
        <w:trPr>
          <w:trHeight w:val="1008"/>
        </w:trPr>
        <w:tc>
          <w:tcPr>
            <w:tcW w:w="1445" w:type="dxa"/>
          </w:tcPr>
          <w:p w14:paraId="40FE1B39" w14:textId="77777777" w:rsidR="008C20EB" w:rsidRDefault="008D25BE">
            <w:pPr>
              <w:pStyle w:val="TableParagraph"/>
              <w:spacing w:line="237" w:lineRule="auto"/>
              <w:ind w:left="71" w:right="42"/>
              <w:jc w:val="both"/>
              <w:rPr>
                <w:b/>
              </w:rPr>
            </w:pPr>
            <w:r>
              <w:rPr>
                <w:b/>
              </w:rPr>
              <w:t>Resolución SBS Nº 16053-</w:t>
            </w:r>
          </w:p>
          <w:p w14:paraId="40FE1B3A" w14:textId="77777777" w:rsidR="008C20EB" w:rsidRDefault="008D25BE">
            <w:pPr>
              <w:pStyle w:val="TableParagraph"/>
              <w:ind w:left="71"/>
              <w:jc w:val="both"/>
              <w:rPr>
                <w:b/>
              </w:rPr>
            </w:pPr>
            <w:r>
              <w:rPr>
                <w:b/>
              </w:rPr>
              <w:t>2009</w:t>
            </w:r>
          </w:p>
        </w:tc>
        <w:tc>
          <w:tcPr>
            <w:tcW w:w="1733" w:type="dxa"/>
          </w:tcPr>
          <w:p w14:paraId="40FE1B3B"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29.12.2009</w:t>
            </w:r>
            <w:r>
              <w:rPr>
                <w:b/>
              </w:rPr>
              <w:tab/>
              <w:t>/</w:t>
            </w:r>
          </w:p>
          <w:p w14:paraId="40FE1B3C" w14:textId="77777777" w:rsidR="008C20EB" w:rsidRDefault="008D25BE">
            <w:pPr>
              <w:pStyle w:val="TableParagraph"/>
              <w:spacing w:line="251" w:lineRule="exact"/>
              <w:jc w:val="both"/>
              <w:rPr>
                <w:b/>
              </w:rPr>
            </w:pPr>
            <w:r>
              <w:rPr>
                <w:b/>
              </w:rPr>
              <w:t>Pub. 31.12.2009)</w:t>
            </w:r>
          </w:p>
        </w:tc>
        <w:tc>
          <w:tcPr>
            <w:tcW w:w="3500" w:type="dxa"/>
          </w:tcPr>
          <w:p w14:paraId="40FE1B3D" w14:textId="77777777" w:rsidR="008C20EB" w:rsidRDefault="008D25BE">
            <w:pPr>
              <w:pStyle w:val="TableParagraph"/>
              <w:ind w:left="177" w:right="63"/>
              <w:jc w:val="both"/>
            </w:pPr>
            <w:r>
              <w:t>Se modifica el Capítulo V del Manual de Contabilidad, vigente a partir de la información correspondiente a enero de</w:t>
            </w:r>
          </w:p>
          <w:p w14:paraId="40FE1B3E" w14:textId="77777777" w:rsidR="008C20EB" w:rsidRDefault="008D25BE">
            <w:pPr>
              <w:pStyle w:val="TableParagraph"/>
              <w:spacing w:line="242" w:lineRule="exact"/>
              <w:ind w:left="177"/>
              <w:jc w:val="both"/>
            </w:pPr>
            <w:r>
              <w:t>2010</w:t>
            </w:r>
          </w:p>
        </w:tc>
        <w:tc>
          <w:tcPr>
            <w:tcW w:w="8162" w:type="dxa"/>
          </w:tcPr>
          <w:p w14:paraId="40FE1B3F" w14:textId="77777777" w:rsidR="008C20EB" w:rsidRDefault="008D25BE">
            <w:pPr>
              <w:pStyle w:val="TableParagraph"/>
              <w:numPr>
                <w:ilvl w:val="0"/>
                <w:numId w:val="122"/>
              </w:numPr>
              <w:tabs>
                <w:tab w:val="left" w:pos="361"/>
              </w:tabs>
              <w:spacing w:line="235" w:lineRule="auto"/>
              <w:ind w:right="61"/>
              <w:jc w:val="both"/>
            </w:pPr>
            <w:r>
              <w:t>Se modifica las notas metodológicas del Anexo N° 17-A “Control de imposiciones cubiertas por el Fondo de Seguro de</w:t>
            </w:r>
            <w:r>
              <w:rPr>
                <w:spacing w:val="-18"/>
              </w:rPr>
              <w:t xml:space="preserve"> </w:t>
            </w:r>
            <w:r>
              <w:t>Depósitos”</w:t>
            </w:r>
          </w:p>
        </w:tc>
      </w:tr>
      <w:tr w:rsidR="008C20EB" w14:paraId="40FE1B4B" w14:textId="77777777">
        <w:trPr>
          <w:trHeight w:val="1771"/>
        </w:trPr>
        <w:tc>
          <w:tcPr>
            <w:tcW w:w="1445" w:type="dxa"/>
          </w:tcPr>
          <w:p w14:paraId="40FE1B41" w14:textId="77777777" w:rsidR="008C20EB" w:rsidRDefault="008D25BE">
            <w:pPr>
              <w:pStyle w:val="TableParagraph"/>
              <w:spacing w:line="242" w:lineRule="auto"/>
              <w:ind w:left="71" w:right="42"/>
              <w:jc w:val="both"/>
              <w:rPr>
                <w:b/>
              </w:rPr>
            </w:pPr>
            <w:r>
              <w:rPr>
                <w:b/>
              </w:rPr>
              <w:t>Resolución SBS Nº 14354-</w:t>
            </w:r>
          </w:p>
          <w:p w14:paraId="40FE1B42" w14:textId="77777777" w:rsidR="008C20EB" w:rsidRDefault="008D25BE">
            <w:pPr>
              <w:pStyle w:val="TableParagraph"/>
              <w:spacing w:line="247" w:lineRule="exact"/>
              <w:ind w:left="71"/>
              <w:jc w:val="both"/>
              <w:rPr>
                <w:b/>
              </w:rPr>
            </w:pPr>
            <w:r>
              <w:rPr>
                <w:b/>
              </w:rPr>
              <w:t>2009</w:t>
            </w:r>
          </w:p>
        </w:tc>
        <w:tc>
          <w:tcPr>
            <w:tcW w:w="1733" w:type="dxa"/>
          </w:tcPr>
          <w:p w14:paraId="40FE1B43"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30.10.2009</w:t>
            </w:r>
            <w:r>
              <w:rPr>
                <w:b/>
              </w:rPr>
              <w:tab/>
              <w:t>/</w:t>
            </w:r>
          </w:p>
          <w:p w14:paraId="40FE1B44" w14:textId="77777777" w:rsidR="008C20EB" w:rsidRDefault="008D25BE">
            <w:pPr>
              <w:pStyle w:val="TableParagraph"/>
              <w:spacing w:before="2"/>
              <w:jc w:val="both"/>
              <w:rPr>
                <w:b/>
              </w:rPr>
            </w:pPr>
            <w:r>
              <w:rPr>
                <w:b/>
              </w:rPr>
              <w:t>Pub. 04.11.2009)</w:t>
            </w:r>
          </w:p>
        </w:tc>
        <w:tc>
          <w:tcPr>
            <w:tcW w:w="3500" w:type="dxa"/>
          </w:tcPr>
          <w:p w14:paraId="40FE1B45" w14:textId="77777777" w:rsidR="008C20EB" w:rsidRDefault="008D25BE">
            <w:pPr>
              <w:pStyle w:val="TableParagraph"/>
              <w:ind w:left="177" w:right="61"/>
              <w:jc w:val="both"/>
            </w:pPr>
            <w:r>
              <w:t>Se aprueba el Reglamento para el Requerimiento de Patrimonio Efectivo por Riesgo de Crédito que entrará en vigencia del día siguiente de su publicación, otorgándose para su cumplimiento un plazo de adecuación</w:t>
            </w:r>
          </w:p>
          <w:p w14:paraId="40FE1B46" w14:textId="77777777" w:rsidR="008C20EB" w:rsidRDefault="008D25BE">
            <w:pPr>
              <w:pStyle w:val="TableParagraph"/>
              <w:spacing w:line="245" w:lineRule="exact"/>
              <w:ind w:left="177"/>
              <w:jc w:val="both"/>
            </w:pPr>
            <w:r>
              <w:t>hasta el 30 de junio de 2010.</w:t>
            </w:r>
          </w:p>
        </w:tc>
        <w:tc>
          <w:tcPr>
            <w:tcW w:w="8162" w:type="dxa"/>
          </w:tcPr>
          <w:p w14:paraId="40FE1B47" w14:textId="77777777" w:rsidR="008C20EB" w:rsidRDefault="008D25BE">
            <w:pPr>
              <w:pStyle w:val="TableParagraph"/>
              <w:numPr>
                <w:ilvl w:val="0"/>
                <w:numId w:val="123"/>
              </w:numPr>
              <w:tabs>
                <w:tab w:val="left" w:pos="361"/>
              </w:tabs>
              <w:ind w:right="58"/>
              <w:jc w:val="both"/>
            </w:pPr>
            <w:r>
              <w:t>Se elimina la cuenta 8106 “Calificación de Activos y Contingentes y Ponderación por Riesgo Crediticio”, así como sus subcuentas y cuentas</w:t>
            </w:r>
            <w:r>
              <w:rPr>
                <w:spacing w:val="-20"/>
              </w:rPr>
              <w:t xml:space="preserve"> </w:t>
            </w:r>
            <w:r>
              <w:t>analíticas.</w:t>
            </w:r>
          </w:p>
          <w:p w14:paraId="40FE1B48" w14:textId="77777777" w:rsidR="008C20EB" w:rsidRDefault="008D25BE">
            <w:pPr>
              <w:pStyle w:val="TableParagraph"/>
              <w:numPr>
                <w:ilvl w:val="0"/>
                <w:numId w:val="123"/>
              </w:numPr>
              <w:tabs>
                <w:tab w:val="left" w:pos="361"/>
              </w:tabs>
              <w:spacing w:line="266" w:lineRule="exact"/>
              <w:ind w:hanging="289"/>
              <w:jc w:val="both"/>
            </w:pPr>
            <w:r>
              <w:t>Se</w:t>
            </w:r>
            <w:r>
              <w:rPr>
                <w:spacing w:val="-6"/>
              </w:rPr>
              <w:t xml:space="preserve"> </w:t>
            </w:r>
            <w:r>
              <w:t>elimina</w:t>
            </w:r>
            <w:r>
              <w:rPr>
                <w:spacing w:val="-5"/>
              </w:rPr>
              <w:t xml:space="preserve"> </w:t>
            </w:r>
            <w:r>
              <w:t>el</w:t>
            </w:r>
            <w:r>
              <w:rPr>
                <w:spacing w:val="-2"/>
              </w:rPr>
              <w:t xml:space="preserve"> </w:t>
            </w:r>
            <w:r>
              <w:t>Reporte</w:t>
            </w:r>
            <w:r>
              <w:rPr>
                <w:spacing w:val="-5"/>
              </w:rPr>
              <w:t xml:space="preserve"> </w:t>
            </w:r>
            <w:r>
              <w:t>Nº</w:t>
            </w:r>
            <w:r>
              <w:rPr>
                <w:spacing w:val="-4"/>
              </w:rPr>
              <w:t xml:space="preserve"> </w:t>
            </w:r>
            <w:r>
              <w:t>2</w:t>
            </w:r>
            <w:r>
              <w:rPr>
                <w:spacing w:val="-5"/>
              </w:rPr>
              <w:t xml:space="preserve"> </w:t>
            </w:r>
            <w:r>
              <w:t>(Anexo</w:t>
            </w:r>
            <w:r>
              <w:rPr>
                <w:spacing w:val="-6"/>
              </w:rPr>
              <w:t xml:space="preserve"> </w:t>
            </w:r>
            <w:r>
              <w:t>A)</w:t>
            </w:r>
            <w:r>
              <w:rPr>
                <w:spacing w:val="2"/>
              </w:rPr>
              <w:t xml:space="preserve"> </w:t>
            </w:r>
            <w:r>
              <w:t>“Activos</w:t>
            </w:r>
            <w:r>
              <w:rPr>
                <w:spacing w:val="-4"/>
              </w:rPr>
              <w:t xml:space="preserve"> </w:t>
            </w:r>
            <w:r>
              <w:t>y</w:t>
            </w:r>
            <w:r>
              <w:rPr>
                <w:spacing w:val="-4"/>
              </w:rPr>
              <w:t xml:space="preserve"> </w:t>
            </w:r>
            <w:r>
              <w:t>Créditos Contingentes</w:t>
            </w:r>
            <w:r>
              <w:rPr>
                <w:spacing w:val="-4"/>
              </w:rPr>
              <w:t xml:space="preserve"> </w:t>
            </w:r>
            <w:r>
              <w:t>Ponderados</w:t>
            </w:r>
            <w:r>
              <w:rPr>
                <w:spacing w:val="-4"/>
              </w:rPr>
              <w:t xml:space="preserve"> </w:t>
            </w:r>
            <w:r>
              <w:t>por</w:t>
            </w:r>
            <w:r>
              <w:rPr>
                <w:spacing w:val="-3"/>
              </w:rPr>
              <w:t xml:space="preserve"> </w:t>
            </w:r>
            <w:r>
              <w:t>Riesgo”.</w:t>
            </w:r>
          </w:p>
          <w:p w14:paraId="40FE1B49" w14:textId="77777777" w:rsidR="008C20EB" w:rsidRDefault="008D25BE">
            <w:pPr>
              <w:pStyle w:val="TableParagraph"/>
              <w:numPr>
                <w:ilvl w:val="0"/>
                <w:numId w:val="123"/>
              </w:numPr>
              <w:tabs>
                <w:tab w:val="left" w:pos="361"/>
              </w:tabs>
              <w:spacing w:line="269" w:lineRule="exact"/>
              <w:ind w:hanging="289"/>
              <w:jc w:val="both"/>
            </w:pPr>
            <w:r>
              <w:t>Se incorpora los siguientes</w:t>
            </w:r>
            <w:r>
              <w:rPr>
                <w:spacing w:val="-11"/>
              </w:rPr>
              <w:t xml:space="preserve"> </w:t>
            </w:r>
            <w:r>
              <w:t>reportes:</w:t>
            </w:r>
          </w:p>
          <w:p w14:paraId="40FE1B4A" w14:textId="77777777" w:rsidR="008C20EB" w:rsidRDefault="008D25BE">
            <w:pPr>
              <w:pStyle w:val="TableParagraph"/>
              <w:tabs>
                <w:tab w:val="left" w:pos="1512"/>
              </w:tabs>
              <w:spacing w:line="237" w:lineRule="auto"/>
              <w:ind w:left="1512" w:right="207" w:hanging="361"/>
              <w:jc w:val="both"/>
            </w:pPr>
            <w:r>
              <w:t>-</w:t>
            </w:r>
            <w:r>
              <w:tab/>
              <w:t>Reporte Nº 2-A1 “Activos y Contingentes Ponderados por Riesgo de Crédito – Método</w:t>
            </w:r>
            <w:r>
              <w:rPr>
                <w:spacing w:val="-3"/>
              </w:rPr>
              <w:t xml:space="preserve"> </w:t>
            </w:r>
            <w:r>
              <w:t>Estándar”.</w:t>
            </w:r>
          </w:p>
        </w:tc>
      </w:tr>
    </w:tbl>
    <w:p w14:paraId="40FE1B4C" w14:textId="77777777" w:rsidR="008C20EB" w:rsidRDefault="008C20EB">
      <w:pPr>
        <w:spacing w:line="237"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51" w14:textId="77777777">
        <w:trPr>
          <w:trHeight w:val="254"/>
        </w:trPr>
        <w:tc>
          <w:tcPr>
            <w:tcW w:w="1445" w:type="dxa"/>
            <w:vAlign w:val="bottom"/>
          </w:tcPr>
          <w:p w14:paraId="40FE1B4D"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4E" w14:textId="77777777" w:rsidR="008C20EB" w:rsidRDefault="008D25BE">
            <w:pPr>
              <w:pStyle w:val="TableParagraph"/>
              <w:spacing w:line="234" w:lineRule="exact"/>
              <w:ind w:left="556"/>
              <w:jc w:val="both"/>
              <w:rPr>
                <w:b/>
              </w:rPr>
            </w:pPr>
            <w:r>
              <w:rPr>
                <w:b/>
              </w:rPr>
              <w:t>FECHA</w:t>
            </w:r>
          </w:p>
        </w:tc>
        <w:tc>
          <w:tcPr>
            <w:tcW w:w="3500" w:type="dxa"/>
            <w:vAlign w:val="bottom"/>
          </w:tcPr>
          <w:p w14:paraId="40FE1B4F"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50" w14:textId="77777777" w:rsidR="008C20EB" w:rsidRDefault="008D25BE">
            <w:pPr>
              <w:pStyle w:val="TableParagraph"/>
              <w:spacing w:line="234" w:lineRule="exact"/>
              <w:ind w:left="3271" w:right="3265"/>
              <w:jc w:val="both"/>
              <w:rPr>
                <w:b/>
              </w:rPr>
            </w:pPr>
            <w:r>
              <w:rPr>
                <w:b/>
              </w:rPr>
              <w:t>MODIFICATORIAS</w:t>
            </w:r>
          </w:p>
        </w:tc>
      </w:tr>
      <w:tr w:rsidR="008C20EB" w14:paraId="40FE1B59" w14:textId="77777777">
        <w:trPr>
          <w:trHeight w:val="2050"/>
        </w:trPr>
        <w:tc>
          <w:tcPr>
            <w:tcW w:w="1445" w:type="dxa"/>
          </w:tcPr>
          <w:p w14:paraId="40FE1B52" w14:textId="77777777" w:rsidR="008C20EB" w:rsidRDefault="008C20EB">
            <w:pPr>
              <w:pStyle w:val="TableParagraph"/>
              <w:jc w:val="both"/>
              <w:rPr>
                <w:rFonts w:ascii="Times New Roman"/>
              </w:rPr>
            </w:pPr>
          </w:p>
        </w:tc>
        <w:tc>
          <w:tcPr>
            <w:tcW w:w="1733" w:type="dxa"/>
          </w:tcPr>
          <w:p w14:paraId="40FE1B53" w14:textId="77777777" w:rsidR="008C20EB" w:rsidRDefault="008C20EB">
            <w:pPr>
              <w:pStyle w:val="TableParagraph"/>
              <w:jc w:val="both"/>
              <w:rPr>
                <w:rFonts w:ascii="Times New Roman"/>
              </w:rPr>
            </w:pPr>
          </w:p>
        </w:tc>
        <w:tc>
          <w:tcPr>
            <w:tcW w:w="3500" w:type="dxa"/>
          </w:tcPr>
          <w:p w14:paraId="40FE1B54" w14:textId="77777777" w:rsidR="008C20EB" w:rsidRDefault="008D25BE">
            <w:pPr>
              <w:pStyle w:val="TableParagraph"/>
              <w:ind w:left="67" w:right="65"/>
              <w:jc w:val="both"/>
            </w:pPr>
            <w:r>
              <w:t>Se modifica el Capítulo III, IV y V del Manual de Contabilidad para las empresas del sistema financiero, las cuales entrarán en vigencia a partir de la información correspondiente al mes de Julio de 2010.</w:t>
            </w:r>
          </w:p>
        </w:tc>
        <w:tc>
          <w:tcPr>
            <w:tcW w:w="8162" w:type="dxa"/>
          </w:tcPr>
          <w:p w14:paraId="40FE1B55" w14:textId="77777777" w:rsidR="008C20EB" w:rsidRDefault="008D25BE">
            <w:pPr>
              <w:pStyle w:val="TableParagraph"/>
              <w:tabs>
                <w:tab w:val="left" w:pos="1512"/>
              </w:tabs>
              <w:spacing w:line="237" w:lineRule="auto"/>
              <w:ind w:left="1512" w:right="207" w:hanging="361"/>
              <w:jc w:val="both"/>
            </w:pPr>
            <w:r>
              <w:t>-</w:t>
            </w:r>
            <w:r>
              <w:tab/>
            </w:r>
            <w:r>
              <w:t>Reporte N° 2-A2 “Activos y Contingentes Ponderados por Riesgo de Crédito – Métodos Basados en Calificaciones</w:t>
            </w:r>
            <w:r>
              <w:rPr>
                <w:spacing w:val="-11"/>
              </w:rPr>
              <w:t xml:space="preserve"> </w:t>
            </w:r>
            <w:r>
              <w:t>Internas”.</w:t>
            </w:r>
          </w:p>
          <w:p w14:paraId="40FE1B56" w14:textId="77777777" w:rsidR="008C20EB" w:rsidRDefault="008D25BE">
            <w:pPr>
              <w:pStyle w:val="TableParagraph"/>
              <w:spacing w:line="237" w:lineRule="auto"/>
              <w:ind w:left="432"/>
              <w:jc w:val="both"/>
            </w:pPr>
            <w:r>
              <w:t>Dichos reportes deberán ser remitidos mensualmente por medio del Submódulo de Captura y Validación Externa SUCAVE.</w:t>
            </w:r>
          </w:p>
          <w:p w14:paraId="40FE1B57" w14:textId="77777777" w:rsidR="008C20EB" w:rsidRDefault="008D25BE">
            <w:pPr>
              <w:pStyle w:val="TableParagraph"/>
              <w:numPr>
                <w:ilvl w:val="0"/>
                <w:numId w:val="124"/>
              </w:numPr>
              <w:tabs>
                <w:tab w:val="left" w:pos="433"/>
              </w:tabs>
              <w:spacing w:line="237" w:lineRule="auto"/>
              <w:ind w:right="53"/>
              <w:jc w:val="both"/>
            </w:pPr>
            <w:r>
              <w:t>Se sustituye el Reporte Nº 2-D “Requerimientos de Patrimonio Efectivo por Riesgos de Crédito, Mercado y Operacional y Cálculo del Límite Global a que se refiere el primer párrafo del artículo 199° y la Vigésima Cuarta Disposición Transitoria de la Ley</w:t>
            </w:r>
            <w:r>
              <w:rPr>
                <w:spacing w:val="-31"/>
              </w:rPr>
              <w:t xml:space="preserve"> </w:t>
            </w:r>
            <w:r>
              <w:t>General”.</w:t>
            </w:r>
          </w:p>
          <w:p w14:paraId="40FE1B58" w14:textId="77777777" w:rsidR="008C20EB" w:rsidRDefault="008D25BE">
            <w:pPr>
              <w:pStyle w:val="TableParagraph"/>
              <w:numPr>
                <w:ilvl w:val="0"/>
                <w:numId w:val="124"/>
              </w:numPr>
              <w:tabs>
                <w:tab w:val="left" w:pos="433"/>
              </w:tabs>
              <w:spacing w:before="4" w:line="260" w:lineRule="exact"/>
              <w:ind w:hanging="361"/>
              <w:jc w:val="both"/>
            </w:pPr>
            <w:r>
              <w:t>Se modifica el Reporte Nº 3 “Patrimonio</w:t>
            </w:r>
            <w:r>
              <w:rPr>
                <w:spacing w:val="-10"/>
              </w:rPr>
              <w:t xml:space="preserve"> </w:t>
            </w:r>
            <w:r>
              <w:t>Efectivo”.</w:t>
            </w:r>
          </w:p>
        </w:tc>
      </w:tr>
      <w:tr w:rsidR="008C20EB" w14:paraId="40FE1B6F" w14:textId="77777777">
        <w:trPr>
          <w:trHeight w:val="5809"/>
        </w:trPr>
        <w:tc>
          <w:tcPr>
            <w:tcW w:w="1445" w:type="dxa"/>
          </w:tcPr>
          <w:p w14:paraId="40FE1B5A" w14:textId="77777777" w:rsidR="008C20EB" w:rsidRDefault="008D25BE">
            <w:pPr>
              <w:pStyle w:val="TableParagraph"/>
              <w:spacing w:line="237" w:lineRule="auto"/>
              <w:ind w:left="71" w:right="42"/>
              <w:jc w:val="both"/>
              <w:rPr>
                <w:b/>
              </w:rPr>
            </w:pPr>
            <w:r>
              <w:rPr>
                <w:b/>
              </w:rPr>
              <w:t>Resolución SBS Nº 14353-</w:t>
            </w:r>
          </w:p>
          <w:p w14:paraId="40FE1B5B" w14:textId="77777777" w:rsidR="008C20EB" w:rsidRDefault="008D25BE">
            <w:pPr>
              <w:pStyle w:val="TableParagraph"/>
              <w:ind w:left="71"/>
              <w:jc w:val="both"/>
              <w:rPr>
                <w:b/>
              </w:rPr>
            </w:pPr>
            <w:r>
              <w:rPr>
                <w:b/>
              </w:rPr>
              <w:t>2009</w:t>
            </w:r>
          </w:p>
        </w:tc>
        <w:tc>
          <w:tcPr>
            <w:tcW w:w="1733" w:type="dxa"/>
          </w:tcPr>
          <w:p w14:paraId="40FE1B5C"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30.10.2009</w:t>
            </w:r>
            <w:r>
              <w:rPr>
                <w:b/>
              </w:rPr>
              <w:tab/>
              <w:t>/</w:t>
            </w:r>
          </w:p>
          <w:p w14:paraId="40FE1B5D" w14:textId="77777777" w:rsidR="008C20EB" w:rsidRDefault="008D25BE">
            <w:pPr>
              <w:pStyle w:val="TableParagraph"/>
              <w:spacing w:line="251" w:lineRule="exact"/>
              <w:jc w:val="both"/>
              <w:rPr>
                <w:b/>
              </w:rPr>
            </w:pPr>
            <w:r>
              <w:rPr>
                <w:b/>
              </w:rPr>
              <w:t>Pub. 04.11.2009)</w:t>
            </w:r>
          </w:p>
        </w:tc>
        <w:tc>
          <w:tcPr>
            <w:tcW w:w="3500" w:type="dxa"/>
          </w:tcPr>
          <w:p w14:paraId="40FE1B5E" w14:textId="77777777" w:rsidR="008C20EB" w:rsidRDefault="008D25BE">
            <w:pPr>
              <w:pStyle w:val="TableParagraph"/>
              <w:ind w:left="177" w:right="56"/>
              <w:jc w:val="both"/>
            </w:pPr>
            <w:r>
              <w:t>Se modifica el Reglamento para la Evaluación y Clasificación del Deudor y la Exigencia de Provisiones así como su fecha de entrada en vigencia la cual será a partir del 1 de Julio de</w:t>
            </w:r>
            <w:r>
              <w:rPr>
                <w:spacing w:val="-26"/>
              </w:rPr>
              <w:t xml:space="preserve"> </w:t>
            </w:r>
            <w:r>
              <w:t>2010.</w:t>
            </w:r>
          </w:p>
          <w:p w14:paraId="40FE1B5F" w14:textId="77777777" w:rsidR="008C20EB" w:rsidRDefault="008C20EB">
            <w:pPr>
              <w:pStyle w:val="TableParagraph"/>
              <w:spacing w:before="9"/>
              <w:jc w:val="both"/>
              <w:rPr>
                <w:rFonts w:ascii="Arial"/>
                <w:b/>
                <w:sz w:val="20"/>
              </w:rPr>
            </w:pPr>
          </w:p>
          <w:p w14:paraId="40FE1B60" w14:textId="77777777" w:rsidR="008C20EB" w:rsidRDefault="008D25BE">
            <w:pPr>
              <w:pStyle w:val="TableParagraph"/>
              <w:ind w:left="177" w:right="56"/>
              <w:jc w:val="both"/>
            </w:pPr>
            <w:r>
              <w:t>Se modifica la entrada en vigencia del Anexo B de la Resolución SBS Nº 11356-2008 y demás normas cuyas modificaciones al Manual de Contabilidad para las empresas del sistema financiero entrarán en vigencia a partir de la información correspondiente al mes de Julio de 2010.</w:t>
            </w:r>
          </w:p>
          <w:p w14:paraId="40FE1B61" w14:textId="77777777" w:rsidR="008C20EB" w:rsidRDefault="008C20EB">
            <w:pPr>
              <w:pStyle w:val="TableParagraph"/>
              <w:spacing w:before="1"/>
              <w:jc w:val="both"/>
              <w:rPr>
                <w:rFonts w:ascii="Arial"/>
                <w:b/>
              </w:rPr>
            </w:pPr>
          </w:p>
          <w:p w14:paraId="40FE1B62" w14:textId="77777777" w:rsidR="008C20EB" w:rsidRDefault="008D25BE">
            <w:pPr>
              <w:pStyle w:val="TableParagraph"/>
              <w:ind w:left="177" w:right="67"/>
              <w:jc w:val="both"/>
            </w:pPr>
            <w:r>
              <w:t>Se modifica el Capítulo III, IV y V del Manual de Contabilidad para las empresas del sistema financiero, las cuales entrarán en vigencia a partir de la información correspondiente al mes de Julio de</w:t>
            </w:r>
            <w:r>
              <w:rPr>
                <w:spacing w:val="-10"/>
              </w:rPr>
              <w:t xml:space="preserve"> </w:t>
            </w:r>
            <w:r>
              <w:t>2010.</w:t>
            </w:r>
          </w:p>
        </w:tc>
        <w:tc>
          <w:tcPr>
            <w:tcW w:w="8162" w:type="dxa"/>
          </w:tcPr>
          <w:p w14:paraId="40FE1B63" w14:textId="77777777" w:rsidR="008C20EB" w:rsidRDefault="008D25BE">
            <w:pPr>
              <w:pStyle w:val="TableParagraph"/>
              <w:numPr>
                <w:ilvl w:val="0"/>
                <w:numId w:val="125"/>
              </w:numPr>
              <w:tabs>
                <w:tab w:val="left" w:pos="433"/>
              </w:tabs>
              <w:spacing w:line="237" w:lineRule="auto"/>
              <w:ind w:right="62"/>
              <w:jc w:val="both"/>
            </w:pPr>
            <w:r>
              <w:t>Se modifican los Capítulos III y IV del Manual de Contabilidad a efectos de adecuar las cuentas y descripciones a las modificaciones realizadas al Reglamento para la Evaluación y Clasificación del Deudor y la Exigencia de</w:t>
            </w:r>
            <w:r>
              <w:rPr>
                <w:spacing w:val="-17"/>
              </w:rPr>
              <w:t xml:space="preserve"> </w:t>
            </w:r>
            <w:r>
              <w:t>Provisiones.</w:t>
            </w:r>
          </w:p>
          <w:p w14:paraId="40FE1B64" w14:textId="77777777" w:rsidR="008C20EB" w:rsidRDefault="008D25BE">
            <w:pPr>
              <w:pStyle w:val="TableParagraph"/>
              <w:numPr>
                <w:ilvl w:val="0"/>
                <w:numId w:val="125"/>
              </w:numPr>
              <w:tabs>
                <w:tab w:val="left" w:pos="433"/>
              </w:tabs>
              <w:spacing w:line="235" w:lineRule="auto"/>
              <w:ind w:right="67"/>
              <w:jc w:val="both"/>
            </w:pPr>
            <w:r>
              <w:t>En la Información Complementaria (Capítulo V) del Manual de Contabilidad, se sustituye lo siguiente:</w:t>
            </w:r>
          </w:p>
          <w:p w14:paraId="40FE1B65" w14:textId="77777777" w:rsidR="008C20EB" w:rsidRDefault="008D25BE">
            <w:pPr>
              <w:pStyle w:val="TableParagraph"/>
              <w:numPr>
                <w:ilvl w:val="1"/>
                <w:numId w:val="125"/>
              </w:numPr>
              <w:tabs>
                <w:tab w:val="left" w:pos="1513"/>
              </w:tabs>
              <w:spacing w:before="3"/>
              <w:jc w:val="both"/>
            </w:pPr>
            <w:r>
              <w:t>Anexo Nº 5 “Informe de Clasificación de Deudores y</w:t>
            </w:r>
            <w:r>
              <w:rPr>
                <w:spacing w:val="-23"/>
              </w:rPr>
              <w:t xml:space="preserve"> </w:t>
            </w:r>
            <w:r>
              <w:t>Provisiones”.</w:t>
            </w:r>
          </w:p>
          <w:p w14:paraId="40FE1B66" w14:textId="77777777" w:rsidR="008C20EB" w:rsidRDefault="008D25BE">
            <w:pPr>
              <w:pStyle w:val="TableParagraph"/>
              <w:numPr>
                <w:ilvl w:val="1"/>
                <w:numId w:val="125"/>
              </w:numPr>
              <w:tabs>
                <w:tab w:val="left" w:pos="1513"/>
              </w:tabs>
              <w:spacing w:before="2" w:line="251" w:lineRule="exact"/>
              <w:jc w:val="both"/>
            </w:pPr>
            <w:r>
              <w:t>Anexo Nº 5-A “Resumen de Provisiones</w:t>
            </w:r>
            <w:r>
              <w:rPr>
                <w:spacing w:val="-14"/>
              </w:rPr>
              <w:t xml:space="preserve"> </w:t>
            </w:r>
            <w:r>
              <w:t>Procíclicas”.</w:t>
            </w:r>
          </w:p>
          <w:p w14:paraId="40FE1B67" w14:textId="77777777" w:rsidR="008C20EB" w:rsidRDefault="008D25BE">
            <w:pPr>
              <w:pStyle w:val="TableParagraph"/>
              <w:numPr>
                <w:ilvl w:val="1"/>
                <w:numId w:val="125"/>
              </w:numPr>
              <w:tabs>
                <w:tab w:val="left" w:pos="1512"/>
                <w:tab w:val="left" w:pos="1513"/>
              </w:tabs>
              <w:ind w:right="57"/>
              <w:jc w:val="both"/>
            </w:pPr>
            <w:r>
              <w:t>Anexo N° 5-C “Informe de Clasificación de la Cartera Transferida en Fideicomiso”.</w:t>
            </w:r>
          </w:p>
          <w:p w14:paraId="40FE1B68" w14:textId="77777777" w:rsidR="008C20EB" w:rsidRDefault="008D25BE">
            <w:pPr>
              <w:pStyle w:val="TableParagraph"/>
              <w:numPr>
                <w:ilvl w:val="1"/>
                <w:numId w:val="125"/>
              </w:numPr>
              <w:tabs>
                <w:tab w:val="left" w:pos="1512"/>
                <w:tab w:val="left" w:pos="1513"/>
              </w:tabs>
              <w:ind w:right="57"/>
              <w:jc w:val="both"/>
            </w:pPr>
            <w:r>
              <w:t xml:space="preserve">Anexo N° 5-C’ “Resumen de Provisiones Procíclicas para </w:t>
            </w:r>
            <w:r>
              <w:rPr>
                <w:spacing w:val="-4"/>
              </w:rPr>
              <w:t xml:space="preserve">la </w:t>
            </w:r>
            <w:r>
              <w:t>Cartera Transferida en</w:t>
            </w:r>
            <w:r>
              <w:rPr>
                <w:spacing w:val="-4"/>
              </w:rPr>
              <w:t xml:space="preserve"> </w:t>
            </w:r>
            <w:r>
              <w:t>Fideicomiso”.</w:t>
            </w:r>
          </w:p>
          <w:p w14:paraId="40FE1B69" w14:textId="77777777" w:rsidR="008C20EB" w:rsidRDefault="008D25BE">
            <w:pPr>
              <w:pStyle w:val="TableParagraph"/>
              <w:numPr>
                <w:ilvl w:val="1"/>
                <w:numId w:val="125"/>
              </w:numPr>
              <w:tabs>
                <w:tab w:val="left" w:pos="1512"/>
                <w:tab w:val="left" w:pos="1513"/>
              </w:tabs>
              <w:spacing w:before="2" w:line="251" w:lineRule="exact"/>
              <w:jc w:val="both"/>
            </w:pPr>
            <w:r>
              <w:t>Las notas metodológicas del Anexo Nº 5 y sus Anexos</w:t>
            </w:r>
            <w:r>
              <w:rPr>
                <w:spacing w:val="-27"/>
              </w:rPr>
              <w:t xml:space="preserve"> </w:t>
            </w:r>
            <w:r>
              <w:t>Complementarios.</w:t>
            </w:r>
          </w:p>
          <w:p w14:paraId="40FE1B6A" w14:textId="77777777" w:rsidR="008C20EB" w:rsidRDefault="008D25BE">
            <w:pPr>
              <w:pStyle w:val="TableParagraph"/>
              <w:numPr>
                <w:ilvl w:val="1"/>
                <w:numId w:val="125"/>
              </w:numPr>
              <w:tabs>
                <w:tab w:val="left" w:pos="1512"/>
                <w:tab w:val="left" w:pos="1513"/>
              </w:tabs>
              <w:spacing w:line="251" w:lineRule="exact"/>
              <w:jc w:val="both"/>
            </w:pPr>
            <w:r>
              <w:t>Anexo Nº 6 “Reporte Crediticio de Deudores”, incluido las</w:t>
            </w:r>
            <w:r>
              <w:rPr>
                <w:spacing w:val="-20"/>
              </w:rPr>
              <w:t xml:space="preserve"> </w:t>
            </w:r>
            <w:r>
              <w:t>instrucciones.</w:t>
            </w:r>
          </w:p>
          <w:p w14:paraId="40FE1B6B" w14:textId="77777777" w:rsidR="008C20EB" w:rsidRDefault="008D25BE">
            <w:pPr>
              <w:pStyle w:val="TableParagraph"/>
              <w:numPr>
                <w:ilvl w:val="1"/>
                <w:numId w:val="125"/>
              </w:numPr>
              <w:tabs>
                <w:tab w:val="left" w:pos="1512"/>
                <w:tab w:val="left" w:pos="1513"/>
              </w:tabs>
              <w:spacing w:before="2" w:line="251" w:lineRule="exact"/>
              <w:jc w:val="both"/>
            </w:pPr>
            <w:r>
              <w:t>Forma E “Información Adelantada del</w:t>
            </w:r>
            <w:r>
              <w:rPr>
                <w:spacing w:val="-14"/>
              </w:rPr>
              <w:t xml:space="preserve"> </w:t>
            </w:r>
            <w:r>
              <w:t>Balance”.</w:t>
            </w:r>
          </w:p>
          <w:p w14:paraId="40FE1B6C" w14:textId="77777777" w:rsidR="008C20EB" w:rsidRDefault="008D25BE">
            <w:pPr>
              <w:pStyle w:val="TableParagraph"/>
              <w:numPr>
                <w:ilvl w:val="0"/>
                <w:numId w:val="125"/>
              </w:numPr>
              <w:tabs>
                <w:tab w:val="left" w:pos="361"/>
              </w:tabs>
              <w:spacing w:line="268" w:lineRule="exact"/>
              <w:ind w:left="360" w:hanging="289"/>
              <w:jc w:val="both"/>
            </w:pPr>
            <w:r>
              <w:t>Adicionalmente, se modifican los siguientes Anexos y</w:t>
            </w:r>
            <w:r>
              <w:rPr>
                <w:spacing w:val="-5"/>
              </w:rPr>
              <w:t xml:space="preserve"> </w:t>
            </w:r>
            <w:r>
              <w:t>Reportes:</w:t>
            </w:r>
          </w:p>
          <w:p w14:paraId="40FE1B6D" w14:textId="77777777" w:rsidR="008C20EB" w:rsidRDefault="008D25BE">
            <w:pPr>
              <w:pStyle w:val="TableParagraph"/>
              <w:numPr>
                <w:ilvl w:val="1"/>
                <w:numId w:val="125"/>
              </w:numPr>
              <w:tabs>
                <w:tab w:val="left" w:pos="1512"/>
                <w:tab w:val="left" w:pos="1513"/>
              </w:tabs>
              <w:ind w:right="63"/>
              <w:jc w:val="both"/>
            </w:pPr>
            <w:r>
              <w:t>Se sustituyen las notas (1), (14) y (16) del Anexo 2 “Créditos Directos e Indirectos por Tipo de</w:t>
            </w:r>
            <w:r>
              <w:rPr>
                <w:spacing w:val="-8"/>
              </w:rPr>
              <w:t xml:space="preserve"> </w:t>
            </w:r>
            <w:r>
              <w:t>Garantía”.</w:t>
            </w:r>
          </w:p>
          <w:p w14:paraId="40FE1B6E" w14:textId="77777777" w:rsidR="008C20EB" w:rsidRDefault="008D25BE">
            <w:pPr>
              <w:pStyle w:val="TableParagraph"/>
              <w:numPr>
                <w:ilvl w:val="1"/>
                <w:numId w:val="125"/>
              </w:numPr>
              <w:tabs>
                <w:tab w:val="left" w:pos="1512"/>
                <w:tab w:val="left" w:pos="1513"/>
              </w:tabs>
              <w:spacing w:before="3"/>
              <w:jc w:val="both"/>
            </w:pPr>
            <w:r>
              <w:t>Se sustituyen las notas (1) y (5) del Reporte 7 “Tarjetas de</w:t>
            </w:r>
            <w:r>
              <w:rPr>
                <w:spacing w:val="-28"/>
              </w:rPr>
              <w:t xml:space="preserve"> </w:t>
            </w:r>
            <w:r>
              <w:t>Crédito”.</w:t>
            </w:r>
          </w:p>
        </w:tc>
      </w:tr>
      <w:tr w:rsidR="008C20EB" w14:paraId="40FE1B7A" w14:textId="77777777">
        <w:trPr>
          <w:trHeight w:val="1008"/>
        </w:trPr>
        <w:tc>
          <w:tcPr>
            <w:tcW w:w="1445" w:type="dxa"/>
          </w:tcPr>
          <w:p w14:paraId="40FE1B70" w14:textId="77777777" w:rsidR="008C20EB" w:rsidRDefault="008D25BE">
            <w:pPr>
              <w:pStyle w:val="TableParagraph"/>
              <w:spacing w:line="237" w:lineRule="exact"/>
              <w:ind w:left="71"/>
              <w:jc w:val="both"/>
              <w:rPr>
                <w:b/>
              </w:rPr>
            </w:pPr>
            <w:r>
              <w:rPr>
                <w:b/>
              </w:rPr>
              <w:t>Resolución</w:t>
            </w:r>
          </w:p>
          <w:p w14:paraId="40FE1B71" w14:textId="77777777" w:rsidR="008C20EB" w:rsidRDefault="008D25BE">
            <w:pPr>
              <w:pStyle w:val="TableParagraph"/>
              <w:spacing w:before="2"/>
              <w:ind w:left="71"/>
              <w:jc w:val="both"/>
              <w:rPr>
                <w:b/>
              </w:rPr>
            </w:pPr>
            <w:r>
              <w:rPr>
                <w:b/>
              </w:rPr>
              <w:t>SBS Nº 12863-</w:t>
            </w:r>
          </w:p>
          <w:p w14:paraId="40FE1B72" w14:textId="77777777" w:rsidR="008C20EB" w:rsidRDefault="008D25BE">
            <w:pPr>
              <w:pStyle w:val="TableParagraph"/>
              <w:spacing w:before="2"/>
              <w:ind w:left="71"/>
              <w:jc w:val="both"/>
              <w:rPr>
                <w:b/>
              </w:rPr>
            </w:pPr>
            <w:r>
              <w:rPr>
                <w:b/>
              </w:rPr>
              <w:t>2009</w:t>
            </w:r>
          </w:p>
        </w:tc>
        <w:tc>
          <w:tcPr>
            <w:tcW w:w="1733" w:type="dxa"/>
          </w:tcPr>
          <w:p w14:paraId="40FE1B73"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10.09.2009</w:t>
            </w:r>
            <w:r>
              <w:rPr>
                <w:b/>
              </w:rPr>
              <w:tab/>
              <w:t>/</w:t>
            </w:r>
          </w:p>
          <w:p w14:paraId="40FE1B74" w14:textId="77777777" w:rsidR="008C20EB" w:rsidRDefault="008D25BE">
            <w:pPr>
              <w:pStyle w:val="TableParagraph"/>
              <w:spacing w:before="2"/>
              <w:jc w:val="both"/>
              <w:rPr>
                <w:b/>
              </w:rPr>
            </w:pPr>
            <w:r>
              <w:rPr>
                <w:b/>
              </w:rPr>
              <w:t>Pub. 14.09.2009)</w:t>
            </w:r>
          </w:p>
        </w:tc>
        <w:tc>
          <w:tcPr>
            <w:tcW w:w="3500" w:type="dxa"/>
          </w:tcPr>
          <w:p w14:paraId="40FE1B75" w14:textId="77777777" w:rsidR="008C20EB" w:rsidRDefault="008D25BE">
            <w:pPr>
              <w:pStyle w:val="TableParagraph"/>
              <w:spacing w:line="237" w:lineRule="exact"/>
              <w:ind w:left="177"/>
              <w:jc w:val="both"/>
            </w:pPr>
            <w:r>
              <w:t>Se modifica el Capítulo I y V del</w:t>
            </w:r>
            <w:r>
              <w:rPr>
                <w:spacing w:val="21"/>
              </w:rPr>
              <w:t xml:space="preserve"> </w:t>
            </w:r>
            <w:r>
              <w:t>Manual</w:t>
            </w:r>
          </w:p>
          <w:p w14:paraId="40FE1B76" w14:textId="77777777" w:rsidR="008C20EB" w:rsidRDefault="008D25BE">
            <w:pPr>
              <w:pStyle w:val="TableParagraph"/>
              <w:spacing w:before="2"/>
              <w:ind w:left="177"/>
              <w:jc w:val="both"/>
            </w:pPr>
            <w:r>
              <w:t>de</w:t>
            </w:r>
            <w:r>
              <w:rPr>
                <w:spacing w:val="28"/>
              </w:rPr>
              <w:t xml:space="preserve"> </w:t>
            </w:r>
            <w:r>
              <w:t>Contabilidad</w:t>
            </w:r>
            <w:r>
              <w:rPr>
                <w:spacing w:val="28"/>
              </w:rPr>
              <w:t xml:space="preserve"> </w:t>
            </w:r>
            <w:r>
              <w:t>para</w:t>
            </w:r>
            <w:r>
              <w:rPr>
                <w:spacing w:val="28"/>
              </w:rPr>
              <w:t xml:space="preserve"> </w:t>
            </w:r>
            <w:r>
              <w:t>las</w:t>
            </w:r>
            <w:r>
              <w:rPr>
                <w:spacing w:val="28"/>
              </w:rPr>
              <w:t xml:space="preserve"> </w:t>
            </w:r>
            <w:r>
              <w:t>empresas</w:t>
            </w:r>
            <w:r>
              <w:rPr>
                <w:spacing w:val="29"/>
              </w:rPr>
              <w:t xml:space="preserve"> </w:t>
            </w:r>
            <w:r>
              <w:t>del</w:t>
            </w:r>
          </w:p>
          <w:p w14:paraId="40FE1B77" w14:textId="77777777" w:rsidR="008C20EB" w:rsidRDefault="008D25BE">
            <w:pPr>
              <w:pStyle w:val="TableParagraph"/>
              <w:spacing w:before="8" w:line="250" w:lineRule="exact"/>
              <w:ind w:left="177" w:right="62"/>
              <w:jc w:val="both"/>
            </w:pPr>
            <w:r>
              <w:t>sistema financiero, las cuales entrarán en</w:t>
            </w:r>
            <w:r>
              <w:rPr>
                <w:spacing w:val="9"/>
              </w:rPr>
              <w:t xml:space="preserve"> </w:t>
            </w:r>
            <w:r>
              <w:t>vigencia</w:t>
            </w:r>
            <w:r>
              <w:rPr>
                <w:spacing w:val="10"/>
              </w:rPr>
              <w:t xml:space="preserve"> </w:t>
            </w:r>
            <w:r>
              <w:t>a</w:t>
            </w:r>
            <w:r>
              <w:rPr>
                <w:spacing w:val="13"/>
              </w:rPr>
              <w:t xml:space="preserve"> </w:t>
            </w:r>
            <w:r>
              <w:t>partir</w:t>
            </w:r>
            <w:r>
              <w:rPr>
                <w:spacing w:val="12"/>
              </w:rPr>
              <w:t xml:space="preserve"> </w:t>
            </w:r>
            <w:r>
              <w:t>del</w:t>
            </w:r>
            <w:r>
              <w:rPr>
                <w:spacing w:val="12"/>
              </w:rPr>
              <w:t xml:space="preserve"> </w:t>
            </w:r>
            <w:r>
              <w:t>día</w:t>
            </w:r>
            <w:r>
              <w:rPr>
                <w:spacing w:val="14"/>
              </w:rPr>
              <w:t xml:space="preserve"> </w:t>
            </w:r>
            <w:r>
              <w:t>siguiente</w:t>
            </w:r>
            <w:r>
              <w:rPr>
                <w:spacing w:val="10"/>
              </w:rPr>
              <w:t xml:space="preserve"> </w:t>
            </w:r>
            <w:r>
              <w:t>de</w:t>
            </w:r>
          </w:p>
        </w:tc>
        <w:tc>
          <w:tcPr>
            <w:tcW w:w="8162" w:type="dxa"/>
          </w:tcPr>
          <w:p w14:paraId="40FE1B78" w14:textId="77777777" w:rsidR="008C20EB" w:rsidRDefault="008D25BE">
            <w:pPr>
              <w:pStyle w:val="TableParagraph"/>
              <w:numPr>
                <w:ilvl w:val="0"/>
                <w:numId w:val="126"/>
              </w:numPr>
              <w:tabs>
                <w:tab w:val="left" w:pos="361"/>
              </w:tabs>
              <w:spacing w:line="235" w:lineRule="auto"/>
              <w:ind w:right="69"/>
              <w:jc w:val="both"/>
            </w:pPr>
            <w:r>
              <w:t>Se modifica el primer y cuarto párrafo de la Sección F del Capítulo I del Manual de Contabilidad de las Empresas del Sistema</w:t>
            </w:r>
            <w:r>
              <w:rPr>
                <w:spacing w:val="-15"/>
              </w:rPr>
              <w:t xml:space="preserve"> </w:t>
            </w:r>
            <w:r>
              <w:t>Financiero.</w:t>
            </w:r>
          </w:p>
          <w:p w14:paraId="40FE1B79" w14:textId="77777777" w:rsidR="008C20EB" w:rsidRDefault="008D25BE">
            <w:pPr>
              <w:pStyle w:val="TableParagraph"/>
              <w:numPr>
                <w:ilvl w:val="0"/>
                <w:numId w:val="126"/>
              </w:numPr>
              <w:tabs>
                <w:tab w:val="left" w:pos="361"/>
              </w:tabs>
              <w:ind w:hanging="289"/>
              <w:jc w:val="both"/>
            </w:pPr>
            <w:r>
              <w:t>Se modifica el Anexo Nº 1 “Inversiones” y sus correspondientes notas</w:t>
            </w:r>
            <w:r>
              <w:rPr>
                <w:spacing w:val="-36"/>
              </w:rPr>
              <w:t xml:space="preserve"> </w:t>
            </w:r>
            <w:r>
              <w:t>metodológicas.</w:t>
            </w:r>
          </w:p>
        </w:tc>
      </w:tr>
    </w:tbl>
    <w:p w14:paraId="40FE1B7B"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80" w14:textId="77777777">
        <w:trPr>
          <w:trHeight w:val="254"/>
        </w:trPr>
        <w:tc>
          <w:tcPr>
            <w:tcW w:w="1445" w:type="dxa"/>
            <w:vAlign w:val="bottom"/>
          </w:tcPr>
          <w:p w14:paraId="40FE1B7C"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7D" w14:textId="77777777" w:rsidR="008C20EB" w:rsidRDefault="008D25BE">
            <w:pPr>
              <w:pStyle w:val="TableParagraph"/>
              <w:spacing w:line="234" w:lineRule="exact"/>
              <w:ind w:left="556"/>
              <w:jc w:val="both"/>
              <w:rPr>
                <w:b/>
              </w:rPr>
            </w:pPr>
            <w:r>
              <w:rPr>
                <w:b/>
              </w:rPr>
              <w:t>FECHA</w:t>
            </w:r>
          </w:p>
        </w:tc>
        <w:tc>
          <w:tcPr>
            <w:tcW w:w="3500" w:type="dxa"/>
            <w:vAlign w:val="bottom"/>
          </w:tcPr>
          <w:p w14:paraId="40FE1B7E"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7F" w14:textId="77777777" w:rsidR="008C20EB" w:rsidRDefault="008D25BE">
            <w:pPr>
              <w:pStyle w:val="TableParagraph"/>
              <w:spacing w:line="234" w:lineRule="exact"/>
              <w:ind w:left="3271" w:right="3265"/>
              <w:jc w:val="both"/>
              <w:rPr>
                <w:b/>
              </w:rPr>
            </w:pPr>
            <w:r>
              <w:rPr>
                <w:b/>
              </w:rPr>
              <w:t>MODIFICATORIAS</w:t>
            </w:r>
          </w:p>
        </w:tc>
      </w:tr>
      <w:tr w:rsidR="008C20EB" w14:paraId="40FE1B85" w14:textId="77777777">
        <w:trPr>
          <w:trHeight w:val="1757"/>
        </w:trPr>
        <w:tc>
          <w:tcPr>
            <w:tcW w:w="1445" w:type="dxa"/>
          </w:tcPr>
          <w:p w14:paraId="40FE1B81" w14:textId="77777777" w:rsidR="008C20EB" w:rsidRDefault="008C20EB">
            <w:pPr>
              <w:pStyle w:val="TableParagraph"/>
              <w:jc w:val="both"/>
              <w:rPr>
                <w:rFonts w:ascii="Times New Roman"/>
              </w:rPr>
            </w:pPr>
          </w:p>
        </w:tc>
        <w:tc>
          <w:tcPr>
            <w:tcW w:w="1733" w:type="dxa"/>
          </w:tcPr>
          <w:p w14:paraId="40FE1B82" w14:textId="77777777" w:rsidR="008C20EB" w:rsidRDefault="008C20EB">
            <w:pPr>
              <w:pStyle w:val="TableParagraph"/>
              <w:jc w:val="both"/>
              <w:rPr>
                <w:rFonts w:ascii="Times New Roman"/>
              </w:rPr>
            </w:pPr>
          </w:p>
        </w:tc>
        <w:tc>
          <w:tcPr>
            <w:tcW w:w="3500" w:type="dxa"/>
          </w:tcPr>
          <w:p w14:paraId="40FE1B83" w14:textId="77777777" w:rsidR="008C20EB" w:rsidRDefault="008D25BE">
            <w:pPr>
              <w:pStyle w:val="TableParagraph"/>
              <w:ind w:left="177" w:right="62"/>
              <w:jc w:val="both"/>
            </w:pPr>
            <w:r>
              <w:t>la publicación en el diario oficial El Peruano, a excepción de la modificación al Capítulo V, la cual entrará en vigencia a partir de la información financiera correspondiente al mes de setiembre de 2009.</w:t>
            </w:r>
          </w:p>
        </w:tc>
        <w:tc>
          <w:tcPr>
            <w:tcW w:w="8162" w:type="dxa"/>
          </w:tcPr>
          <w:p w14:paraId="40FE1B84" w14:textId="77777777" w:rsidR="008C20EB" w:rsidRDefault="008C20EB">
            <w:pPr>
              <w:pStyle w:val="TableParagraph"/>
              <w:jc w:val="both"/>
              <w:rPr>
                <w:rFonts w:ascii="Times New Roman"/>
              </w:rPr>
            </w:pPr>
          </w:p>
        </w:tc>
      </w:tr>
      <w:tr w:rsidR="008C20EB" w14:paraId="40FE1B90" w14:textId="77777777">
        <w:trPr>
          <w:trHeight w:val="4776"/>
        </w:trPr>
        <w:tc>
          <w:tcPr>
            <w:tcW w:w="1445" w:type="dxa"/>
          </w:tcPr>
          <w:p w14:paraId="40FE1B86" w14:textId="77777777" w:rsidR="008C20EB" w:rsidRDefault="008D25BE">
            <w:pPr>
              <w:pStyle w:val="TableParagraph"/>
              <w:spacing w:line="237" w:lineRule="exact"/>
              <w:ind w:left="71"/>
              <w:jc w:val="both"/>
              <w:rPr>
                <w:b/>
              </w:rPr>
            </w:pPr>
            <w:r>
              <w:rPr>
                <w:b/>
              </w:rPr>
              <w:t>Resolución</w:t>
            </w:r>
          </w:p>
          <w:p w14:paraId="40FE1B87" w14:textId="77777777" w:rsidR="008C20EB" w:rsidRDefault="008D25BE">
            <w:pPr>
              <w:pStyle w:val="TableParagraph"/>
              <w:spacing w:before="2" w:line="251" w:lineRule="exact"/>
              <w:ind w:left="71"/>
              <w:jc w:val="both"/>
              <w:rPr>
                <w:b/>
              </w:rPr>
            </w:pPr>
            <w:r>
              <w:rPr>
                <w:b/>
              </w:rPr>
              <w:t>SBS Nº 9816-</w:t>
            </w:r>
          </w:p>
          <w:p w14:paraId="40FE1B88" w14:textId="77777777" w:rsidR="008C20EB" w:rsidRDefault="008D25BE">
            <w:pPr>
              <w:pStyle w:val="TableParagraph"/>
              <w:spacing w:line="251" w:lineRule="exact"/>
              <w:ind w:left="71"/>
              <w:jc w:val="both"/>
              <w:rPr>
                <w:b/>
              </w:rPr>
            </w:pPr>
            <w:r>
              <w:rPr>
                <w:b/>
              </w:rPr>
              <w:t>2009</w:t>
            </w:r>
          </w:p>
        </w:tc>
        <w:tc>
          <w:tcPr>
            <w:tcW w:w="1733" w:type="dxa"/>
          </w:tcPr>
          <w:p w14:paraId="40FE1B89"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30.07.2009</w:t>
            </w:r>
            <w:r>
              <w:rPr>
                <w:b/>
              </w:rPr>
              <w:tab/>
              <w:t>/</w:t>
            </w:r>
          </w:p>
          <w:p w14:paraId="40FE1B8A" w14:textId="77777777" w:rsidR="008C20EB" w:rsidRDefault="008D25BE">
            <w:pPr>
              <w:pStyle w:val="TableParagraph"/>
              <w:spacing w:before="2"/>
              <w:jc w:val="both"/>
              <w:rPr>
                <w:b/>
              </w:rPr>
            </w:pPr>
            <w:r>
              <w:rPr>
                <w:b/>
              </w:rPr>
              <w:t>Pub. 31.07.2009)</w:t>
            </w:r>
          </w:p>
        </w:tc>
        <w:tc>
          <w:tcPr>
            <w:tcW w:w="3500" w:type="dxa"/>
          </w:tcPr>
          <w:p w14:paraId="40FE1B8B" w14:textId="77777777" w:rsidR="008C20EB" w:rsidRDefault="008D25BE">
            <w:pPr>
              <w:pStyle w:val="TableParagraph"/>
              <w:spacing w:line="237" w:lineRule="exact"/>
              <w:ind w:left="177"/>
              <w:jc w:val="both"/>
            </w:pPr>
            <w:r>
              <w:t>Se adecua el cálculo del requerimiento</w:t>
            </w:r>
          </w:p>
          <w:p w14:paraId="40FE1B8C" w14:textId="77777777" w:rsidR="008C20EB" w:rsidRDefault="008D25BE">
            <w:pPr>
              <w:pStyle w:val="TableParagraph"/>
              <w:spacing w:before="2"/>
              <w:ind w:left="177" w:right="63"/>
              <w:jc w:val="both"/>
            </w:pPr>
            <w:r>
              <w:t>de Patrimonio Efectivo por riesgo de crédito contemplado en el Reporte Nº 2 Anexo A del Manual de contabilidad para las empresas del sistema financiero, a lo establecido en la Ley General modificada mediante el Decreto Legislativo Nº</w:t>
            </w:r>
            <w:r>
              <w:rPr>
                <w:spacing w:val="-6"/>
              </w:rPr>
              <w:t xml:space="preserve"> </w:t>
            </w:r>
            <w:r>
              <w:t>1028.</w:t>
            </w:r>
          </w:p>
          <w:p w14:paraId="40FE1B8D" w14:textId="77777777" w:rsidR="008C20EB" w:rsidRDefault="008C20EB">
            <w:pPr>
              <w:pStyle w:val="TableParagraph"/>
              <w:spacing w:before="4"/>
              <w:jc w:val="both"/>
              <w:rPr>
                <w:rFonts w:ascii="Arial"/>
                <w:b/>
                <w:sz w:val="23"/>
              </w:rPr>
            </w:pPr>
          </w:p>
          <w:p w14:paraId="40FE1B8E" w14:textId="77777777" w:rsidR="008C20EB" w:rsidRDefault="008D25BE">
            <w:pPr>
              <w:pStyle w:val="TableParagraph"/>
              <w:ind w:left="177" w:right="61"/>
              <w:jc w:val="both"/>
            </w:pPr>
            <w:r>
              <w:t>Modificación del capítulo V del Manual de Contabilidad para las empresas del sistema financiero, las cuales tendrán vigencia para la información correspondiente a los meses de julio a diciembre de 2009. Posteriormente se modificó su vigencia a julio 2009 a junio de 2010 mediante la Resol. SBS N° 14353-2009.</w:t>
            </w:r>
          </w:p>
        </w:tc>
        <w:tc>
          <w:tcPr>
            <w:tcW w:w="8162" w:type="dxa"/>
          </w:tcPr>
          <w:p w14:paraId="40FE1B8F" w14:textId="77777777" w:rsidR="008C20EB" w:rsidRDefault="008D25BE">
            <w:pPr>
              <w:pStyle w:val="TableParagraph"/>
              <w:numPr>
                <w:ilvl w:val="0"/>
                <w:numId w:val="127"/>
              </w:numPr>
              <w:tabs>
                <w:tab w:val="left" w:pos="361"/>
              </w:tabs>
              <w:spacing w:before="2" w:line="254" w:lineRule="exact"/>
              <w:ind w:right="63"/>
              <w:jc w:val="both"/>
            </w:pPr>
            <w:r>
              <w:t>Se sustituye la nota 1 del Reporte Nº 2-D “Requerimientos de Patrimonio Efectivo por Riesgos de Crédito, Mercado y Operacional y Cálculo del Límite Global a que se refiere el primer párrafo del artículo 199° y la Vigésima Cuarta Disposición Transitoria de la Ley General</w:t>
            </w:r>
            <w:r>
              <w:rPr>
                <w:spacing w:val="-17"/>
              </w:rPr>
              <w:t xml:space="preserve"> </w:t>
            </w:r>
            <w:r>
              <w:rPr>
                <w:spacing w:val="-3"/>
              </w:rPr>
              <w:t>“.</w:t>
            </w:r>
          </w:p>
        </w:tc>
      </w:tr>
      <w:tr w:rsidR="008C20EB" w14:paraId="40FE1B9D" w14:textId="77777777">
        <w:trPr>
          <w:trHeight w:val="1780"/>
        </w:trPr>
        <w:tc>
          <w:tcPr>
            <w:tcW w:w="1445" w:type="dxa"/>
          </w:tcPr>
          <w:p w14:paraId="40FE1B91" w14:textId="77777777" w:rsidR="008C20EB" w:rsidRDefault="008D25BE">
            <w:pPr>
              <w:pStyle w:val="TableParagraph"/>
              <w:spacing w:line="237" w:lineRule="exact"/>
              <w:ind w:left="71"/>
              <w:jc w:val="both"/>
              <w:rPr>
                <w:b/>
              </w:rPr>
            </w:pPr>
            <w:r>
              <w:rPr>
                <w:b/>
              </w:rPr>
              <w:t>Resolución</w:t>
            </w:r>
          </w:p>
          <w:p w14:paraId="40FE1B92" w14:textId="77777777" w:rsidR="008C20EB" w:rsidRDefault="008D25BE">
            <w:pPr>
              <w:pStyle w:val="TableParagraph"/>
              <w:spacing w:before="2"/>
              <w:ind w:left="71"/>
              <w:jc w:val="both"/>
              <w:rPr>
                <w:b/>
              </w:rPr>
            </w:pPr>
            <w:r>
              <w:rPr>
                <w:b/>
              </w:rPr>
              <w:t>SBS Nº 9786-</w:t>
            </w:r>
          </w:p>
          <w:p w14:paraId="40FE1B93" w14:textId="77777777" w:rsidR="008C20EB" w:rsidRDefault="008D25BE">
            <w:pPr>
              <w:pStyle w:val="TableParagraph"/>
              <w:spacing w:before="2"/>
              <w:ind w:left="71"/>
              <w:jc w:val="both"/>
              <w:rPr>
                <w:b/>
              </w:rPr>
            </w:pPr>
            <w:r>
              <w:rPr>
                <w:b/>
              </w:rPr>
              <w:t>2009</w:t>
            </w:r>
          </w:p>
        </w:tc>
        <w:tc>
          <w:tcPr>
            <w:tcW w:w="1733" w:type="dxa"/>
          </w:tcPr>
          <w:p w14:paraId="40FE1B94"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22.07.2009</w:t>
            </w:r>
            <w:r>
              <w:rPr>
                <w:b/>
              </w:rPr>
              <w:tab/>
              <w:t>/</w:t>
            </w:r>
          </w:p>
          <w:p w14:paraId="40FE1B95" w14:textId="77777777" w:rsidR="008C20EB" w:rsidRDefault="008D25BE">
            <w:pPr>
              <w:pStyle w:val="TableParagraph"/>
              <w:spacing w:before="2"/>
              <w:jc w:val="both"/>
              <w:rPr>
                <w:b/>
              </w:rPr>
            </w:pPr>
            <w:r>
              <w:rPr>
                <w:b/>
              </w:rPr>
              <w:t>Pub. 24.07.2009)</w:t>
            </w:r>
          </w:p>
        </w:tc>
        <w:tc>
          <w:tcPr>
            <w:tcW w:w="3500" w:type="dxa"/>
          </w:tcPr>
          <w:p w14:paraId="40FE1B96" w14:textId="77777777" w:rsidR="008C20EB" w:rsidRDefault="008D25BE">
            <w:pPr>
              <w:pStyle w:val="TableParagraph"/>
              <w:ind w:left="177" w:right="63"/>
              <w:jc w:val="both"/>
            </w:pPr>
            <w:r>
              <w:t>Modificación del capítulo V del Manual de Contabilidad para las empresas del sistema financiero, los cuales entrarán en vigencia a partir de la información correspondiente al mes de enero de 2010.  Tratándose  de  los  Reportes</w:t>
            </w:r>
            <w:r>
              <w:rPr>
                <w:spacing w:val="42"/>
              </w:rPr>
              <w:t xml:space="preserve"> </w:t>
            </w:r>
            <w:r>
              <w:t>de</w:t>
            </w:r>
          </w:p>
          <w:p w14:paraId="40FE1B97" w14:textId="77777777" w:rsidR="008C20EB" w:rsidRDefault="008D25BE">
            <w:pPr>
              <w:pStyle w:val="TableParagraph"/>
              <w:spacing w:before="1" w:line="245" w:lineRule="exact"/>
              <w:ind w:left="177"/>
              <w:jc w:val="both"/>
            </w:pPr>
            <w:r>
              <w:t>remisión diaria, la  vigencia será a</w:t>
            </w:r>
            <w:r>
              <w:rPr>
                <w:spacing w:val="33"/>
              </w:rPr>
              <w:t xml:space="preserve"> </w:t>
            </w:r>
            <w:r>
              <w:t>partir</w:t>
            </w:r>
          </w:p>
        </w:tc>
        <w:tc>
          <w:tcPr>
            <w:tcW w:w="8162" w:type="dxa"/>
          </w:tcPr>
          <w:p w14:paraId="40FE1B98" w14:textId="77777777" w:rsidR="008C20EB" w:rsidRDefault="008D25BE">
            <w:pPr>
              <w:pStyle w:val="TableParagraph"/>
              <w:numPr>
                <w:ilvl w:val="0"/>
                <w:numId w:val="128"/>
              </w:numPr>
              <w:tabs>
                <w:tab w:val="left" w:pos="361"/>
              </w:tabs>
              <w:spacing w:line="253" w:lineRule="exact"/>
              <w:ind w:hanging="289"/>
              <w:jc w:val="both"/>
            </w:pPr>
            <w:r>
              <w:t>Se sustituyen los siguientes Anexos y Reportes y notas</w:t>
            </w:r>
            <w:r>
              <w:rPr>
                <w:spacing w:val="-17"/>
              </w:rPr>
              <w:t xml:space="preserve"> </w:t>
            </w:r>
            <w:r>
              <w:t>metodológicas:</w:t>
            </w:r>
          </w:p>
          <w:p w14:paraId="40FE1B99" w14:textId="77777777" w:rsidR="008C20EB" w:rsidRDefault="008D25BE">
            <w:pPr>
              <w:pStyle w:val="TableParagraph"/>
              <w:numPr>
                <w:ilvl w:val="1"/>
                <w:numId w:val="128"/>
              </w:numPr>
              <w:tabs>
                <w:tab w:val="left" w:pos="1512"/>
                <w:tab w:val="left" w:pos="1513"/>
              </w:tabs>
              <w:ind w:right="60"/>
              <w:jc w:val="both"/>
            </w:pPr>
            <w:r>
              <w:t>Anexo Nº 2 cuya nueva denominación es “Créditos Directos Según Tipo de Garantía”.</w:t>
            </w:r>
          </w:p>
          <w:p w14:paraId="40FE1B9A" w14:textId="77777777" w:rsidR="008C20EB" w:rsidRDefault="008D25BE">
            <w:pPr>
              <w:pStyle w:val="TableParagraph"/>
              <w:numPr>
                <w:ilvl w:val="1"/>
                <w:numId w:val="128"/>
              </w:numPr>
              <w:tabs>
                <w:tab w:val="left" w:pos="1512"/>
                <w:tab w:val="left" w:pos="1513"/>
              </w:tabs>
              <w:spacing w:line="242" w:lineRule="auto"/>
              <w:ind w:right="67"/>
              <w:jc w:val="both"/>
            </w:pPr>
            <w:r>
              <w:t>Anexo Nº 3 cuya nueva denominación es “Stock y Flujo Crediticio por Tipo de Crédito y Sector</w:t>
            </w:r>
            <w:r>
              <w:rPr>
                <w:spacing w:val="-7"/>
              </w:rPr>
              <w:t xml:space="preserve"> </w:t>
            </w:r>
            <w:r>
              <w:t>Económico”.</w:t>
            </w:r>
          </w:p>
          <w:p w14:paraId="40FE1B9B" w14:textId="77777777" w:rsidR="008C20EB" w:rsidRDefault="008D25BE">
            <w:pPr>
              <w:pStyle w:val="TableParagraph"/>
              <w:numPr>
                <w:ilvl w:val="1"/>
                <w:numId w:val="128"/>
              </w:numPr>
              <w:tabs>
                <w:tab w:val="left" w:pos="360"/>
                <w:tab w:val="left" w:pos="361"/>
              </w:tabs>
              <w:spacing w:line="247" w:lineRule="exact"/>
              <w:ind w:right="53" w:hanging="1513"/>
              <w:jc w:val="both"/>
            </w:pPr>
            <w:r>
              <w:t>Anexo</w:t>
            </w:r>
            <w:r>
              <w:rPr>
                <w:spacing w:val="11"/>
              </w:rPr>
              <w:t xml:space="preserve"> </w:t>
            </w:r>
            <w:r>
              <w:t>Nº</w:t>
            </w:r>
            <w:r>
              <w:rPr>
                <w:spacing w:val="12"/>
              </w:rPr>
              <w:t xml:space="preserve"> </w:t>
            </w:r>
            <w:r>
              <w:t>5</w:t>
            </w:r>
            <w:r>
              <w:rPr>
                <w:spacing w:val="15"/>
              </w:rPr>
              <w:t xml:space="preserve"> </w:t>
            </w:r>
            <w:r>
              <w:t>“Informe</w:t>
            </w:r>
            <w:r>
              <w:rPr>
                <w:spacing w:val="11"/>
              </w:rPr>
              <w:t xml:space="preserve"> </w:t>
            </w:r>
            <w:r>
              <w:t>de</w:t>
            </w:r>
            <w:r>
              <w:rPr>
                <w:spacing w:val="11"/>
              </w:rPr>
              <w:t xml:space="preserve"> </w:t>
            </w:r>
            <w:r>
              <w:t>Clasificación</w:t>
            </w:r>
            <w:r>
              <w:rPr>
                <w:spacing w:val="11"/>
              </w:rPr>
              <w:t xml:space="preserve"> </w:t>
            </w:r>
            <w:r>
              <w:t>de</w:t>
            </w:r>
            <w:r>
              <w:rPr>
                <w:spacing w:val="11"/>
              </w:rPr>
              <w:t xml:space="preserve"> </w:t>
            </w:r>
            <w:r>
              <w:t>Deudores</w:t>
            </w:r>
            <w:r>
              <w:rPr>
                <w:spacing w:val="11"/>
              </w:rPr>
              <w:t xml:space="preserve"> </w:t>
            </w:r>
            <w:r>
              <w:t>y</w:t>
            </w:r>
            <w:r>
              <w:rPr>
                <w:spacing w:val="11"/>
              </w:rPr>
              <w:t xml:space="preserve"> </w:t>
            </w:r>
            <w:r>
              <w:t>Provisiones”,</w:t>
            </w:r>
            <w:r>
              <w:rPr>
                <w:spacing w:val="13"/>
              </w:rPr>
              <w:t xml:space="preserve"> </w:t>
            </w:r>
            <w:r>
              <w:t>Anexo</w:t>
            </w:r>
            <w:r>
              <w:rPr>
                <w:spacing w:val="12"/>
              </w:rPr>
              <w:t xml:space="preserve"> </w:t>
            </w:r>
            <w:r>
              <w:t>Nº</w:t>
            </w:r>
            <w:r>
              <w:rPr>
                <w:spacing w:val="16"/>
              </w:rPr>
              <w:t xml:space="preserve"> </w:t>
            </w:r>
            <w:r>
              <w:t>5-A</w:t>
            </w:r>
          </w:p>
          <w:p w14:paraId="40FE1B9C" w14:textId="77777777" w:rsidR="008C20EB" w:rsidRDefault="008D25BE">
            <w:pPr>
              <w:pStyle w:val="TableParagraph"/>
              <w:spacing w:before="1" w:line="245" w:lineRule="exact"/>
              <w:ind w:right="62"/>
              <w:jc w:val="both"/>
            </w:pPr>
            <w:r>
              <w:t>“Resumen de Provisiones Procíclicas” y las notas metodológicas del Anexo Nº 5</w:t>
            </w:r>
            <w:r>
              <w:rPr>
                <w:spacing w:val="-32"/>
              </w:rPr>
              <w:t xml:space="preserve"> </w:t>
            </w:r>
            <w:r>
              <w:t>y</w:t>
            </w:r>
          </w:p>
        </w:tc>
      </w:tr>
    </w:tbl>
    <w:p w14:paraId="40FE1B9E" w14:textId="77777777" w:rsidR="008C20EB" w:rsidRDefault="008C20EB">
      <w:pPr>
        <w:spacing w:line="245"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A3" w14:textId="77777777">
        <w:trPr>
          <w:trHeight w:val="254"/>
        </w:trPr>
        <w:tc>
          <w:tcPr>
            <w:tcW w:w="1445" w:type="dxa"/>
            <w:vAlign w:val="bottom"/>
          </w:tcPr>
          <w:p w14:paraId="40FE1B9F"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A0" w14:textId="77777777" w:rsidR="008C20EB" w:rsidRDefault="008D25BE">
            <w:pPr>
              <w:pStyle w:val="TableParagraph"/>
              <w:spacing w:line="234" w:lineRule="exact"/>
              <w:ind w:left="556"/>
              <w:jc w:val="both"/>
              <w:rPr>
                <w:b/>
              </w:rPr>
            </w:pPr>
            <w:r>
              <w:rPr>
                <w:b/>
              </w:rPr>
              <w:t>FECHA</w:t>
            </w:r>
          </w:p>
        </w:tc>
        <w:tc>
          <w:tcPr>
            <w:tcW w:w="3500" w:type="dxa"/>
            <w:vAlign w:val="bottom"/>
          </w:tcPr>
          <w:p w14:paraId="40FE1BA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A2" w14:textId="77777777" w:rsidR="008C20EB" w:rsidRDefault="008D25BE">
            <w:pPr>
              <w:pStyle w:val="TableParagraph"/>
              <w:spacing w:line="234" w:lineRule="exact"/>
              <w:ind w:left="3271" w:right="3265"/>
              <w:jc w:val="both"/>
              <w:rPr>
                <w:b/>
              </w:rPr>
            </w:pPr>
            <w:r>
              <w:rPr>
                <w:b/>
              </w:rPr>
              <w:t>MODIFICATORIAS</w:t>
            </w:r>
          </w:p>
        </w:tc>
      </w:tr>
      <w:tr w:rsidR="008C20EB" w14:paraId="40FE1BB1" w14:textId="77777777">
        <w:trPr>
          <w:trHeight w:val="4057"/>
        </w:trPr>
        <w:tc>
          <w:tcPr>
            <w:tcW w:w="1445" w:type="dxa"/>
          </w:tcPr>
          <w:p w14:paraId="40FE1BA4" w14:textId="77777777" w:rsidR="008C20EB" w:rsidRDefault="008C20EB">
            <w:pPr>
              <w:pStyle w:val="TableParagraph"/>
              <w:jc w:val="both"/>
              <w:rPr>
                <w:rFonts w:ascii="Times New Roman"/>
              </w:rPr>
            </w:pPr>
          </w:p>
        </w:tc>
        <w:tc>
          <w:tcPr>
            <w:tcW w:w="1733" w:type="dxa"/>
          </w:tcPr>
          <w:p w14:paraId="40FE1BA5" w14:textId="77777777" w:rsidR="008C20EB" w:rsidRDefault="008C20EB">
            <w:pPr>
              <w:pStyle w:val="TableParagraph"/>
              <w:jc w:val="both"/>
              <w:rPr>
                <w:rFonts w:ascii="Times New Roman"/>
              </w:rPr>
            </w:pPr>
          </w:p>
        </w:tc>
        <w:tc>
          <w:tcPr>
            <w:tcW w:w="3500" w:type="dxa"/>
          </w:tcPr>
          <w:p w14:paraId="40FE1BA6" w14:textId="77777777" w:rsidR="008C20EB" w:rsidRDefault="008D25BE">
            <w:pPr>
              <w:pStyle w:val="TableParagraph"/>
              <w:ind w:left="177" w:right="67"/>
              <w:jc w:val="both"/>
            </w:pPr>
            <w:r>
              <w:t>del primer día útil del mes de enero de 2010. Posteriormente se modificó su vigencia a julio de 2010 mediante la Resol. SBS N° 14353-2009.</w:t>
            </w:r>
          </w:p>
        </w:tc>
        <w:tc>
          <w:tcPr>
            <w:tcW w:w="8162" w:type="dxa"/>
          </w:tcPr>
          <w:p w14:paraId="40FE1BA7" w14:textId="77777777" w:rsidR="008C20EB" w:rsidRDefault="008D25BE">
            <w:pPr>
              <w:pStyle w:val="TableParagraph"/>
              <w:spacing w:line="240" w:lineRule="exact"/>
              <w:ind w:left="1512"/>
              <w:jc w:val="both"/>
            </w:pPr>
            <w:r>
              <w:t>sus Anexos Complementarios.</w:t>
            </w:r>
          </w:p>
          <w:p w14:paraId="40FE1BA8" w14:textId="77777777" w:rsidR="008C20EB" w:rsidRDefault="008D25BE">
            <w:pPr>
              <w:pStyle w:val="TableParagraph"/>
              <w:numPr>
                <w:ilvl w:val="0"/>
                <w:numId w:val="129"/>
              </w:numPr>
              <w:tabs>
                <w:tab w:val="left" w:pos="1512"/>
                <w:tab w:val="left" w:pos="1513"/>
              </w:tabs>
              <w:spacing w:line="242" w:lineRule="auto"/>
              <w:ind w:right="61"/>
              <w:jc w:val="both"/>
            </w:pPr>
            <w:r>
              <w:t>Anexo Nº 6 “Reporte Crediticio de Deudores” y las cuentas contables consideradas en el</w:t>
            </w:r>
            <w:r>
              <w:rPr>
                <w:spacing w:val="-11"/>
              </w:rPr>
              <w:t xml:space="preserve"> </w:t>
            </w:r>
            <w:r>
              <w:t>RCD.</w:t>
            </w:r>
          </w:p>
          <w:p w14:paraId="40FE1BA9" w14:textId="77777777" w:rsidR="008C20EB" w:rsidRDefault="008D25BE">
            <w:pPr>
              <w:pStyle w:val="TableParagraph"/>
              <w:numPr>
                <w:ilvl w:val="0"/>
                <w:numId w:val="129"/>
              </w:numPr>
              <w:tabs>
                <w:tab w:val="left" w:pos="1512"/>
                <w:tab w:val="left" w:pos="1513"/>
              </w:tabs>
              <w:spacing w:line="247" w:lineRule="exact"/>
              <w:jc w:val="both"/>
            </w:pPr>
            <w:r>
              <w:t>Anexo Nº 24 “Compensación por Tiempo de Servicios</w:t>
            </w:r>
            <w:r>
              <w:rPr>
                <w:spacing w:val="-15"/>
              </w:rPr>
              <w:t xml:space="preserve"> </w:t>
            </w:r>
            <w:r>
              <w:t>(CTS)”.</w:t>
            </w:r>
          </w:p>
          <w:p w14:paraId="40FE1BAA" w14:textId="77777777" w:rsidR="008C20EB" w:rsidRDefault="008D25BE">
            <w:pPr>
              <w:pStyle w:val="TableParagraph"/>
              <w:numPr>
                <w:ilvl w:val="0"/>
                <w:numId w:val="129"/>
              </w:numPr>
              <w:tabs>
                <w:tab w:val="left" w:pos="1512"/>
                <w:tab w:val="left" w:pos="1513"/>
              </w:tabs>
              <w:jc w:val="both"/>
            </w:pPr>
            <w:r>
              <w:t>Reporte Nº 6-A “Tasas de Interés Activas sobre</w:t>
            </w:r>
            <w:r>
              <w:rPr>
                <w:spacing w:val="-19"/>
              </w:rPr>
              <w:t xml:space="preserve"> </w:t>
            </w:r>
            <w:r>
              <w:t>Saldos”.</w:t>
            </w:r>
          </w:p>
          <w:p w14:paraId="40FE1BAB" w14:textId="77777777" w:rsidR="008C20EB" w:rsidRDefault="008D25BE">
            <w:pPr>
              <w:pStyle w:val="TableParagraph"/>
              <w:numPr>
                <w:ilvl w:val="0"/>
                <w:numId w:val="129"/>
              </w:numPr>
              <w:tabs>
                <w:tab w:val="left" w:pos="1512"/>
                <w:tab w:val="left" w:pos="1513"/>
              </w:tabs>
              <w:spacing w:before="2" w:line="251" w:lineRule="exact"/>
              <w:jc w:val="both"/>
            </w:pPr>
            <w:r>
              <w:t>Reporte Nº 6-D “Tasas de Interés Activas de Operaciones</w:t>
            </w:r>
            <w:r>
              <w:rPr>
                <w:spacing w:val="-25"/>
              </w:rPr>
              <w:t xml:space="preserve"> </w:t>
            </w:r>
            <w:r>
              <w:t>Diarias”.</w:t>
            </w:r>
          </w:p>
          <w:p w14:paraId="40FE1BAC" w14:textId="77777777" w:rsidR="008C20EB" w:rsidRDefault="008D25BE">
            <w:pPr>
              <w:pStyle w:val="TableParagraph"/>
              <w:numPr>
                <w:ilvl w:val="0"/>
                <w:numId w:val="129"/>
              </w:numPr>
              <w:tabs>
                <w:tab w:val="left" w:pos="1512"/>
                <w:tab w:val="left" w:pos="1513"/>
              </w:tabs>
              <w:spacing w:line="251" w:lineRule="exact"/>
              <w:jc w:val="both"/>
            </w:pPr>
            <w:r>
              <w:t>Reporte Nº 7 “Tarjetas de</w:t>
            </w:r>
            <w:r>
              <w:rPr>
                <w:spacing w:val="-4"/>
              </w:rPr>
              <w:t xml:space="preserve"> </w:t>
            </w:r>
            <w:r>
              <w:t>Crédito”</w:t>
            </w:r>
          </w:p>
          <w:p w14:paraId="40FE1BAD" w14:textId="77777777" w:rsidR="008C20EB" w:rsidRDefault="008D25BE">
            <w:pPr>
              <w:pStyle w:val="TableParagraph"/>
              <w:numPr>
                <w:ilvl w:val="0"/>
                <w:numId w:val="129"/>
              </w:numPr>
              <w:tabs>
                <w:tab w:val="left" w:pos="1512"/>
                <w:tab w:val="left" w:pos="1513"/>
              </w:tabs>
              <w:spacing w:before="3" w:line="251" w:lineRule="exact"/>
              <w:jc w:val="both"/>
            </w:pPr>
            <w:r>
              <w:t>Reporte Nº 14 “Créditos Según Días de</w:t>
            </w:r>
            <w:r>
              <w:rPr>
                <w:spacing w:val="-8"/>
              </w:rPr>
              <w:t xml:space="preserve"> </w:t>
            </w:r>
            <w:r>
              <w:t>Incumplimiento”.</w:t>
            </w:r>
          </w:p>
          <w:p w14:paraId="40FE1BAE" w14:textId="77777777" w:rsidR="008C20EB" w:rsidRDefault="008D25BE">
            <w:pPr>
              <w:pStyle w:val="TableParagraph"/>
              <w:numPr>
                <w:ilvl w:val="0"/>
                <w:numId w:val="129"/>
              </w:numPr>
              <w:tabs>
                <w:tab w:val="left" w:pos="1512"/>
                <w:tab w:val="left" w:pos="1513"/>
              </w:tabs>
              <w:ind w:right="60"/>
              <w:jc w:val="both"/>
            </w:pPr>
            <w:r>
              <w:t>Reporte Nº 25 cuya nueva denominación es “Información de Transferencias de Carta Crediticia, de Castigos y Condonaciones de</w:t>
            </w:r>
            <w:r>
              <w:rPr>
                <w:spacing w:val="-20"/>
              </w:rPr>
              <w:t xml:space="preserve"> </w:t>
            </w:r>
            <w:r>
              <w:t>Créditos”.</w:t>
            </w:r>
          </w:p>
          <w:p w14:paraId="40FE1BAF" w14:textId="77777777" w:rsidR="008C20EB" w:rsidRDefault="008D25BE">
            <w:pPr>
              <w:pStyle w:val="TableParagraph"/>
              <w:numPr>
                <w:ilvl w:val="0"/>
                <w:numId w:val="130"/>
              </w:numPr>
              <w:tabs>
                <w:tab w:val="left" w:pos="361"/>
              </w:tabs>
              <w:spacing w:before="6" w:line="235" w:lineRule="auto"/>
              <w:ind w:right="69"/>
              <w:jc w:val="both"/>
            </w:pPr>
            <w:r>
              <w:t>Se sustituye la nota (2) del Anexo Nº 22 “Contratos de Arrendamiento Financiero por Tipo de Bien”.</w:t>
            </w:r>
          </w:p>
          <w:p w14:paraId="40FE1BB0" w14:textId="77777777" w:rsidR="008C20EB" w:rsidRDefault="008D25BE">
            <w:pPr>
              <w:pStyle w:val="TableParagraph"/>
              <w:numPr>
                <w:ilvl w:val="0"/>
                <w:numId w:val="130"/>
              </w:numPr>
              <w:tabs>
                <w:tab w:val="left" w:pos="361"/>
              </w:tabs>
              <w:spacing w:before="3"/>
              <w:ind w:right="63"/>
              <w:jc w:val="both"/>
            </w:pPr>
            <w:r>
              <w:t>Se modifica la denominación del Reporte Nº 28 cuya nueva denominación “Información de Estados</w:t>
            </w:r>
            <w:r>
              <w:rPr>
                <w:spacing w:val="-5"/>
              </w:rPr>
              <w:t xml:space="preserve"> </w:t>
            </w:r>
            <w:r>
              <w:t>Financieros</w:t>
            </w:r>
            <w:r>
              <w:rPr>
                <w:spacing w:val="-5"/>
              </w:rPr>
              <w:t xml:space="preserve"> </w:t>
            </w:r>
            <w:r>
              <w:t>de</w:t>
            </w:r>
            <w:r>
              <w:rPr>
                <w:spacing w:val="-5"/>
              </w:rPr>
              <w:t xml:space="preserve"> </w:t>
            </w:r>
            <w:r>
              <w:t>Deudores</w:t>
            </w:r>
            <w:r>
              <w:rPr>
                <w:spacing w:val="-5"/>
              </w:rPr>
              <w:t xml:space="preserve"> </w:t>
            </w:r>
            <w:r>
              <w:t>de</w:t>
            </w:r>
            <w:r>
              <w:rPr>
                <w:spacing w:val="-5"/>
              </w:rPr>
              <w:t xml:space="preserve"> </w:t>
            </w:r>
            <w:r>
              <w:t>Créditos</w:t>
            </w:r>
            <w:r>
              <w:rPr>
                <w:spacing w:val="-5"/>
              </w:rPr>
              <w:t xml:space="preserve"> </w:t>
            </w:r>
            <w:r>
              <w:t>Corporativos,</w:t>
            </w:r>
            <w:r>
              <w:rPr>
                <w:spacing w:val="-7"/>
              </w:rPr>
              <w:t xml:space="preserve"> </w:t>
            </w:r>
            <w:r>
              <w:t>A</w:t>
            </w:r>
            <w:r>
              <w:rPr>
                <w:spacing w:val="-7"/>
              </w:rPr>
              <w:t xml:space="preserve"> </w:t>
            </w:r>
            <w:r>
              <w:t>Grandes</w:t>
            </w:r>
            <w:r>
              <w:rPr>
                <w:spacing w:val="-4"/>
              </w:rPr>
              <w:t xml:space="preserve"> </w:t>
            </w:r>
            <w:r>
              <w:t>Empresas</w:t>
            </w:r>
            <w:r>
              <w:rPr>
                <w:spacing w:val="-5"/>
              </w:rPr>
              <w:t xml:space="preserve"> </w:t>
            </w:r>
            <w:r>
              <w:t>y</w:t>
            </w:r>
            <w:r>
              <w:rPr>
                <w:spacing w:val="-5"/>
              </w:rPr>
              <w:t xml:space="preserve"> </w:t>
            </w:r>
            <w:r>
              <w:t>A</w:t>
            </w:r>
            <w:r>
              <w:rPr>
                <w:spacing w:val="-6"/>
              </w:rPr>
              <w:t xml:space="preserve"> </w:t>
            </w:r>
            <w:r>
              <w:t>Medianas Empresas”. Asimismo, se modifican diversos acápites de dicho</w:t>
            </w:r>
            <w:r>
              <w:rPr>
                <w:spacing w:val="-22"/>
              </w:rPr>
              <w:t xml:space="preserve"> </w:t>
            </w:r>
            <w:r>
              <w:t>Reporte.</w:t>
            </w:r>
          </w:p>
        </w:tc>
      </w:tr>
      <w:tr w:rsidR="008C20EB" w14:paraId="40FE1BBA" w14:textId="77777777">
        <w:trPr>
          <w:trHeight w:val="4042"/>
        </w:trPr>
        <w:tc>
          <w:tcPr>
            <w:tcW w:w="1445" w:type="dxa"/>
          </w:tcPr>
          <w:p w14:paraId="40FE1BB2" w14:textId="77777777" w:rsidR="008C20EB" w:rsidRDefault="008D25BE">
            <w:pPr>
              <w:pStyle w:val="TableParagraph"/>
              <w:spacing w:line="237" w:lineRule="auto"/>
              <w:ind w:left="71" w:right="42"/>
              <w:jc w:val="both"/>
              <w:rPr>
                <w:b/>
              </w:rPr>
            </w:pPr>
            <w:r>
              <w:rPr>
                <w:b/>
              </w:rPr>
              <w:t>Resolución SBS Nº 9785-</w:t>
            </w:r>
          </w:p>
          <w:p w14:paraId="40FE1BB3" w14:textId="77777777" w:rsidR="008C20EB" w:rsidRDefault="008D25BE">
            <w:pPr>
              <w:pStyle w:val="TableParagraph"/>
              <w:ind w:left="71"/>
              <w:jc w:val="both"/>
              <w:rPr>
                <w:b/>
              </w:rPr>
            </w:pPr>
            <w:r>
              <w:rPr>
                <w:b/>
              </w:rPr>
              <w:t>2009</w:t>
            </w:r>
          </w:p>
        </w:tc>
        <w:tc>
          <w:tcPr>
            <w:tcW w:w="1733" w:type="dxa"/>
          </w:tcPr>
          <w:p w14:paraId="40FE1BB4"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22.07.2009</w:t>
            </w:r>
            <w:r>
              <w:rPr>
                <w:b/>
              </w:rPr>
              <w:tab/>
              <w:t>/</w:t>
            </w:r>
          </w:p>
          <w:p w14:paraId="40FE1BB5" w14:textId="77777777" w:rsidR="008C20EB" w:rsidRDefault="008D25BE">
            <w:pPr>
              <w:pStyle w:val="TableParagraph"/>
              <w:spacing w:line="251" w:lineRule="exact"/>
              <w:jc w:val="both"/>
              <w:rPr>
                <w:b/>
              </w:rPr>
            </w:pPr>
            <w:r>
              <w:rPr>
                <w:b/>
              </w:rPr>
              <w:t>Pub. 24.07.2009)</w:t>
            </w:r>
          </w:p>
        </w:tc>
        <w:tc>
          <w:tcPr>
            <w:tcW w:w="3500" w:type="dxa"/>
          </w:tcPr>
          <w:p w14:paraId="40FE1BB6" w14:textId="77777777" w:rsidR="008C20EB" w:rsidRDefault="008D25BE">
            <w:pPr>
              <w:pStyle w:val="TableParagraph"/>
              <w:ind w:left="177" w:right="58"/>
              <w:jc w:val="both"/>
            </w:pPr>
            <w:r>
              <w:t>Se sustituye el último párrafo del artículo 4º de las Normas para la Cobertura, Recursos y Pago de Imposiciones Cubiertas del Fondo de Seguro de Depósitos, dicha modificación entrará en vigencia a partir del día siguiente de la publicación en el diario oficial El</w:t>
            </w:r>
            <w:r>
              <w:rPr>
                <w:spacing w:val="-5"/>
              </w:rPr>
              <w:t xml:space="preserve"> </w:t>
            </w:r>
            <w:r>
              <w:t>Peruano.</w:t>
            </w:r>
          </w:p>
          <w:p w14:paraId="40FE1BB7" w14:textId="77777777" w:rsidR="008C20EB" w:rsidRDefault="008C20EB">
            <w:pPr>
              <w:pStyle w:val="TableParagraph"/>
              <w:spacing w:before="10"/>
              <w:jc w:val="both"/>
              <w:rPr>
                <w:rFonts w:ascii="Arial"/>
                <w:b/>
                <w:sz w:val="20"/>
              </w:rPr>
            </w:pPr>
          </w:p>
          <w:p w14:paraId="40FE1BB8" w14:textId="77777777" w:rsidR="008C20EB" w:rsidRDefault="008D25BE">
            <w:pPr>
              <w:pStyle w:val="TableParagraph"/>
              <w:spacing w:before="1"/>
              <w:ind w:left="177" w:right="63"/>
              <w:jc w:val="both"/>
            </w:pPr>
            <w:r>
              <w:t>Modificación del capítulo V del Manual de Contabilidad para las empresas del sistema financiero, la cual entrará en vigencia a partir del día siguiente de la publicación en el diario oficial El Peruano</w:t>
            </w:r>
          </w:p>
        </w:tc>
        <w:tc>
          <w:tcPr>
            <w:tcW w:w="8162" w:type="dxa"/>
          </w:tcPr>
          <w:p w14:paraId="40FE1BB9" w14:textId="77777777" w:rsidR="008C20EB" w:rsidRDefault="008D25BE">
            <w:pPr>
              <w:pStyle w:val="TableParagraph"/>
              <w:numPr>
                <w:ilvl w:val="0"/>
                <w:numId w:val="131"/>
              </w:numPr>
              <w:tabs>
                <w:tab w:val="left" w:pos="361"/>
              </w:tabs>
              <w:ind w:right="60"/>
              <w:jc w:val="both"/>
            </w:pPr>
            <w:r>
              <w:t>Se sustituyen las notas metodológicas del Anexo Nº 17-A “Control de imposiciones cubiertas por el</w:t>
            </w:r>
            <w:r>
              <w:rPr>
                <w:spacing w:val="-6"/>
              </w:rPr>
              <w:t xml:space="preserve"> </w:t>
            </w:r>
            <w:r>
              <w:t>Fondo</w:t>
            </w:r>
            <w:r>
              <w:rPr>
                <w:spacing w:val="-4"/>
              </w:rPr>
              <w:t xml:space="preserve"> </w:t>
            </w:r>
            <w:r>
              <w:t>de</w:t>
            </w:r>
            <w:r>
              <w:rPr>
                <w:spacing w:val="-3"/>
              </w:rPr>
              <w:t xml:space="preserve"> </w:t>
            </w:r>
            <w:r>
              <w:t>Seguros</w:t>
            </w:r>
            <w:r>
              <w:rPr>
                <w:spacing w:val="-3"/>
              </w:rPr>
              <w:t xml:space="preserve"> </w:t>
            </w:r>
            <w:r>
              <w:t>de</w:t>
            </w:r>
            <w:r>
              <w:rPr>
                <w:spacing w:val="-4"/>
              </w:rPr>
              <w:t xml:space="preserve"> </w:t>
            </w:r>
            <w:r>
              <w:t>Depósitos”,</w:t>
            </w:r>
            <w:r>
              <w:rPr>
                <w:spacing w:val="-5"/>
              </w:rPr>
              <w:t xml:space="preserve"> </w:t>
            </w:r>
            <w:r>
              <w:t>del</w:t>
            </w:r>
            <w:r>
              <w:rPr>
                <w:spacing w:val="-1"/>
              </w:rPr>
              <w:t xml:space="preserve"> </w:t>
            </w:r>
            <w:r>
              <w:t>Capítulo</w:t>
            </w:r>
            <w:r>
              <w:rPr>
                <w:spacing w:val="-4"/>
              </w:rPr>
              <w:t xml:space="preserve"> </w:t>
            </w:r>
            <w:r>
              <w:t>V</w:t>
            </w:r>
            <w:r>
              <w:rPr>
                <w:spacing w:val="1"/>
              </w:rPr>
              <w:t xml:space="preserve"> </w:t>
            </w:r>
            <w:r>
              <w:t>del</w:t>
            </w:r>
            <w:r>
              <w:rPr>
                <w:spacing w:val="-1"/>
              </w:rPr>
              <w:t xml:space="preserve"> </w:t>
            </w:r>
            <w:r>
              <w:t>Manual</w:t>
            </w:r>
            <w:r>
              <w:rPr>
                <w:spacing w:val="-5"/>
              </w:rPr>
              <w:t xml:space="preserve"> </w:t>
            </w:r>
            <w:r>
              <w:t>de</w:t>
            </w:r>
            <w:r>
              <w:rPr>
                <w:spacing w:val="-3"/>
              </w:rPr>
              <w:t xml:space="preserve"> </w:t>
            </w:r>
            <w:r>
              <w:t>Contabilidad.</w:t>
            </w:r>
          </w:p>
        </w:tc>
      </w:tr>
      <w:tr w:rsidR="008C20EB" w14:paraId="40FE1BC3" w14:textId="77777777">
        <w:trPr>
          <w:trHeight w:val="758"/>
        </w:trPr>
        <w:tc>
          <w:tcPr>
            <w:tcW w:w="1445" w:type="dxa"/>
          </w:tcPr>
          <w:p w14:paraId="40FE1BBB" w14:textId="77777777" w:rsidR="008C20EB" w:rsidRDefault="008D25BE">
            <w:pPr>
              <w:pStyle w:val="TableParagraph"/>
              <w:spacing w:line="237" w:lineRule="exact"/>
              <w:ind w:left="71"/>
              <w:jc w:val="both"/>
              <w:rPr>
                <w:b/>
              </w:rPr>
            </w:pPr>
            <w:r>
              <w:rPr>
                <w:b/>
              </w:rPr>
              <w:t>Resolución</w:t>
            </w:r>
          </w:p>
          <w:p w14:paraId="40FE1BBC" w14:textId="77777777" w:rsidR="008C20EB" w:rsidRDefault="008D25BE">
            <w:pPr>
              <w:pStyle w:val="TableParagraph"/>
              <w:spacing w:before="2"/>
              <w:ind w:left="71"/>
              <w:jc w:val="both"/>
              <w:rPr>
                <w:b/>
              </w:rPr>
            </w:pPr>
            <w:r>
              <w:rPr>
                <w:b/>
              </w:rPr>
              <w:t>SBS Nº 9784-</w:t>
            </w:r>
          </w:p>
          <w:p w14:paraId="40FE1BBD" w14:textId="77777777" w:rsidR="008C20EB" w:rsidRDefault="008D25BE">
            <w:pPr>
              <w:pStyle w:val="TableParagraph"/>
              <w:spacing w:before="2" w:line="245" w:lineRule="exact"/>
              <w:ind w:left="71"/>
              <w:jc w:val="both"/>
              <w:rPr>
                <w:b/>
              </w:rPr>
            </w:pPr>
            <w:r>
              <w:rPr>
                <w:b/>
              </w:rPr>
              <w:t>2009</w:t>
            </w:r>
          </w:p>
        </w:tc>
        <w:tc>
          <w:tcPr>
            <w:tcW w:w="1733" w:type="dxa"/>
          </w:tcPr>
          <w:p w14:paraId="40FE1BBE"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22.07.2009</w:t>
            </w:r>
            <w:r>
              <w:rPr>
                <w:b/>
              </w:rPr>
              <w:tab/>
              <w:t>/</w:t>
            </w:r>
          </w:p>
          <w:p w14:paraId="40FE1BBF" w14:textId="77777777" w:rsidR="008C20EB" w:rsidRDefault="008D25BE">
            <w:pPr>
              <w:pStyle w:val="TableParagraph"/>
              <w:spacing w:before="2"/>
              <w:jc w:val="both"/>
              <w:rPr>
                <w:b/>
              </w:rPr>
            </w:pPr>
            <w:r>
              <w:rPr>
                <w:b/>
              </w:rPr>
              <w:t>Pub. 24.07.2009)</w:t>
            </w:r>
          </w:p>
        </w:tc>
        <w:tc>
          <w:tcPr>
            <w:tcW w:w="3500" w:type="dxa"/>
          </w:tcPr>
          <w:p w14:paraId="40FE1BC0" w14:textId="77777777" w:rsidR="008C20EB" w:rsidRDefault="008D25BE">
            <w:pPr>
              <w:pStyle w:val="TableParagraph"/>
              <w:spacing w:line="237" w:lineRule="exact"/>
              <w:ind w:left="177"/>
              <w:jc w:val="both"/>
            </w:pPr>
            <w:r>
              <w:t>Modificación  del capítulo  V  del</w:t>
            </w:r>
            <w:r>
              <w:rPr>
                <w:spacing w:val="-7"/>
              </w:rPr>
              <w:t xml:space="preserve"> </w:t>
            </w:r>
            <w:r>
              <w:t>Manual</w:t>
            </w:r>
          </w:p>
          <w:p w14:paraId="40FE1BC1" w14:textId="77777777" w:rsidR="008C20EB" w:rsidRDefault="008D25BE">
            <w:pPr>
              <w:pStyle w:val="TableParagraph"/>
              <w:spacing w:before="2" w:line="250" w:lineRule="atLeast"/>
              <w:ind w:left="177"/>
              <w:jc w:val="both"/>
            </w:pPr>
            <w:r>
              <w:t>de Contabilidad para las empresas del sistema  financiero,  las  cuales</w:t>
            </w:r>
            <w:r>
              <w:rPr>
                <w:spacing w:val="-7"/>
              </w:rPr>
              <w:t xml:space="preserve"> </w:t>
            </w:r>
            <w:r>
              <w:t>entrarán</w:t>
            </w:r>
          </w:p>
        </w:tc>
        <w:tc>
          <w:tcPr>
            <w:tcW w:w="8162" w:type="dxa"/>
          </w:tcPr>
          <w:p w14:paraId="40FE1BC2" w14:textId="77777777" w:rsidR="008C20EB" w:rsidRDefault="008D25BE">
            <w:pPr>
              <w:pStyle w:val="TableParagraph"/>
              <w:numPr>
                <w:ilvl w:val="0"/>
                <w:numId w:val="132"/>
              </w:numPr>
              <w:tabs>
                <w:tab w:val="left" w:pos="361"/>
              </w:tabs>
              <w:spacing w:line="235" w:lineRule="auto"/>
              <w:ind w:right="68"/>
              <w:jc w:val="both"/>
            </w:pPr>
            <w:r>
              <w:t>Se sustituye el Reporte Nº 13 “Control de Límites Globales e Individuales Aplicables a las empresas del Sistema</w:t>
            </w:r>
            <w:r>
              <w:rPr>
                <w:spacing w:val="-10"/>
              </w:rPr>
              <w:t xml:space="preserve"> </w:t>
            </w:r>
            <w:r>
              <w:t>Financiero”.</w:t>
            </w:r>
          </w:p>
        </w:tc>
      </w:tr>
    </w:tbl>
    <w:p w14:paraId="40FE1BC4" w14:textId="77777777" w:rsidR="008C20EB" w:rsidRDefault="008C20EB">
      <w:pPr>
        <w:spacing w:line="235"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C9" w14:textId="77777777">
        <w:trPr>
          <w:trHeight w:val="254"/>
        </w:trPr>
        <w:tc>
          <w:tcPr>
            <w:tcW w:w="1445" w:type="dxa"/>
            <w:vAlign w:val="bottom"/>
          </w:tcPr>
          <w:p w14:paraId="40FE1BC5"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C6" w14:textId="77777777" w:rsidR="008C20EB" w:rsidRDefault="008D25BE">
            <w:pPr>
              <w:pStyle w:val="TableParagraph"/>
              <w:spacing w:line="234" w:lineRule="exact"/>
              <w:ind w:left="556"/>
              <w:jc w:val="both"/>
              <w:rPr>
                <w:b/>
              </w:rPr>
            </w:pPr>
            <w:r>
              <w:rPr>
                <w:b/>
              </w:rPr>
              <w:t>FECHA</w:t>
            </w:r>
          </w:p>
        </w:tc>
        <w:tc>
          <w:tcPr>
            <w:tcW w:w="3500" w:type="dxa"/>
            <w:vAlign w:val="bottom"/>
          </w:tcPr>
          <w:p w14:paraId="40FE1BC7"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C8" w14:textId="77777777" w:rsidR="008C20EB" w:rsidRDefault="008D25BE">
            <w:pPr>
              <w:pStyle w:val="TableParagraph"/>
              <w:spacing w:line="234" w:lineRule="exact"/>
              <w:ind w:left="3271" w:right="3265"/>
              <w:jc w:val="both"/>
              <w:rPr>
                <w:b/>
              </w:rPr>
            </w:pPr>
            <w:r>
              <w:rPr>
                <w:b/>
              </w:rPr>
              <w:t>MODIFICATORIAS</w:t>
            </w:r>
          </w:p>
        </w:tc>
      </w:tr>
      <w:tr w:rsidR="008C20EB" w14:paraId="40FE1BCE" w14:textId="77777777">
        <w:trPr>
          <w:trHeight w:val="758"/>
        </w:trPr>
        <w:tc>
          <w:tcPr>
            <w:tcW w:w="1445" w:type="dxa"/>
          </w:tcPr>
          <w:p w14:paraId="40FE1BCA" w14:textId="77777777" w:rsidR="008C20EB" w:rsidRDefault="008C20EB">
            <w:pPr>
              <w:pStyle w:val="TableParagraph"/>
              <w:jc w:val="both"/>
              <w:rPr>
                <w:rFonts w:ascii="Times New Roman"/>
              </w:rPr>
            </w:pPr>
          </w:p>
        </w:tc>
        <w:tc>
          <w:tcPr>
            <w:tcW w:w="1733" w:type="dxa"/>
          </w:tcPr>
          <w:p w14:paraId="40FE1BCB" w14:textId="77777777" w:rsidR="008C20EB" w:rsidRDefault="008C20EB">
            <w:pPr>
              <w:pStyle w:val="TableParagraph"/>
              <w:jc w:val="both"/>
              <w:rPr>
                <w:rFonts w:ascii="Times New Roman"/>
              </w:rPr>
            </w:pPr>
          </w:p>
        </w:tc>
        <w:tc>
          <w:tcPr>
            <w:tcW w:w="3500" w:type="dxa"/>
          </w:tcPr>
          <w:p w14:paraId="40FE1BCC" w14:textId="77777777" w:rsidR="008C20EB" w:rsidRDefault="008D25BE">
            <w:pPr>
              <w:pStyle w:val="TableParagraph"/>
              <w:spacing w:line="237" w:lineRule="auto"/>
              <w:ind w:left="177"/>
              <w:jc w:val="both"/>
            </w:pPr>
            <w:r>
              <w:t>en vigencia a partir de la información correspondiente al mes de julio de 2009</w:t>
            </w:r>
          </w:p>
        </w:tc>
        <w:tc>
          <w:tcPr>
            <w:tcW w:w="8162" w:type="dxa"/>
          </w:tcPr>
          <w:p w14:paraId="40FE1BCD" w14:textId="77777777" w:rsidR="008C20EB" w:rsidRDefault="008C20EB">
            <w:pPr>
              <w:pStyle w:val="TableParagraph"/>
              <w:jc w:val="both"/>
              <w:rPr>
                <w:rFonts w:ascii="Times New Roman"/>
              </w:rPr>
            </w:pPr>
          </w:p>
        </w:tc>
      </w:tr>
      <w:tr w:rsidR="008C20EB" w14:paraId="40FE1BE4" w14:textId="77777777">
        <w:trPr>
          <w:trHeight w:val="5866"/>
        </w:trPr>
        <w:tc>
          <w:tcPr>
            <w:tcW w:w="1445" w:type="dxa"/>
          </w:tcPr>
          <w:p w14:paraId="40FE1BCF" w14:textId="77777777" w:rsidR="008C20EB" w:rsidRDefault="008D25BE">
            <w:pPr>
              <w:pStyle w:val="TableParagraph"/>
              <w:spacing w:line="237" w:lineRule="auto"/>
              <w:ind w:left="71" w:right="42"/>
              <w:jc w:val="both"/>
              <w:rPr>
                <w:b/>
              </w:rPr>
            </w:pPr>
            <w:r>
              <w:rPr>
                <w:b/>
              </w:rPr>
              <w:t>Resolución SBS Nº 6328-</w:t>
            </w:r>
          </w:p>
          <w:p w14:paraId="40FE1BD0" w14:textId="77777777" w:rsidR="008C20EB" w:rsidRDefault="008D25BE">
            <w:pPr>
              <w:pStyle w:val="TableParagraph"/>
              <w:ind w:left="71"/>
              <w:jc w:val="both"/>
              <w:rPr>
                <w:b/>
              </w:rPr>
            </w:pPr>
            <w:r>
              <w:rPr>
                <w:b/>
              </w:rPr>
              <w:t>2009</w:t>
            </w:r>
          </w:p>
        </w:tc>
        <w:tc>
          <w:tcPr>
            <w:tcW w:w="1733" w:type="dxa"/>
          </w:tcPr>
          <w:p w14:paraId="40FE1BD1"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18.06.2009</w:t>
            </w:r>
            <w:r>
              <w:rPr>
                <w:b/>
              </w:rPr>
              <w:tab/>
              <w:t>/</w:t>
            </w:r>
          </w:p>
          <w:p w14:paraId="40FE1BD2" w14:textId="77777777" w:rsidR="008C20EB" w:rsidRDefault="008D25BE">
            <w:pPr>
              <w:pStyle w:val="TableParagraph"/>
              <w:spacing w:line="251" w:lineRule="exact"/>
              <w:jc w:val="both"/>
              <w:rPr>
                <w:b/>
              </w:rPr>
            </w:pPr>
            <w:r>
              <w:rPr>
                <w:b/>
              </w:rPr>
              <w:t>Pub. 20.06.2009)</w:t>
            </w:r>
          </w:p>
        </w:tc>
        <w:tc>
          <w:tcPr>
            <w:tcW w:w="3500" w:type="dxa"/>
          </w:tcPr>
          <w:p w14:paraId="40FE1BD3" w14:textId="77777777" w:rsidR="008C20EB" w:rsidRDefault="008D25BE">
            <w:pPr>
              <w:pStyle w:val="TableParagraph"/>
              <w:ind w:left="177" w:right="63"/>
              <w:jc w:val="both"/>
            </w:pPr>
            <w:r>
              <w:t>Se aprueba el Reglamento para el Requerimiento de Patrimonio Efectivo por Riesgo de Mercado que entrará en vigencia a partir de julio de 2009.</w:t>
            </w:r>
          </w:p>
          <w:p w14:paraId="40FE1BD4" w14:textId="77777777" w:rsidR="008C20EB" w:rsidRDefault="008C20EB">
            <w:pPr>
              <w:pStyle w:val="TableParagraph"/>
              <w:spacing w:before="7"/>
              <w:jc w:val="both"/>
              <w:rPr>
                <w:rFonts w:ascii="Arial"/>
                <w:b/>
                <w:sz w:val="20"/>
              </w:rPr>
            </w:pPr>
          </w:p>
          <w:p w14:paraId="40FE1BD5" w14:textId="77777777" w:rsidR="008C20EB" w:rsidRDefault="008D25BE">
            <w:pPr>
              <w:pStyle w:val="TableParagraph"/>
              <w:ind w:left="177" w:right="63"/>
              <w:jc w:val="both"/>
            </w:pPr>
            <w:r>
              <w:t>Modificación del capítulo V del Manual de Contabilidad para las empresas del sistema financiero, las cuales entrarán en vigencia a partir de la información correspondiente al mes de julio de 2009.</w:t>
            </w:r>
          </w:p>
        </w:tc>
        <w:tc>
          <w:tcPr>
            <w:tcW w:w="8162" w:type="dxa"/>
          </w:tcPr>
          <w:p w14:paraId="40FE1BD6" w14:textId="77777777" w:rsidR="008C20EB" w:rsidRDefault="008D25BE">
            <w:pPr>
              <w:pStyle w:val="TableParagraph"/>
              <w:numPr>
                <w:ilvl w:val="0"/>
                <w:numId w:val="133"/>
              </w:numPr>
              <w:tabs>
                <w:tab w:val="left" w:pos="361"/>
              </w:tabs>
              <w:spacing w:line="256" w:lineRule="exact"/>
              <w:ind w:hanging="289"/>
              <w:jc w:val="both"/>
            </w:pPr>
            <w:r>
              <w:t>Se incorporan los siguientes</w:t>
            </w:r>
            <w:r>
              <w:rPr>
                <w:spacing w:val="-11"/>
              </w:rPr>
              <w:t xml:space="preserve"> </w:t>
            </w:r>
            <w:r>
              <w:t>reportes:</w:t>
            </w:r>
          </w:p>
          <w:p w14:paraId="40FE1BD7" w14:textId="77777777" w:rsidR="008C20EB" w:rsidRDefault="008D25BE">
            <w:pPr>
              <w:pStyle w:val="TableParagraph"/>
              <w:numPr>
                <w:ilvl w:val="1"/>
                <w:numId w:val="133"/>
              </w:numPr>
              <w:tabs>
                <w:tab w:val="left" w:pos="1512"/>
                <w:tab w:val="left" w:pos="1513"/>
              </w:tabs>
              <w:spacing w:line="242" w:lineRule="auto"/>
              <w:ind w:right="55"/>
              <w:jc w:val="both"/>
            </w:pPr>
            <w:r>
              <w:t xml:space="preserve">Nº 2-B1 Anexo 1-A </w:t>
            </w:r>
            <w:r>
              <w:rPr>
                <w:spacing w:val="-3"/>
              </w:rPr>
              <w:t xml:space="preserve">“Método </w:t>
            </w:r>
            <w:r>
              <w:t>Estándar - Requerimiento de Patrimonio Efectivo por Riesgo</w:t>
            </w:r>
            <w:r>
              <w:rPr>
                <w:spacing w:val="-5"/>
              </w:rPr>
              <w:t xml:space="preserve"> </w:t>
            </w:r>
            <w:r>
              <w:t>de</w:t>
            </w:r>
            <w:r>
              <w:rPr>
                <w:spacing w:val="-4"/>
              </w:rPr>
              <w:t xml:space="preserve"> </w:t>
            </w:r>
            <w:r>
              <w:t>Tasa</w:t>
            </w:r>
            <w:r>
              <w:rPr>
                <w:spacing w:val="-4"/>
              </w:rPr>
              <w:t xml:space="preserve"> </w:t>
            </w:r>
            <w:r>
              <w:t>de</w:t>
            </w:r>
            <w:r>
              <w:rPr>
                <w:spacing w:val="-4"/>
              </w:rPr>
              <w:t xml:space="preserve"> </w:t>
            </w:r>
            <w:r>
              <w:t>Interés</w:t>
            </w:r>
            <w:r>
              <w:rPr>
                <w:spacing w:val="-3"/>
              </w:rPr>
              <w:t xml:space="preserve"> </w:t>
            </w:r>
            <w:r>
              <w:t>en</w:t>
            </w:r>
            <w:r>
              <w:rPr>
                <w:spacing w:val="-5"/>
              </w:rPr>
              <w:t xml:space="preserve"> </w:t>
            </w:r>
            <w:r>
              <w:t>la</w:t>
            </w:r>
            <w:r>
              <w:rPr>
                <w:spacing w:val="-4"/>
              </w:rPr>
              <w:t xml:space="preserve"> </w:t>
            </w:r>
            <w:r>
              <w:t>Cartera</w:t>
            </w:r>
            <w:r>
              <w:rPr>
                <w:spacing w:val="-4"/>
              </w:rPr>
              <w:t xml:space="preserve"> </w:t>
            </w:r>
            <w:r>
              <w:t>de</w:t>
            </w:r>
            <w:r>
              <w:rPr>
                <w:spacing w:val="-5"/>
              </w:rPr>
              <w:t xml:space="preserve"> </w:t>
            </w:r>
            <w:r>
              <w:t>Negociación – Riesgo</w:t>
            </w:r>
            <w:r>
              <w:rPr>
                <w:spacing w:val="-4"/>
              </w:rPr>
              <w:t xml:space="preserve"> </w:t>
            </w:r>
            <w:r>
              <w:t>Específico”.</w:t>
            </w:r>
          </w:p>
          <w:p w14:paraId="40FE1BD8" w14:textId="77777777" w:rsidR="008C20EB" w:rsidRDefault="008D25BE">
            <w:pPr>
              <w:pStyle w:val="TableParagraph"/>
              <w:numPr>
                <w:ilvl w:val="1"/>
                <w:numId w:val="133"/>
              </w:numPr>
              <w:tabs>
                <w:tab w:val="left" w:pos="1512"/>
                <w:tab w:val="left" w:pos="1513"/>
              </w:tabs>
              <w:spacing w:line="242" w:lineRule="auto"/>
              <w:ind w:right="55"/>
              <w:jc w:val="both"/>
            </w:pPr>
            <w:r>
              <w:t xml:space="preserve">Nº 2-B1 Anexo 1-B </w:t>
            </w:r>
            <w:r>
              <w:rPr>
                <w:spacing w:val="-3"/>
              </w:rPr>
              <w:t xml:space="preserve">“Método </w:t>
            </w:r>
            <w:r>
              <w:t>Estándar - Requerimiento de Patrimonio Efectivo por Riesgo de Tasa de Interés en la Cartera de Negociación – Riesgo</w:t>
            </w:r>
            <w:r>
              <w:rPr>
                <w:spacing w:val="-37"/>
              </w:rPr>
              <w:t xml:space="preserve"> </w:t>
            </w:r>
            <w:r>
              <w:t>General”.</w:t>
            </w:r>
          </w:p>
          <w:p w14:paraId="40FE1BD9" w14:textId="77777777" w:rsidR="008C20EB" w:rsidRDefault="008D25BE">
            <w:pPr>
              <w:pStyle w:val="TableParagraph"/>
              <w:numPr>
                <w:ilvl w:val="1"/>
                <w:numId w:val="133"/>
              </w:numPr>
              <w:tabs>
                <w:tab w:val="left" w:pos="1512"/>
                <w:tab w:val="left" w:pos="1513"/>
              </w:tabs>
              <w:spacing w:line="237" w:lineRule="auto"/>
              <w:ind w:right="62"/>
              <w:jc w:val="both"/>
            </w:pPr>
            <w:r>
              <w:t>Nº 2-B1 Anexo 1-C “Método Estándar – Resumen Requerimiento de Patrimonio Efectivo por Riesgo de Tasa de Interés en la Cartera de</w:t>
            </w:r>
            <w:r>
              <w:rPr>
                <w:spacing w:val="-33"/>
              </w:rPr>
              <w:t xml:space="preserve"> </w:t>
            </w:r>
            <w:r>
              <w:t>Negociación”.</w:t>
            </w:r>
          </w:p>
          <w:p w14:paraId="40FE1BDA" w14:textId="77777777" w:rsidR="008C20EB" w:rsidRDefault="008D25BE">
            <w:pPr>
              <w:pStyle w:val="TableParagraph"/>
              <w:numPr>
                <w:ilvl w:val="1"/>
                <w:numId w:val="133"/>
              </w:numPr>
              <w:tabs>
                <w:tab w:val="left" w:pos="1512"/>
                <w:tab w:val="left" w:pos="1513"/>
              </w:tabs>
              <w:spacing w:line="237" w:lineRule="auto"/>
              <w:ind w:right="60"/>
              <w:jc w:val="both"/>
            </w:pPr>
            <w:r>
              <w:t xml:space="preserve">Nº 2-B1 Anexo 2 </w:t>
            </w:r>
            <w:r>
              <w:rPr>
                <w:spacing w:val="-3"/>
              </w:rPr>
              <w:t xml:space="preserve">“Método </w:t>
            </w:r>
            <w:r>
              <w:t>Estándar - Requerimiento de Patrimonio Efectivo por Riesgo de Precio en la Cartera de</w:t>
            </w:r>
            <w:r>
              <w:rPr>
                <w:spacing w:val="-17"/>
              </w:rPr>
              <w:t xml:space="preserve"> </w:t>
            </w:r>
            <w:r>
              <w:t>Negociación”.</w:t>
            </w:r>
          </w:p>
          <w:p w14:paraId="40FE1BDB" w14:textId="77777777" w:rsidR="008C20EB" w:rsidRDefault="008D25BE">
            <w:pPr>
              <w:pStyle w:val="TableParagraph"/>
              <w:numPr>
                <w:ilvl w:val="1"/>
                <w:numId w:val="133"/>
              </w:numPr>
              <w:tabs>
                <w:tab w:val="left" w:pos="1512"/>
                <w:tab w:val="left" w:pos="1513"/>
              </w:tabs>
              <w:ind w:right="61"/>
              <w:jc w:val="both"/>
            </w:pPr>
            <w:r>
              <w:t>Nº 2-B1 Anexo 3 “Método Estándar- Requerimiento de Patrimonio Efectivo por Riesgo</w:t>
            </w:r>
            <w:r>
              <w:rPr>
                <w:spacing w:val="-4"/>
              </w:rPr>
              <w:t xml:space="preserve"> </w:t>
            </w:r>
            <w:r>
              <w:t>Cambiario”.</w:t>
            </w:r>
          </w:p>
          <w:p w14:paraId="40FE1BDC" w14:textId="77777777" w:rsidR="008C20EB" w:rsidRDefault="008D25BE">
            <w:pPr>
              <w:pStyle w:val="TableParagraph"/>
              <w:numPr>
                <w:ilvl w:val="1"/>
                <w:numId w:val="133"/>
              </w:numPr>
              <w:tabs>
                <w:tab w:val="left" w:pos="1512"/>
                <w:tab w:val="left" w:pos="1513"/>
              </w:tabs>
              <w:ind w:right="61"/>
              <w:jc w:val="both"/>
            </w:pPr>
            <w:r>
              <w:t>Nº 2-B1 Anexo 4 “Método Estándar- Requerimiento de Patrimonio Efectivo por Riesgo de</w:t>
            </w:r>
            <w:r>
              <w:rPr>
                <w:spacing w:val="-7"/>
              </w:rPr>
              <w:t xml:space="preserve"> </w:t>
            </w:r>
            <w:r>
              <w:t>Commodities”.</w:t>
            </w:r>
          </w:p>
          <w:p w14:paraId="40FE1BDD" w14:textId="77777777" w:rsidR="008C20EB" w:rsidRDefault="008D25BE">
            <w:pPr>
              <w:pStyle w:val="TableParagraph"/>
              <w:numPr>
                <w:ilvl w:val="1"/>
                <w:numId w:val="133"/>
              </w:numPr>
              <w:tabs>
                <w:tab w:val="left" w:pos="1512"/>
                <w:tab w:val="left" w:pos="1513"/>
              </w:tabs>
              <w:spacing w:line="252" w:lineRule="exact"/>
              <w:jc w:val="both"/>
            </w:pPr>
            <w:r>
              <w:t xml:space="preserve">Nº 2-B2 Anexo A </w:t>
            </w:r>
            <w:r>
              <w:rPr>
                <w:spacing w:val="-3"/>
              </w:rPr>
              <w:t xml:space="preserve">“Modelo </w:t>
            </w:r>
            <w:r>
              <w:t>Interno – VAR Varianzas y</w:t>
            </w:r>
            <w:r>
              <w:rPr>
                <w:spacing w:val="-14"/>
              </w:rPr>
              <w:t xml:space="preserve"> </w:t>
            </w:r>
            <w:r>
              <w:t>Covarianzas”.</w:t>
            </w:r>
          </w:p>
          <w:p w14:paraId="40FE1BDE" w14:textId="77777777" w:rsidR="008C20EB" w:rsidRDefault="008D25BE">
            <w:pPr>
              <w:pStyle w:val="TableParagraph"/>
              <w:numPr>
                <w:ilvl w:val="1"/>
                <w:numId w:val="133"/>
              </w:numPr>
              <w:tabs>
                <w:tab w:val="left" w:pos="1512"/>
                <w:tab w:val="left" w:pos="1513"/>
              </w:tabs>
              <w:spacing w:before="1"/>
              <w:jc w:val="both"/>
            </w:pPr>
            <w:r>
              <w:t xml:space="preserve">Nº 2-B2 Anexo B </w:t>
            </w:r>
            <w:r>
              <w:rPr>
                <w:spacing w:val="-3"/>
              </w:rPr>
              <w:t xml:space="preserve">“Modelo </w:t>
            </w:r>
            <w:r>
              <w:t>Interno – VAR Simulación</w:t>
            </w:r>
            <w:r>
              <w:rPr>
                <w:spacing w:val="-8"/>
              </w:rPr>
              <w:t xml:space="preserve"> </w:t>
            </w:r>
            <w:r>
              <w:t>Histórica”.</w:t>
            </w:r>
          </w:p>
          <w:p w14:paraId="40FE1BDF" w14:textId="77777777" w:rsidR="008C20EB" w:rsidRDefault="008D25BE">
            <w:pPr>
              <w:pStyle w:val="TableParagraph"/>
              <w:numPr>
                <w:ilvl w:val="1"/>
                <w:numId w:val="133"/>
              </w:numPr>
              <w:tabs>
                <w:tab w:val="left" w:pos="1512"/>
                <w:tab w:val="left" w:pos="1513"/>
              </w:tabs>
              <w:spacing w:before="2"/>
              <w:jc w:val="both"/>
            </w:pPr>
            <w:r>
              <w:t>Nº 2-B2 Anexo C “Modelo Interno – VAR Simulación de</w:t>
            </w:r>
            <w:r>
              <w:rPr>
                <w:spacing w:val="-26"/>
              </w:rPr>
              <w:t xml:space="preserve"> </w:t>
            </w:r>
            <w:r>
              <w:t>Montecarlo”:</w:t>
            </w:r>
          </w:p>
          <w:p w14:paraId="40FE1BE0" w14:textId="77777777" w:rsidR="008C20EB" w:rsidRDefault="008C20EB">
            <w:pPr>
              <w:pStyle w:val="TableParagraph"/>
              <w:spacing w:before="9"/>
              <w:jc w:val="both"/>
              <w:rPr>
                <w:rFonts w:ascii="Arial"/>
                <w:b/>
                <w:sz w:val="21"/>
              </w:rPr>
            </w:pPr>
          </w:p>
          <w:p w14:paraId="40FE1BE1" w14:textId="77777777" w:rsidR="008C20EB" w:rsidRDefault="008D25BE">
            <w:pPr>
              <w:pStyle w:val="TableParagraph"/>
              <w:numPr>
                <w:ilvl w:val="0"/>
                <w:numId w:val="133"/>
              </w:numPr>
              <w:tabs>
                <w:tab w:val="left" w:pos="361"/>
              </w:tabs>
              <w:spacing w:line="269" w:lineRule="exact"/>
              <w:ind w:hanging="289"/>
              <w:jc w:val="both"/>
            </w:pPr>
            <w:r>
              <w:t>Se modifica el Anexo Nº</w:t>
            </w:r>
            <w:r>
              <w:rPr>
                <w:spacing w:val="-12"/>
              </w:rPr>
              <w:t xml:space="preserve"> </w:t>
            </w:r>
            <w:r>
              <w:t>9.</w:t>
            </w:r>
          </w:p>
          <w:p w14:paraId="40FE1BE2" w14:textId="77777777" w:rsidR="008C20EB" w:rsidRDefault="008D25BE">
            <w:pPr>
              <w:pStyle w:val="TableParagraph"/>
              <w:numPr>
                <w:ilvl w:val="0"/>
                <w:numId w:val="133"/>
              </w:numPr>
              <w:tabs>
                <w:tab w:val="left" w:pos="361"/>
              </w:tabs>
              <w:spacing w:before="4" w:line="235" w:lineRule="auto"/>
              <w:ind w:right="61"/>
              <w:jc w:val="both"/>
            </w:pPr>
            <w:r>
              <w:t xml:space="preserve">Se elimina el Anexo Nº 23 “Requerimiento Patrimonial Mínimo por Riesgo </w:t>
            </w:r>
            <w:r>
              <w:rPr>
                <w:spacing w:val="3"/>
              </w:rPr>
              <w:t xml:space="preserve">de </w:t>
            </w:r>
            <w:r>
              <w:t>Precio de las Posiciones en Valores Representativos de</w:t>
            </w:r>
            <w:r>
              <w:rPr>
                <w:spacing w:val="-14"/>
              </w:rPr>
              <w:t xml:space="preserve"> </w:t>
            </w:r>
            <w:r>
              <w:t>Capital”.</w:t>
            </w:r>
          </w:p>
          <w:p w14:paraId="40FE1BE3" w14:textId="77777777" w:rsidR="008C20EB" w:rsidRDefault="008D25BE">
            <w:pPr>
              <w:pStyle w:val="TableParagraph"/>
              <w:numPr>
                <w:ilvl w:val="0"/>
                <w:numId w:val="133"/>
              </w:numPr>
              <w:tabs>
                <w:tab w:val="left" w:pos="361"/>
              </w:tabs>
              <w:spacing w:before="8" w:line="235" w:lineRule="auto"/>
              <w:ind w:right="69"/>
              <w:jc w:val="both"/>
            </w:pPr>
            <w:r>
              <w:t>Se elimina el Reporte Nº 2 (Anexo B) “Resumen de Activos y Créditos Contingentes Ponderados</w:t>
            </w:r>
            <w:r>
              <w:rPr>
                <w:spacing w:val="-5"/>
              </w:rPr>
              <w:t xml:space="preserve"> </w:t>
            </w:r>
            <w:r>
              <w:t>por</w:t>
            </w:r>
            <w:r>
              <w:rPr>
                <w:spacing w:val="-4"/>
              </w:rPr>
              <w:t xml:space="preserve"> </w:t>
            </w:r>
            <w:r>
              <w:t>Riesgo</w:t>
            </w:r>
            <w:r>
              <w:rPr>
                <w:spacing w:val="-5"/>
              </w:rPr>
              <w:t xml:space="preserve"> </w:t>
            </w:r>
            <w:r>
              <w:t>Crediticio</w:t>
            </w:r>
            <w:r>
              <w:rPr>
                <w:spacing w:val="-6"/>
              </w:rPr>
              <w:t xml:space="preserve"> </w:t>
            </w:r>
            <w:r>
              <w:t>y Requerimientos</w:t>
            </w:r>
            <w:r>
              <w:rPr>
                <w:spacing w:val="-4"/>
              </w:rPr>
              <w:t xml:space="preserve"> </w:t>
            </w:r>
            <w:r>
              <w:t>Patrimoniales</w:t>
            </w:r>
            <w:r>
              <w:rPr>
                <w:spacing w:val="-5"/>
              </w:rPr>
              <w:t xml:space="preserve"> </w:t>
            </w:r>
            <w:r>
              <w:t>por</w:t>
            </w:r>
            <w:r>
              <w:rPr>
                <w:spacing w:val="-4"/>
              </w:rPr>
              <w:t xml:space="preserve"> </w:t>
            </w:r>
            <w:r>
              <w:t>Riesgos</w:t>
            </w:r>
            <w:r>
              <w:rPr>
                <w:spacing w:val="-4"/>
              </w:rPr>
              <w:t xml:space="preserve"> </w:t>
            </w:r>
            <w:r>
              <w:t>de</w:t>
            </w:r>
            <w:r>
              <w:rPr>
                <w:spacing w:val="-6"/>
              </w:rPr>
              <w:t xml:space="preserve"> </w:t>
            </w:r>
            <w:r>
              <w:t>Mercado”.</w:t>
            </w:r>
          </w:p>
        </w:tc>
      </w:tr>
      <w:tr w:rsidR="008C20EB" w14:paraId="40FE1BF1" w14:textId="77777777">
        <w:trPr>
          <w:trHeight w:val="2290"/>
        </w:trPr>
        <w:tc>
          <w:tcPr>
            <w:tcW w:w="1445" w:type="dxa"/>
          </w:tcPr>
          <w:p w14:paraId="40FE1BE5" w14:textId="77777777" w:rsidR="008C20EB" w:rsidRDefault="008D25BE">
            <w:pPr>
              <w:pStyle w:val="TableParagraph"/>
              <w:spacing w:line="237" w:lineRule="auto"/>
              <w:ind w:left="71" w:right="42"/>
              <w:jc w:val="both"/>
              <w:rPr>
                <w:b/>
              </w:rPr>
            </w:pPr>
            <w:r>
              <w:rPr>
                <w:b/>
              </w:rPr>
              <w:t>Resolución SBS Nº 4729-</w:t>
            </w:r>
          </w:p>
          <w:p w14:paraId="40FE1BE6" w14:textId="77777777" w:rsidR="008C20EB" w:rsidRDefault="008D25BE">
            <w:pPr>
              <w:pStyle w:val="TableParagraph"/>
              <w:ind w:left="71"/>
              <w:jc w:val="both"/>
              <w:rPr>
                <w:b/>
              </w:rPr>
            </w:pPr>
            <w:r>
              <w:rPr>
                <w:b/>
              </w:rPr>
              <w:t>2009</w:t>
            </w:r>
          </w:p>
        </w:tc>
        <w:tc>
          <w:tcPr>
            <w:tcW w:w="1733" w:type="dxa"/>
          </w:tcPr>
          <w:p w14:paraId="40FE1BE7" w14:textId="77777777" w:rsidR="008C20EB" w:rsidRDefault="008D25BE">
            <w:pPr>
              <w:pStyle w:val="TableParagraph"/>
              <w:tabs>
                <w:tab w:val="left" w:pos="1606"/>
              </w:tabs>
              <w:spacing w:line="241" w:lineRule="exact"/>
              <w:jc w:val="both"/>
              <w:rPr>
                <w:b/>
              </w:rPr>
            </w:pPr>
            <w:r>
              <w:rPr>
                <w:b/>
              </w:rPr>
              <w:t xml:space="preserve">(Pr.  </w:t>
            </w:r>
            <w:r>
              <w:rPr>
                <w:b/>
                <w:spacing w:val="44"/>
              </w:rPr>
              <w:t xml:space="preserve"> </w:t>
            </w:r>
            <w:r>
              <w:rPr>
                <w:b/>
              </w:rPr>
              <w:t>29.05.2009</w:t>
            </w:r>
            <w:r>
              <w:rPr>
                <w:b/>
              </w:rPr>
              <w:tab/>
              <w:t>/</w:t>
            </w:r>
          </w:p>
          <w:p w14:paraId="40FE1BE8" w14:textId="77777777" w:rsidR="008C20EB" w:rsidRDefault="008D25BE">
            <w:pPr>
              <w:pStyle w:val="TableParagraph"/>
              <w:spacing w:line="251" w:lineRule="exact"/>
              <w:jc w:val="both"/>
              <w:rPr>
                <w:b/>
              </w:rPr>
            </w:pPr>
            <w:r>
              <w:rPr>
                <w:b/>
              </w:rPr>
              <w:t>Pub. 01.06.2009)</w:t>
            </w:r>
          </w:p>
        </w:tc>
        <w:tc>
          <w:tcPr>
            <w:tcW w:w="3500" w:type="dxa"/>
          </w:tcPr>
          <w:p w14:paraId="40FE1BE9" w14:textId="77777777" w:rsidR="008C20EB" w:rsidRDefault="008D25BE">
            <w:pPr>
              <w:pStyle w:val="TableParagraph"/>
              <w:ind w:left="177" w:right="68"/>
              <w:jc w:val="both"/>
            </w:pPr>
            <w:r>
              <w:t>Modificación de los capítulos III, IV y V del Manual de Contabilidad para las empresas de sistema financiero, las cuales entrarán en vigencia a partir de la información correspondiente al mes de julio de</w:t>
            </w:r>
            <w:r>
              <w:rPr>
                <w:spacing w:val="-5"/>
              </w:rPr>
              <w:t xml:space="preserve"> </w:t>
            </w:r>
            <w:r>
              <w:t>2009.</w:t>
            </w:r>
          </w:p>
          <w:p w14:paraId="40FE1BEA" w14:textId="77777777" w:rsidR="008C20EB" w:rsidRDefault="008C20EB">
            <w:pPr>
              <w:pStyle w:val="TableParagraph"/>
              <w:spacing w:before="2"/>
              <w:jc w:val="both"/>
              <w:rPr>
                <w:rFonts w:ascii="Arial"/>
                <w:b/>
                <w:sz w:val="21"/>
              </w:rPr>
            </w:pPr>
          </w:p>
          <w:p w14:paraId="40FE1BEB" w14:textId="77777777" w:rsidR="008C20EB" w:rsidRDefault="008D25BE">
            <w:pPr>
              <w:pStyle w:val="TableParagraph"/>
              <w:spacing w:line="237" w:lineRule="auto"/>
              <w:ind w:left="177" w:right="65"/>
              <w:jc w:val="both"/>
            </w:pPr>
            <w:r>
              <w:t>Modificación del capítulo V del Manual de Contabilidad para las empresas del</w:t>
            </w:r>
          </w:p>
        </w:tc>
        <w:tc>
          <w:tcPr>
            <w:tcW w:w="8162" w:type="dxa"/>
          </w:tcPr>
          <w:p w14:paraId="40FE1BEC" w14:textId="77777777" w:rsidR="008C20EB" w:rsidRDefault="008D25BE">
            <w:pPr>
              <w:pStyle w:val="TableParagraph"/>
              <w:numPr>
                <w:ilvl w:val="0"/>
                <w:numId w:val="134"/>
              </w:numPr>
              <w:tabs>
                <w:tab w:val="left" w:pos="361"/>
              </w:tabs>
              <w:spacing w:line="256" w:lineRule="exact"/>
              <w:ind w:hanging="289"/>
              <w:jc w:val="both"/>
            </w:pPr>
            <w:r>
              <w:t>Anexo A: Modificaciones con vigencia a partir de julio de</w:t>
            </w:r>
            <w:r>
              <w:rPr>
                <w:spacing w:val="-23"/>
              </w:rPr>
              <w:t xml:space="preserve"> </w:t>
            </w:r>
            <w:r>
              <w:t>2009:</w:t>
            </w:r>
          </w:p>
          <w:p w14:paraId="40FE1BED" w14:textId="77777777" w:rsidR="008C20EB" w:rsidRDefault="008D25BE">
            <w:pPr>
              <w:pStyle w:val="TableParagraph"/>
              <w:numPr>
                <w:ilvl w:val="1"/>
                <w:numId w:val="134"/>
              </w:numPr>
              <w:tabs>
                <w:tab w:val="left" w:pos="1513"/>
              </w:tabs>
              <w:spacing w:line="242" w:lineRule="auto"/>
              <w:ind w:right="65"/>
              <w:jc w:val="both"/>
            </w:pPr>
            <w:r>
              <w:t>Se elimina la cuenta 8108 “Utilización del Capital Social para Cómputo del Patrimonio</w:t>
            </w:r>
            <w:r>
              <w:rPr>
                <w:spacing w:val="-4"/>
              </w:rPr>
              <w:t xml:space="preserve"> </w:t>
            </w:r>
            <w:r>
              <w:t>Efectivo”.</w:t>
            </w:r>
          </w:p>
          <w:p w14:paraId="40FE1BEE" w14:textId="77777777" w:rsidR="008C20EB" w:rsidRDefault="008D25BE">
            <w:pPr>
              <w:pStyle w:val="TableParagraph"/>
              <w:numPr>
                <w:ilvl w:val="1"/>
                <w:numId w:val="134"/>
              </w:numPr>
              <w:tabs>
                <w:tab w:val="left" w:pos="1513"/>
              </w:tabs>
              <w:spacing w:line="250" w:lineRule="exact"/>
              <w:jc w:val="both"/>
            </w:pPr>
            <w:r>
              <w:t>Se sustituye el Reporte Nº 3 “Patrimonio</w:t>
            </w:r>
            <w:r>
              <w:rPr>
                <w:spacing w:val="-11"/>
              </w:rPr>
              <w:t xml:space="preserve"> </w:t>
            </w:r>
            <w:r>
              <w:t>Efectivo”.</w:t>
            </w:r>
          </w:p>
          <w:p w14:paraId="40FE1BEF" w14:textId="77777777" w:rsidR="008C20EB" w:rsidRDefault="008D25BE">
            <w:pPr>
              <w:pStyle w:val="TableParagraph"/>
              <w:numPr>
                <w:ilvl w:val="1"/>
                <w:numId w:val="134"/>
              </w:numPr>
              <w:tabs>
                <w:tab w:val="left" w:pos="1513"/>
              </w:tabs>
              <w:ind w:right="59"/>
              <w:jc w:val="both"/>
            </w:pPr>
            <w:r>
              <w:t>Se aprueba el Reporte Nº 2-D “Requerimientos de Patrimonio Efectivo por riesgo de crédito, mercado y operacional y cálculo del Límite Global a que se refiere el primer párrafo del Artículo 199º y la Vigésima Cuarta Disposición Transitoria de la Ley</w:t>
            </w:r>
            <w:r>
              <w:rPr>
                <w:spacing w:val="11"/>
              </w:rPr>
              <w:t xml:space="preserve"> </w:t>
            </w:r>
            <w:r>
              <w:t>General”.</w:t>
            </w:r>
            <w:r>
              <w:rPr>
                <w:spacing w:val="13"/>
              </w:rPr>
              <w:t xml:space="preserve"> </w:t>
            </w:r>
            <w:r>
              <w:t>A</w:t>
            </w:r>
            <w:r>
              <w:rPr>
                <w:spacing w:val="10"/>
              </w:rPr>
              <w:t xml:space="preserve"> </w:t>
            </w:r>
            <w:r>
              <w:t>su</w:t>
            </w:r>
            <w:r>
              <w:rPr>
                <w:spacing w:val="18"/>
              </w:rPr>
              <w:t xml:space="preserve"> </w:t>
            </w:r>
            <w:r>
              <w:t>vez,</w:t>
            </w:r>
            <w:r>
              <w:rPr>
                <w:spacing w:val="8"/>
              </w:rPr>
              <w:t xml:space="preserve"> </w:t>
            </w:r>
            <w:r>
              <w:t>se</w:t>
            </w:r>
            <w:r>
              <w:rPr>
                <w:spacing w:val="15"/>
              </w:rPr>
              <w:t xml:space="preserve"> </w:t>
            </w:r>
            <w:r>
              <w:t>corrige</w:t>
            </w:r>
            <w:r>
              <w:rPr>
                <w:spacing w:val="11"/>
              </w:rPr>
              <w:t xml:space="preserve"> </w:t>
            </w:r>
            <w:r>
              <w:t>dicho</w:t>
            </w:r>
            <w:r>
              <w:rPr>
                <w:spacing w:val="11"/>
              </w:rPr>
              <w:t xml:space="preserve"> </w:t>
            </w:r>
            <w:r>
              <w:t>reporte</w:t>
            </w:r>
            <w:r>
              <w:rPr>
                <w:spacing w:val="11"/>
              </w:rPr>
              <w:t xml:space="preserve"> </w:t>
            </w:r>
            <w:r>
              <w:t>de</w:t>
            </w:r>
            <w:r>
              <w:rPr>
                <w:spacing w:val="11"/>
              </w:rPr>
              <w:t xml:space="preserve"> </w:t>
            </w:r>
            <w:r>
              <w:t>acuerdo</w:t>
            </w:r>
            <w:r>
              <w:rPr>
                <w:spacing w:val="11"/>
              </w:rPr>
              <w:t xml:space="preserve"> </w:t>
            </w:r>
            <w:r>
              <w:t>a</w:t>
            </w:r>
            <w:r>
              <w:rPr>
                <w:spacing w:val="15"/>
              </w:rPr>
              <w:t xml:space="preserve"> </w:t>
            </w:r>
            <w:r>
              <w:t>lo</w:t>
            </w:r>
            <w:r>
              <w:rPr>
                <w:spacing w:val="11"/>
              </w:rPr>
              <w:t xml:space="preserve"> </w:t>
            </w:r>
            <w:r>
              <w:t>señalado</w:t>
            </w:r>
            <w:r>
              <w:rPr>
                <w:spacing w:val="12"/>
              </w:rPr>
              <w:t xml:space="preserve"> </w:t>
            </w:r>
            <w:r>
              <w:t>en</w:t>
            </w:r>
            <w:r>
              <w:rPr>
                <w:spacing w:val="15"/>
              </w:rPr>
              <w:t xml:space="preserve"> </w:t>
            </w:r>
            <w:r>
              <w:t>la</w:t>
            </w:r>
          </w:p>
          <w:p w14:paraId="40FE1BF0" w14:textId="77777777" w:rsidR="008C20EB" w:rsidRDefault="008D25BE">
            <w:pPr>
              <w:pStyle w:val="TableParagraph"/>
              <w:spacing w:line="245" w:lineRule="exact"/>
              <w:ind w:left="1512"/>
              <w:jc w:val="both"/>
            </w:pPr>
            <w:r>
              <w:t>Fe de Erratas de la presente Resolución.</w:t>
            </w:r>
          </w:p>
        </w:tc>
      </w:tr>
    </w:tbl>
    <w:p w14:paraId="40FE1BF2" w14:textId="77777777" w:rsidR="008C20EB" w:rsidRDefault="008C20EB">
      <w:pPr>
        <w:spacing w:line="245"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BF7" w14:textId="77777777">
        <w:trPr>
          <w:trHeight w:val="254"/>
        </w:trPr>
        <w:tc>
          <w:tcPr>
            <w:tcW w:w="1445" w:type="dxa"/>
            <w:vAlign w:val="bottom"/>
          </w:tcPr>
          <w:p w14:paraId="40FE1BF3"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BF4" w14:textId="77777777" w:rsidR="008C20EB" w:rsidRDefault="008D25BE">
            <w:pPr>
              <w:pStyle w:val="TableParagraph"/>
              <w:spacing w:line="234" w:lineRule="exact"/>
              <w:ind w:left="556"/>
              <w:jc w:val="both"/>
              <w:rPr>
                <w:b/>
              </w:rPr>
            </w:pPr>
            <w:r>
              <w:rPr>
                <w:b/>
              </w:rPr>
              <w:t>FECHA</w:t>
            </w:r>
          </w:p>
        </w:tc>
        <w:tc>
          <w:tcPr>
            <w:tcW w:w="3500" w:type="dxa"/>
            <w:vAlign w:val="bottom"/>
          </w:tcPr>
          <w:p w14:paraId="40FE1BF5"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BF6" w14:textId="77777777" w:rsidR="008C20EB" w:rsidRDefault="008D25BE">
            <w:pPr>
              <w:pStyle w:val="TableParagraph"/>
              <w:spacing w:line="234" w:lineRule="exact"/>
              <w:ind w:left="3271" w:right="3265"/>
              <w:jc w:val="both"/>
              <w:rPr>
                <w:b/>
              </w:rPr>
            </w:pPr>
            <w:r>
              <w:rPr>
                <w:b/>
              </w:rPr>
              <w:t>MODIFICATORIAS</w:t>
            </w:r>
          </w:p>
        </w:tc>
      </w:tr>
      <w:tr w:rsidR="008C20EB" w14:paraId="40FE1BFE" w14:textId="77777777">
        <w:trPr>
          <w:trHeight w:val="1780"/>
        </w:trPr>
        <w:tc>
          <w:tcPr>
            <w:tcW w:w="1445" w:type="dxa"/>
          </w:tcPr>
          <w:p w14:paraId="40FE1BF8" w14:textId="77777777" w:rsidR="008C20EB" w:rsidRDefault="008C20EB">
            <w:pPr>
              <w:pStyle w:val="TableParagraph"/>
              <w:jc w:val="both"/>
              <w:rPr>
                <w:rFonts w:ascii="Times New Roman"/>
              </w:rPr>
            </w:pPr>
          </w:p>
        </w:tc>
        <w:tc>
          <w:tcPr>
            <w:tcW w:w="1733" w:type="dxa"/>
          </w:tcPr>
          <w:p w14:paraId="40FE1BF9" w14:textId="77777777" w:rsidR="008C20EB" w:rsidRDefault="008C20EB">
            <w:pPr>
              <w:pStyle w:val="TableParagraph"/>
              <w:jc w:val="both"/>
              <w:rPr>
                <w:rFonts w:ascii="Times New Roman"/>
              </w:rPr>
            </w:pPr>
          </w:p>
        </w:tc>
        <w:tc>
          <w:tcPr>
            <w:tcW w:w="3500" w:type="dxa"/>
          </w:tcPr>
          <w:p w14:paraId="40FE1BFA" w14:textId="77777777" w:rsidR="008C20EB" w:rsidRDefault="008D25BE">
            <w:pPr>
              <w:pStyle w:val="TableParagraph"/>
              <w:ind w:left="177" w:right="63"/>
              <w:jc w:val="both"/>
            </w:pPr>
            <w:r>
              <w:t>sistema financiero, los cuales entrarán en vigencia a partir de la información correspondiente al mes de enero de 2010. Posteriormente se modificó su vigencia a julio de 2010 mediante la Resol. SBS N° 14353-2009.</w:t>
            </w:r>
          </w:p>
        </w:tc>
        <w:tc>
          <w:tcPr>
            <w:tcW w:w="8162" w:type="dxa"/>
          </w:tcPr>
          <w:p w14:paraId="40FE1BFB" w14:textId="77777777" w:rsidR="008C20EB" w:rsidRDefault="008C20EB">
            <w:pPr>
              <w:pStyle w:val="TableParagraph"/>
              <w:spacing w:before="8"/>
              <w:jc w:val="both"/>
              <w:rPr>
                <w:rFonts w:ascii="Arial"/>
                <w:b/>
                <w:sz w:val="20"/>
              </w:rPr>
            </w:pPr>
          </w:p>
          <w:p w14:paraId="40FE1BFC" w14:textId="77777777" w:rsidR="008C20EB" w:rsidRDefault="008D25BE">
            <w:pPr>
              <w:pStyle w:val="TableParagraph"/>
              <w:numPr>
                <w:ilvl w:val="0"/>
                <w:numId w:val="135"/>
              </w:numPr>
              <w:tabs>
                <w:tab w:val="left" w:pos="183"/>
              </w:tabs>
              <w:ind w:right="59" w:hanging="288"/>
              <w:jc w:val="both"/>
            </w:pPr>
            <w:r>
              <w:t>Anexo B: Modificaciones con vigencia a partir de enero de 2010 que posteriormente se modificó su vigencia a julio de 2010 mediante la Resol. SBS N°</w:t>
            </w:r>
            <w:r>
              <w:rPr>
                <w:spacing w:val="-21"/>
              </w:rPr>
              <w:t xml:space="preserve"> </w:t>
            </w:r>
            <w:r>
              <w:t>14353-2009:</w:t>
            </w:r>
          </w:p>
          <w:p w14:paraId="40FE1BFD" w14:textId="77777777" w:rsidR="008C20EB" w:rsidRDefault="008D25BE">
            <w:pPr>
              <w:pStyle w:val="TableParagraph"/>
              <w:tabs>
                <w:tab w:val="left" w:pos="1512"/>
              </w:tabs>
              <w:spacing w:before="4" w:line="237" w:lineRule="auto"/>
              <w:ind w:left="1512" w:right="207" w:hanging="361"/>
              <w:jc w:val="both"/>
            </w:pPr>
            <w:r>
              <w:t>-</w:t>
            </w:r>
            <w:r>
              <w:tab/>
            </w:r>
            <w:r>
              <w:t>Se modifica el Reporte Nº 3 “Patrimonio Efectivo” a fin de adecuarlo a lo contemplado en la Ley</w:t>
            </w:r>
            <w:r>
              <w:rPr>
                <w:spacing w:val="-6"/>
              </w:rPr>
              <w:t xml:space="preserve"> </w:t>
            </w:r>
            <w:r>
              <w:t>General.</w:t>
            </w:r>
          </w:p>
        </w:tc>
      </w:tr>
      <w:tr w:rsidR="008C20EB" w14:paraId="40FE1C11" w14:textId="77777777">
        <w:trPr>
          <w:trHeight w:val="5302"/>
        </w:trPr>
        <w:tc>
          <w:tcPr>
            <w:tcW w:w="1445" w:type="dxa"/>
          </w:tcPr>
          <w:p w14:paraId="40FE1BFF" w14:textId="77777777" w:rsidR="008C20EB" w:rsidRDefault="008D25BE">
            <w:pPr>
              <w:pStyle w:val="TableParagraph"/>
              <w:spacing w:line="242" w:lineRule="auto"/>
              <w:ind w:left="71" w:right="42"/>
              <w:jc w:val="both"/>
              <w:rPr>
                <w:b/>
              </w:rPr>
            </w:pPr>
            <w:r>
              <w:rPr>
                <w:b/>
              </w:rPr>
              <w:t>Resolución SBS Nº 4727-</w:t>
            </w:r>
          </w:p>
          <w:p w14:paraId="40FE1C00" w14:textId="77777777" w:rsidR="008C20EB" w:rsidRDefault="008D25BE">
            <w:pPr>
              <w:pStyle w:val="TableParagraph"/>
              <w:spacing w:line="247" w:lineRule="exact"/>
              <w:ind w:left="71"/>
              <w:jc w:val="both"/>
              <w:rPr>
                <w:b/>
              </w:rPr>
            </w:pPr>
            <w:r>
              <w:rPr>
                <w:b/>
              </w:rPr>
              <w:t>2009</w:t>
            </w:r>
          </w:p>
        </w:tc>
        <w:tc>
          <w:tcPr>
            <w:tcW w:w="1733" w:type="dxa"/>
          </w:tcPr>
          <w:p w14:paraId="40FE1C01" w14:textId="77777777" w:rsidR="008C20EB" w:rsidRDefault="008D25BE">
            <w:pPr>
              <w:pStyle w:val="TableParagraph"/>
              <w:tabs>
                <w:tab w:val="left" w:pos="1606"/>
              </w:tabs>
              <w:spacing w:line="242" w:lineRule="exact"/>
              <w:jc w:val="both"/>
              <w:rPr>
                <w:b/>
              </w:rPr>
            </w:pPr>
            <w:r>
              <w:rPr>
                <w:b/>
              </w:rPr>
              <w:t xml:space="preserve">(Pr.  </w:t>
            </w:r>
            <w:r>
              <w:rPr>
                <w:b/>
                <w:spacing w:val="44"/>
              </w:rPr>
              <w:t xml:space="preserve"> </w:t>
            </w:r>
            <w:r>
              <w:rPr>
                <w:b/>
              </w:rPr>
              <w:t>29.05.2009</w:t>
            </w:r>
            <w:r>
              <w:rPr>
                <w:b/>
              </w:rPr>
              <w:tab/>
              <w:t>/</w:t>
            </w:r>
          </w:p>
          <w:p w14:paraId="40FE1C02" w14:textId="77777777" w:rsidR="008C20EB" w:rsidRDefault="008D25BE">
            <w:pPr>
              <w:pStyle w:val="TableParagraph"/>
              <w:spacing w:before="2"/>
              <w:jc w:val="both"/>
              <w:rPr>
                <w:b/>
              </w:rPr>
            </w:pPr>
            <w:r>
              <w:rPr>
                <w:b/>
              </w:rPr>
              <w:t>Pub. 01.06.2009)</w:t>
            </w:r>
          </w:p>
        </w:tc>
        <w:tc>
          <w:tcPr>
            <w:tcW w:w="3500" w:type="dxa"/>
          </w:tcPr>
          <w:p w14:paraId="40FE1C03" w14:textId="77777777" w:rsidR="008C20EB" w:rsidRDefault="008D25BE">
            <w:pPr>
              <w:pStyle w:val="TableParagraph"/>
              <w:ind w:left="177" w:right="63"/>
              <w:jc w:val="both"/>
            </w:pPr>
            <w:r>
              <w:t>Se aprueba el Reglamento de Deuda Subordinada aplicable a las Empresas del sistema Financiero que entrará en vigencia a partir de julio de 2009.</w:t>
            </w:r>
          </w:p>
          <w:p w14:paraId="40FE1C04" w14:textId="77777777" w:rsidR="008C20EB" w:rsidRDefault="008C20EB">
            <w:pPr>
              <w:pStyle w:val="TableParagraph"/>
              <w:spacing w:before="1"/>
              <w:jc w:val="both"/>
              <w:rPr>
                <w:rFonts w:ascii="Arial"/>
                <w:b/>
                <w:sz w:val="21"/>
              </w:rPr>
            </w:pPr>
          </w:p>
          <w:p w14:paraId="40FE1C05" w14:textId="77777777" w:rsidR="008C20EB" w:rsidRDefault="008D25BE">
            <w:pPr>
              <w:pStyle w:val="TableParagraph"/>
              <w:ind w:left="177" w:right="63"/>
              <w:jc w:val="both"/>
            </w:pPr>
            <w:r>
              <w:t>Modificación de los capítulos I, II, III, IV y V del Manual de Contabilidad para las empresas del sistema financiero, las cuales entrarán en vigencia a partir de la información correspondiente al mes de julio de</w:t>
            </w:r>
            <w:r>
              <w:rPr>
                <w:spacing w:val="-5"/>
              </w:rPr>
              <w:t xml:space="preserve"> </w:t>
            </w:r>
            <w:r>
              <w:t>2009.</w:t>
            </w:r>
          </w:p>
          <w:p w14:paraId="40FE1C06" w14:textId="77777777" w:rsidR="008C20EB" w:rsidRDefault="008C20EB">
            <w:pPr>
              <w:pStyle w:val="TableParagraph"/>
              <w:spacing w:before="2"/>
              <w:jc w:val="both"/>
              <w:rPr>
                <w:rFonts w:ascii="Arial"/>
                <w:b/>
                <w:sz w:val="23"/>
              </w:rPr>
            </w:pPr>
          </w:p>
          <w:p w14:paraId="40FE1C07" w14:textId="77777777" w:rsidR="008C20EB" w:rsidRDefault="008D25BE">
            <w:pPr>
              <w:pStyle w:val="TableParagraph"/>
              <w:ind w:left="177" w:right="65"/>
              <w:jc w:val="both"/>
            </w:pPr>
            <w:r>
              <w:t>Modificación de los capítulos III y IV del Manual de Contabilidad para las empresas del sistema financiero, las cuales entrarán en vigencia a partir de la información correspondiente al mes de enero de 2010. Posteriormente se modificó su vigencia a julio de 2010 mediante la Resol. SBS N°</w:t>
            </w:r>
            <w:r>
              <w:rPr>
                <w:spacing w:val="-19"/>
              </w:rPr>
              <w:t xml:space="preserve"> </w:t>
            </w:r>
            <w:r>
              <w:t>14353-2009.</w:t>
            </w:r>
          </w:p>
        </w:tc>
        <w:tc>
          <w:tcPr>
            <w:tcW w:w="8162" w:type="dxa"/>
          </w:tcPr>
          <w:p w14:paraId="40FE1C08" w14:textId="77777777" w:rsidR="008C20EB" w:rsidRDefault="008D25BE">
            <w:pPr>
              <w:pStyle w:val="TableParagraph"/>
              <w:numPr>
                <w:ilvl w:val="0"/>
                <w:numId w:val="136"/>
              </w:numPr>
              <w:tabs>
                <w:tab w:val="left" w:pos="361"/>
              </w:tabs>
              <w:spacing w:line="258" w:lineRule="exact"/>
              <w:ind w:hanging="289"/>
              <w:jc w:val="both"/>
            </w:pPr>
            <w:r>
              <w:t>Anexo A: Modificaciones con vigencia a partir de julio de</w:t>
            </w:r>
            <w:r>
              <w:rPr>
                <w:spacing w:val="-23"/>
              </w:rPr>
              <w:t xml:space="preserve"> </w:t>
            </w:r>
            <w:r>
              <w:t>2009:</w:t>
            </w:r>
          </w:p>
          <w:p w14:paraId="40FE1C09" w14:textId="77777777" w:rsidR="008C20EB" w:rsidRDefault="008D25BE">
            <w:pPr>
              <w:pStyle w:val="TableParagraph"/>
              <w:numPr>
                <w:ilvl w:val="1"/>
                <w:numId w:val="136"/>
              </w:numPr>
              <w:tabs>
                <w:tab w:val="left" w:pos="1512"/>
                <w:tab w:val="left" w:pos="1513"/>
              </w:tabs>
              <w:spacing w:before="2" w:line="237" w:lineRule="auto"/>
              <w:ind w:right="57"/>
              <w:jc w:val="both"/>
            </w:pPr>
            <w:r>
              <w:t>Se modifica la estructura del Literal J “Nomenclatura de Cuentas para las Empresas del Sistema Financiero y Entidades</w:t>
            </w:r>
            <w:r>
              <w:rPr>
                <w:spacing w:val="-19"/>
              </w:rPr>
              <w:t xml:space="preserve"> </w:t>
            </w:r>
            <w:r>
              <w:t>Relacionadas”</w:t>
            </w:r>
          </w:p>
          <w:p w14:paraId="40FE1C0A" w14:textId="77777777" w:rsidR="008C20EB" w:rsidRDefault="008D25BE">
            <w:pPr>
              <w:pStyle w:val="TableParagraph"/>
              <w:numPr>
                <w:ilvl w:val="1"/>
                <w:numId w:val="136"/>
              </w:numPr>
              <w:tabs>
                <w:tab w:val="left" w:pos="1512"/>
                <w:tab w:val="left" w:pos="1513"/>
              </w:tabs>
              <w:spacing w:before="2"/>
              <w:jc w:val="both"/>
            </w:pPr>
            <w:r>
              <w:t>Se modifica la Norma de Agrupación de la Forma</w:t>
            </w:r>
            <w:r>
              <w:rPr>
                <w:spacing w:val="-20"/>
              </w:rPr>
              <w:t xml:space="preserve"> </w:t>
            </w:r>
            <w:r>
              <w:t>A.</w:t>
            </w:r>
          </w:p>
          <w:p w14:paraId="40FE1C0B" w14:textId="77777777" w:rsidR="008C20EB" w:rsidRDefault="008D25BE">
            <w:pPr>
              <w:pStyle w:val="TableParagraph"/>
              <w:numPr>
                <w:ilvl w:val="1"/>
                <w:numId w:val="136"/>
              </w:numPr>
              <w:tabs>
                <w:tab w:val="left" w:pos="1512"/>
                <w:tab w:val="left" w:pos="1513"/>
              </w:tabs>
              <w:spacing w:before="4" w:line="237" w:lineRule="auto"/>
              <w:ind w:right="63"/>
              <w:jc w:val="both"/>
            </w:pPr>
            <w:r>
              <w:t>Se modifica la estructura de las cuentas y subcuentas analíticas pertenecientes a los rubros 13, 24, 26, 28, 41, 43, 51y</w:t>
            </w:r>
            <w:r>
              <w:rPr>
                <w:spacing w:val="-22"/>
              </w:rPr>
              <w:t xml:space="preserve"> </w:t>
            </w:r>
            <w:r>
              <w:t>53.</w:t>
            </w:r>
          </w:p>
          <w:p w14:paraId="40FE1C0C" w14:textId="77777777" w:rsidR="008C20EB" w:rsidRDefault="008D25BE">
            <w:pPr>
              <w:pStyle w:val="TableParagraph"/>
              <w:numPr>
                <w:ilvl w:val="1"/>
                <w:numId w:val="136"/>
              </w:numPr>
              <w:tabs>
                <w:tab w:val="left" w:pos="1512"/>
                <w:tab w:val="left" w:pos="1513"/>
              </w:tabs>
              <w:spacing w:before="5" w:line="237" w:lineRule="auto"/>
              <w:ind w:right="60"/>
              <w:jc w:val="both"/>
            </w:pPr>
            <w:r>
              <w:t xml:space="preserve">Se elimina el Anexo Nº 12-III </w:t>
            </w:r>
            <w:r>
              <w:rPr>
                <w:spacing w:val="-3"/>
              </w:rPr>
              <w:t xml:space="preserve">“Deuda </w:t>
            </w:r>
            <w:r>
              <w:t>subordinada asignada al Patrimonio Efectivo”.</w:t>
            </w:r>
          </w:p>
          <w:p w14:paraId="40FE1C0D" w14:textId="77777777" w:rsidR="008C20EB" w:rsidRDefault="008D25BE">
            <w:pPr>
              <w:pStyle w:val="TableParagraph"/>
              <w:numPr>
                <w:ilvl w:val="1"/>
                <w:numId w:val="136"/>
              </w:numPr>
              <w:tabs>
                <w:tab w:val="left" w:pos="1512"/>
                <w:tab w:val="left" w:pos="1513"/>
              </w:tabs>
              <w:spacing w:before="2"/>
              <w:jc w:val="both"/>
            </w:pPr>
            <w:r>
              <w:t>Se sustituye el Anexo Nº 12-II “Control de Deuda</w:t>
            </w:r>
            <w:r>
              <w:rPr>
                <w:spacing w:val="-21"/>
              </w:rPr>
              <w:t xml:space="preserve"> </w:t>
            </w:r>
            <w:r>
              <w:t>Subordinada</w:t>
            </w:r>
          </w:p>
          <w:p w14:paraId="40FE1C0E" w14:textId="77777777" w:rsidR="008C20EB" w:rsidRDefault="008C20EB">
            <w:pPr>
              <w:pStyle w:val="TableParagraph"/>
              <w:spacing w:before="9"/>
              <w:jc w:val="both"/>
              <w:rPr>
                <w:rFonts w:ascii="Arial"/>
                <w:b/>
                <w:sz w:val="21"/>
              </w:rPr>
            </w:pPr>
          </w:p>
          <w:p w14:paraId="40FE1C0F" w14:textId="77777777" w:rsidR="008C20EB" w:rsidRDefault="008D25BE">
            <w:pPr>
              <w:pStyle w:val="TableParagraph"/>
              <w:numPr>
                <w:ilvl w:val="0"/>
                <w:numId w:val="136"/>
              </w:numPr>
              <w:tabs>
                <w:tab w:val="left" w:pos="183"/>
              </w:tabs>
              <w:spacing w:before="1"/>
              <w:ind w:right="59"/>
              <w:jc w:val="both"/>
            </w:pPr>
            <w:r>
              <w:t>Anexo B: Modificaciones con vigencia a partir de enero de 2010 que posteriormente se modificó su vigencia a julio de 2010 mediante la Resol. SBS N°</w:t>
            </w:r>
            <w:r>
              <w:rPr>
                <w:spacing w:val="-21"/>
              </w:rPr>
              <w:t xml:space="preserve"> </w:t>
            </w:r>
            <w:r>
              <w:t>14353-2009:</w:t>
            </w:r>
          </w:p>
          <w:p w14:paraId="40FE1C10" w14:textId="77777777" w:rsidR="008C20EB" w:rsidRDefault="008D25BE">
            <w:pPr>
              <w:pStyle w:val="TableParagraph"/>
              <w:numPr>
                <w:ilvl w:val="1"/>
                <w:numId w:val="136"/>
              </w:numPr>
              <w:tabs>
                <w:tab w:val="left" w:pos="1512"/>
                <w:tab w:val="left" w:pos="1513"/>
              </w:tabs>
              <w:spacing w:line="242" w:lineRule="auto"/>
              <w:ind w:right="56"/>
              <w:jc w:val="both"/>
            </w:pPr>
            <w:r>
              <w:t xml:space="preserve">Se modifica la estructura de las subcuentas analíticas pertenecientes al rubro </w:t>
            </w:r>
            <w:r>
              <w:rPr>
                <w:spacing w:val="-3"/>
              </w:rPr>
              <w:t xml:space="preserve">14 </w:t>
            </w:r>
            <w:r>
              <w:t>“Créditos”.</w:t>
            </w:r>
          </w:p>
        </w:tc>
      </w:tr>
      <w:tr w:rsidR="008C20EB" w14:paraId="40FE1C1D" w14:textId="77777777">
        <w:trPr>
          <w:trHeight w:val="1070"/>
        </w:trPr>
        <w:tc>
          <w:tcPr>
            <w:tcW w:w="1445" w:type="dxa"/>
          </w:tcPr>
          <w:p w14:paraId="40FE1C12" w14:textId="77777777" w:rsidR="008C20EB" w:rsidRDefault="008D25BE">
            <w:pPr>
              <w:pStyle w:val="TableParagraph"/>
              <w:spacing w:line="237" w:lineRule="exact"/>
              <w:ind w:left="71"/>
              <w:jc w:val="both"/>
              <w:rPr>
                <w:b/>
              </w:rPr>
            </w:pPr>
            <w:r>
              <w:rPr>
                <w:b/>
              </w:rPr>
              <w:t>Resolución</w:t>
            </w:r>
          </w:p>
          <w:p w14:paraId="40FE1C13" w14:textId="77777777" w:rsidR="008C20EB" w:rsidRDefault="008D25BE">
            <w:pPr>
              <w:pStyle w:val="TableParagraph"/>
              <w:spacing w:before="2"/>
              <w:ind w:left="71"/>
              <w:jc w:val="both"/>
              <w:rPr>
                <w:b/>
              </w:rPr>
            </w:pPr>
            <w:r>
              <w:rPr>
                <w:b/>
              </w:rPr>
              <w:t>SBS Nº 4595-</w:t>
            </w:r>
          </w:p>
          <w:p w14:paraId="40FE1C14" w14:textId="77777777" w:rsidR="008C20EB" w:rsidRDefault="008D25BE">
            <w:pPr>
              <w:pStyle w:val="TableParagraph"/>
              <w:spacing w:before="2"/>
              <w:ind w:left="71"/>
              <w:jc w:val="both"/>
              <w:rPr>
                <w:b/>
              </w:rPr>
            </w:pPr>
            <w:r>
              <w:rPr>
                <w:b/>
              </w:rPr>
              <w:t>2009</w:t>
            </w:r>
          </w:p>
        </w:tc>
        <w:tc>
          <w:tcPr>
            <w:tcW w:w="1733" w:type="dxa"/>
          </w:tcPr>
          <w:p w14:paraId="40FE1C15"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27.05.2009</w:t>
            </w:r>
            <w:r>
              <w:rPr>
                <w:b/>
              </w:rPr>
              <w:tab/>
              <w:t>/</w:t>
            </w:r>
          </w:p>
          <w:p w14:paraId="40FE1C16" w14:textId="77777777" w:rsidR="008C20EB" w:rsidRDefault="008D25BE">
            <w:pPr>
              <w:pStyle w:val="TableParagraph"/>
              <w:spacing w:before="2"/>
              <w:jc w:val="both"/>
              <w:rPr>
                <w:b/>
              </w:rPr>
            </w:pPr>
            <w:r>
              <w:rPr>
                <w:b/>
              </w:rPr>
              <w:t>Pub. 29.05.2009)</w:t>
            </w:r>
          </w:p>
        </w:tc>
        <w:tc>
          <w:tcPr>
            <w:tcW w:w="3500" w:type="dxa"/>
          </w:tcPr>
          <w:p w14:paraId="40FE1C17" w14:textId="77777777" w:rsidR="008C20EB" w:rsidRDefault="008D25BE">
            <w:pPr>
              <w:pStyle w:val="TableParagraph"/>
              <w:spacing w:line="237" w:lineRule="exact"/>
              <w:ind w:left="177"/>
              <w:jc w:val="both"/>
            </w:pPr>
            <w:r>
              <w:t>Se aprueba el Reglamento de</w:t>
            </w:r>
            <w:r>
              <w:rPr>
                <w:spacing w:val="42"/>
              </w:rPr>
              <w:t xml:space="preserve"> </w:t>
            </w:r>
            <w:r>
              <w:t>Cómputo</w:t>
            </w:r>
          </w:p>
          <w:p w14:paraId="40FE1C18" w14:textId="77777777" w:rsidR="008C20EB" w:rsidRDefault="008D25BE">
            <w:pPr>
              <w:pStyle w:val="TableParagraph"/>
              <w:spacing w:before="2"/>
              <w:ind w:left="177" w:right="65"/>
              <w:jc w:val="both"/>
            </w:pPr>
            <w:r>
              <w:t>de Instrumentos Representativos de Capital en el Patrimonio Efectivo de las Empresas  del  Sistema  Financiero</w:t>
            </w:r>
            <w:r>
              <w:rPr>
                <w:spacing w:val="21"/>
              </w:rPr>
              <w:t xml:space="preserve"> </w:t>
            </w:r>
            <w:r>
              <w:t>que</w:t>
            </w:r>
          </w:p>
        </w:tc>
        <w:tc>
          <w:tcPr>
            <w:tcW w:w="8162" w:type="dxa"/>
          </w:tcPr>
          <w:p w14:paraId="40FE1C19" w14:textId="77777777" w:rsidR="008C20EB" w:rsidRDefault="008D25BE">
            <w:pPr>
              <w:pStyle w:val="TableParagraph"/>
              <w:numPr>
                <w:ilvl w:val="0"/>
                <w:numId w:val="137"/>
              </w:numPr>
              <w:tabs>
                <w:tab w:val="left" w:pos="432"/>
                <w:tab w:val="left" w:pos="433"/>
              </w:tabs>
              <w:spacing w:line="256" w:lineRule="exact"/>
              <w:ind w:hanging="361"/>
              <w:jc w:val="both"/>
            </w:pPr>
            <w:r>
              <w:t>Se</w:t>
            </w:r>
            <w:r>
              <w:rPr>
                <w:spacing w:val="-5"/>
              </w:rPr>
              <w:t xml:space="preserve"> </w:t>
            </w:r>
            <w:r>
              <w:t>modifican</w:t>
            </w:r>
            <w:r>
              <w:rPr>
                <w:spacing w:val="-5"/>
              </w:rPr>
              <w:t xml:space="preserve"> </w:t>
            </w:r>
            <w:r>
              <w:t>las</w:t>
            </w:r>
            <w:r>
              <w:rPr>
                <w:spacing w:val="-4"/>
              </w:rPr>
              <w:t xml:space="preserve"> </w:t>
            </w:r>
            <w:r>
              <w:t>Normas</w:t>
            </w:r>
            <w:r>
              <w:rPr>
                <w:spacing w:val="-4"/>
              </w:rPr>
              <w:t xml:space="preserve"> </w:t>
            </w:r>
            <w:r>
              <w:t>de</w:t>
            </w:r>
            <w:r>
              <w:rPr>
                <w:spacing w:val="-4"/>
              </w:rPr>
              <w:t xml:space="preserve"> </w:t>
            </w:r>
            <w:r>
              <w:t>Agrupación</w:t>
            </w:r>
            <w:r>
              <w:rPr>
                <w:spacing w:val="-5"/>
              </w:rPr>
              <w:t xml:space="preserve"> </w:t>
            </w:r>
            <w:r>
              <w:t>de la</w:t>
            </w:r>
            <w:r>
              <w:rPr>
                <w:spacing w:val="-5"/>
              </w:rPr>
              <w:t xml:space="preserve"> </w:t>
            </w:r>
            <w:r>
              <w:t>Forma</w:t>
            </w:r>
            <w:r>
              <w:rPr>
                <w:spacing w:val="-5"/>
              </w:rPr>
              <w:t xml:space="preserve"> </w:t>
            </w:r>
            <w:r>
              <w:t>A,</w:t>
            </w:r>
            <w:r>
              <w:rPr>
                <w:spacing w:val="-3"/>
              </w:rPr>
              <w:t xml:space="preserve"> </w:t>
            </w:r>
            <w:r>
              <w:t>eliminándose</w:t>
            </w:r>
            <w:r>
              <w:rPr>
                <w:spacing w:val="-4"/>
              </w:rPr>
              <w:t xml:space="preserve"> </w:t>
            </w:r>
            <w:r>
              <w:t>la</w:t>
            </w:r>
            <w:r>
              <w:rPr>
                <w:spacing w:val="-5"/>
              </w:rPr>
              <w:t xml:space="preserve"> </w:t>
            </w:r>
            <w:r>
              <w:t>cuenta</w:t>
            </w:r>
            <w:r>
              <w:rPr>
                <w:spacing w:val="-5"/>
              </w:rPr>
              <w:t xml:space="preserve"> </w:t>
            </w:r>
            <w:r>
              <w:t>3807.</w:t>
            </w:r>
          </w:p>
          <w:p w14:paraId="40FE1C1A" w14:textId="77777777" w:rsidR="008C20EB" w:rsidRDefault="008D25BE">
            <w:pPr>
              <w:pStyle w:val="TableParagraph"/>
              <w:numPr>
                <w:ilvl w:val="0"/>
                <w:numId w:val="137"/>
              </w:numPr>
              <w:tabs>
                <w:tab w:val="left" w:pos="432"/>
                <w:tab w:val="left" w:pos="433"/>
              </w:tabs>
              <w:spacing w:line="267" w:lineRule="exact"/>
              <w:ind w:hanging="361"/>
              <w:jc w:val="both"/>
            </w:pPr>
            <w:r>
              <w:t>Se</w:t>
            </w:r>
            <w:r>
              <w:rPr>
                <w:spacing w:val="-7"/>
              </w:rPr>
              <w:t xml:space="preserve"> </w:t>
            </w:r>
            <w:r>
              <w:t>sustituye</w:t>
            </w:r>
            <w:r>
              <w:rPr>
                <w:spacing w:val="-3"/>
              </w:rPr>
              <w:t xml:space="preserve"> </w:t>
            </w:r>
            <w:r>
              <w:t>la</w:t>
            </w:r>
            <w:r>
              <w:rPr>
                <w:spacing w:val="-7"/>
              </w:rPr>
              <w:t xml:space="preserve"> </w:t>
            </w:r>
            <w:r>
              <w:t>denominación</w:t>
            </w:r>
            <w:r>
              <w:rPr>
                <w:spacing w:val="-7"/>
              </w:rPr>
              <w:t xml:space="preserve"> </w:t>
            </w:r>
            <w:r>
              <w:t>de</w:t>
            </w:r>
            <w:r>
              <w:rPr>
                <w:spacing w:val="-2"/>
              </w:rPr>
              <w:t xml:space="preserve"> </w:t>
            </w:r>
            <w:r>
              <w:t>la</w:t>
            </w:r>
            <w:r>
              <w:rPr>
                <w:spacing w:val="-7"/>
              </w:rPr>
              <w:t xml:space="preserve"> </w:t>
            </w:r>
            <w:r>
              <w:t>cuenta</w:t>
            </w:r>
            <w:r>
              <w:rPr>
                <w:spacing w:val="-2"/>
              </w:rPr>
              <w:t xml:space="preserve"> </w:t>
            </w:r>
            <w:r>
              <w:t>3101</w:t>
            </w:r>
            <w:r>
              <w:rPr>
                <w:spacing w:val="-3"/>
              </w:rPr>
              <w:t xml:space="preserve"> </w:t>
            </w:r>
            <w:r>
              <w:t>“Capital</w:t>
            </w:r>
            <w:r>
              <w:rPr>
                <w:spacing w:val="-4"/>
              </w:rPr>
              <w:t xml:space="preserve"> </w:t>
            </w:r>
            <w:r>
              <w:t>Pagado”</w:t>
            </w:r>
            <w:r>
              <w:rPr>
                <w:spacing w:val="-8"/>
              </w:rPr>
              <w:t xml:space="preserve"> </w:t>
            </w:r>
            <w:r>
              <w:t>por</w:t>
            </w:r>
            <w:r>
              <w:rPr>
                <w:spacing w:val="-1"/>
              </w:rPr>
              <w:t xml:space="preserve"> </w:t>
            </w:r>
            <w:r>
              <w:t>“Capital</w:t>
            </w:r>
            <w:r>
              <w:rPr>
                <w:spacing w:val="-9"/>
              </w:rPr>
              <w:t xml:space="preserve"> </w:t>
            </w:r>
            <w:r>
              <w:t>Social”.</w:t>
            </w:r>
          </w:p>
          <w:p w14:paraId="40FE1C1B" w14:textId="77777777" w:rsidR="008C20EB" w:rsidRDefault="008D25BE">
            <w:pPr>
              <w:pStyle w:val="TableParagraph"/>
              <w:numPr>
                <w:ilvl w:val="0"/>
                <w:numId w:val="137"/>
              </w:numPr>
              <w:tabs>
                <w:tab w:val="left" w:pos="432"/>
                <w:tab w:val="left" w:pos="433"/>
              </w:tabs>
              <w:spacing w:line="269" w:lineRule="exact"/>
              <w:ind w:hanging="361"/>
              <w:jc w:val="both"/>
            </w:pPr>
            <w:r>
              <w:t>Se</w:t>
            </w:r>
            <w:r>
              <w:rPr>
                <w:spacing w:val="-4"/>
              </w:rPr>
              <w:t xml:space="preserve"> </w:t>
            </w:r>
            <w:r>
              <w:t>modifica</w:t>
            </w:r>
            <w:r>
              <w:rPr>
                <w:spacing w:val="-3"/>
              </w:rPr>
              <w:t xml:space="preserve"> </w:t>
            </w:r>
            <w:r>
              <w:t>la</w:t>
            </w:r>
            <w:r>
              <w:rPr>
                <w:spacing w:val="-4"/>
              </w:rPr>
              <w:t xml:space="preserve"> </w:t>
            </w:r>
            <w:r>
              <w:t>estructura</w:t>
            </w:r>
            <w:r>
              <w:rPr>
                <w:spacing w:val="-3"/>
              </w:rPr>
              <w:t xml:space="preserve"> </w:t>
            </w:r>
            <w:r>
              <w:t>de</w:t>
            </w:r>
            <w:r>
              <w:rPr>
                <w:spacing w:val="-4"/>
              </w:rPr>
              <w:t xml:space="preserve"> </w:t>
            </w:r>
            <w:r>
              <w:t>las</w:t>
            </w:r>
            <w:r>
              <w:rPr>
                <w:spacing w:val="-2"/>
              </w:rPr>
              <w:t xml:space="preserve"> </w:t>
            </w:r>
            <w:r>
              <w:t>cuentas</w:t>
            </w:r>
            <w:r>
              <w:rPr>
                <w:spacing w:val="-3"/>
              </w:rPr>
              <w:t xml:space="preserve"> </w:t>
            </w:r>
            <w:r>
              <w:t>3101,</w:t>
            </w:r>
            <w:r>
              <w:rPr>
                <w:spacing w:val="-5"/>
              </w:rPr>
              <w:t xml:space="preserve"> </w:t>
            </w:r>
            <w:r>
              <w:t>3102,</w:t>
            </w:r>
            <w:r>
              <w:rPr>
                <w:spacing w:val="-1"/>
              </w:rPr>
              <w:t xml:space="preserve"> </w:t>
            </w:r>
            <w:r>
              <w:t>3103,</w:t>
            </w:r>
            <w:r>
              <w:rPr>
                <w:spacing w:val="-5"/>
              </w:rPr>
              <w:t xml:space="preserve"> </w:t>
            </w:r>
            <w:r>
              <w:t>3202,</w:t>
            </w:r>
            <w:r>
              <w:rPr>
                <w:spacing w:val="-6"/>
              </w:rPr>
              <w:t xml:space="preserve"> </w:t>
            </w:r>
            <w:r>
              <w:t>3203,</w:t>
            </w:r>
            <w:r>
              <w:rPr>
                <w:spacing w:val="-5"/>
              </w:rPr>
              <w:t xml:space="preserve"> </w:t>
            </w:r>
            <w:r>
              <w:t>y</w:t>
            </w:r>
            <w:r>
              <w:rPr>
                <w:spacing w:val="-3"/>
              </w:rPr>
              <w:t xml:space="preserve"> </w:t>
            </w:r>
            <w:r>
              <w:t>3303.</w:t>
            </w:r>
          </w:p>
          <w:p w14:paraId="40FE1C1C" w14:textId="77777777" w:rsidR="008C20EB" w:rsidRDefault="008D25BE">
            <w:pPr>
              <w:pStyle w:val="TableParagraph"/>
              <w:numPr>
                <w:ilvl w:val="0"/>
                <w:numId w:val="137"/>
              </w:numPr>
              <w:tabs>
                <w:tab w:val="left" w:pos="432"/>
                <w:tab w:val="left" w:pos="433"/>
              </w:tabs>
              <w:spacing w:line="259" w:lineRule="exact"/>
              <w:ind w:hanging="361"/>
              <w:jc w:val="both"/>
            </w:pPr>
            <w:r>
              <w:t>Se sustituye la descripción de la cuenta 3101 “Capital</w:t>
            </w:r>
            <w:r>
              <w:rPr>
                <w:spacing w:val="-14"/>
              </w:rPr>
              <w:t xml:space="preserve"> </w:t>
            </w:r>
            <w:r>
              <w:t>Social”.</w:t>
            </w:r>
          </w:p>
        </w:tc>
      </w:tr>
    </w:tbl>
    <w:p w14:paraId="40FE1C1E" w14:textId="77777777" w:rsidR="008C20EB" w:rsidRDefault="008C20EB">
      <w:pPr>
        <w:spacing w:line="259"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23" w14:textId="77777777">
        <w:trPr>
          <w:trHeight w:val="254"/>
        </w:trPr>
        <w:tc>
          <w:tcPr>
            <w:tcW w:w="1445" w:type="dxa"/>
            <w:vAlign w:val="bottom"/>
          </w:tcPr>
          <w:p w14:paraId="40FE1C1F" w14:textId="77777777" w:rsidR="008C20EB" w:rsidRDefault="008D25BE">
            <w:pPr>
              <w:pStyle w:val="TableParagraph"/>
              <w:spacing w:line="234" w:lineRule="exact"/>
              <w:ind w:right="371"/>
              <w:jc w:val="both"/>
              <w:rPr>
                <w:b/>
              </w:rPr>
            </w:pPr>
            <w:r>
              <w:rPr>
                <w:b/>
              </w:rPr>
              <w:lastRenderedPageBreak/>
              <w:t>NORMA</w:t>
            </w:r>
          </w:p>
        </w:tc>
        <w:tc>
          <w:tcPr>
            <w:tcW w:w="1733" w:type="dxa"/>
            <w:vAlign w:val="bottom"/>
          </w:tcPr>
          <w:p w14:paraId="40FE1C20" w14:textId="77777777" w:rsidR="008C20EB" w:rsidRDefault="008D25BE">
            <w:pPr>
              <w:pStyle w:val="TableParagraph"/>
              <w:spacing w:line="234" w:lineRule="exact"/>
              <w:ind w:left="73" w:right="63"/>
              <w:jc w:val="both"/>
              <w:rPr>
                <w:b/>
              </w:rPr>
            </w:pPr>
            <w:r>
              <w:rPr>
                <w:b/>
              </w:rPr>
              <w:t>FECHA</w:t>
            </w:r>
          </w:p>
        </w:tc>
        <w:tc>
          <w:tcPr>
            <w:tcW w:w="3500" w:type="dxa"/>
            <w:vAlign w:val="bottom"/>
          </w:tcPr>
          <w:p w14:paraId="40FE1C21"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22" w14:textId="77777777" w:rsidR="008C20EB" w:rsidRDefault="008D25BE">
            <w:pPr>
              <w:pStyle w:val="TableParagraph"/>
              <w:spacing w:line="234" w:lineRule="exact"/>
              <w:ind w:left="3271" w:right="3265"/>
              <w:jc w:val="both"/>
              <w:rPr>
                <w:b/>
              </w:rPr>
            </w:pPr>
            <w:r>
              <w:rPr>
                <w:b/>
              </w:rPr>
              <w:t>MODIFICATORIAS</w:t>
            </w:r>
          </w:p>
        </w:tc>
      </w:tr>
      <w:tr w:rsidR="008C20EB" w14:paraId="40FE1C2B" w14:textId="77777777">
        <w:trPr>
          <w:trHeight w:val="618"/>
        </w:trPr>
        <w:tc>
          <w:tcPr>
            <w:tcW w:w="1445" w:type="dxa"/>
            <w:vMerge w:val="restart"/>
          </w:tcPr>
          <w:p w14:paraId="40FE1C24" w14:textId="77777777" w:rsidR="008C20EB" w:rsidRDefault="008C20EB">
            <w:pPr>
              <w:pStyle w:val="TableParagraph"/>
              <w:jc w:val="both"/>
              <w:rPr>
                <w:rFonts w:ascii="Times New Roman"/>
              </w:rPr>
            </w:pPr>
          </w:p>
        </w:tc>
        <w:tc>
          <w:tcPr>
            <w:tcW w:w="1733" w:type="dxa"/>
            <w:vMerge w:val="restart"/>
          </w:tcPr>
          <w:p w14:paraId="40FE1C25" w14:textId="77777777" w:rsidR="008C20EB" w:rsidRDefault="008C20EB">
            <w:pPr>
              <w:pStyle w:val="TableParagraph"/>
              <w:jc w:val="both"/>
              <w:rPr>
                <w:rFonts w:ascii="Times New Roman"/>
              </w:rPr>
            </w:pPr>
          </w:p>
        </w:tc>
        <w:tc>
          <w:tcPr>
            <w:tcW w:w="3500" w:type="dxa"/>
            <w:tcBorders>
              <w:bottom w:val="nil"/>
            </w:tcBorders>
          </w:tcPr>
          <w:p w14:paraId="40FE1C26" w14:textId="77777777" w:rsidR="008C20EB" w:rsidRDefault="008D25BE">
            <w:pPr>
              <w:pStyle w:val="TableParagraph"/>
              <w:spacing w:line="237" w:lineRule="auto"/>
              <w:ind w:left="177"/>
              <w:jc w:val="both"/>
            </w:pPr>
            <w:r>
              <w:t>entrará en vigencia a partir de julio de 2009.</w:t>
            </w:r>
          </w:p>
        </w:tc>
        <w:tc>
          <w:tcPr>
            <w:tcW w:w="8162" w:type="dxa"/>
            <w:vMerge w:val="restart"/>
          </w:tcPr>
          <w:p w14:paraId="40FE1C27" w14:textId="77777777" w:rsidR="008C20EB" w:rsidRDefault="008D25BE">
            <w:pPr>
              <w:pStyle w:val="TableParagraph"/>
              <w:numPr>
                <w:ilvl w:val="0"/>
                <w:numId w:val="138"/>
              </w:numPr>
              <w:tabs>
                <w:tab w:val="left" w:pos="432"/>
                <w:tab w:val="left" w:pos="433"/>
              </w:tabs>
              <w:spacing w:line="235" w:lineRule="auto"/>
              <w:ind w:right="63"/>
              <w:jc w:val="both"/>
            </w:pPr>
            <w:r>
              <w:t>Se elimina la subcuenta 3603.03 “Inversiones Disponibles para la Venta” y la subcuenta 3807 “Método de Participación</w:t>
            </w:r>
            <w:r>
              <w:rPr>
                <w:spacing w:val="-4"/>
              </w:rPr>
              <w:t xml:space="preserve"> </w:t>
            </w:r>
            <w:r>
              <w:t>Patrimonial”.</w:t>
            </w:r>
          </w:p>
          <w:p w14:paraId="40FE1C28" w14:textId="77777777" w:rsidR="008C20EB" w:rsidRDefault="008D25BE">
            <w:pPr>
              <w:pStyle w:val="TableParagraph"/>
              <w:numPr>
                <w:ilvl w:val="0"/>
                <w:numId w:val="138"/>
              </w:numPr>
              <w:tabs>
                <w:tab w:val="left" w:pos="432"/>
                <w:tab w:val="left" w:pos="433"/>
              </w:tabs>
              <w:spacing w:line="269" w:lineRule="exact"/>
              <w:ind w:hanging="361"/>
              <w:jc w:val="both"/>
            </w:pPr>
            <w:r>
              <w:t>Se</w:t>
            </w:r>
            <w:r>
              <w:rPr>
                <w:spacing w:val="-5"/>
              </w:rPr>
              <w:t xml:space="preserve"> </w:t>
            </w:r>
            <w:r>
              <w:t>incorpora</w:t>
            </w:r>
            <w:r>
              <w:rPr>
                <w:spacing w:val="-4"/>
              </w:rPr>
              <w:t xml:space="preserve"> </w:t>
            </w:r>
            <w:r>
              <w:t>las</w:t>
            </w:r>
            <w:r>
              <w:rPr>
                <w:spacing w:val="-3"/>
              </w:rPr>
              <w:t xml:space="preserve"> </w:t>
            </w:r>
            <w:r>
              <w:t>subcuentas</w:t>
            </w:r>
            <w:r>
              <w:rPr>
                <w:spacing w:val="-3"/>
              </w:rPr>
              <w:t xml:space="preserve"> </w:t>
            </w:r>
            <w:r>
              <w:t>3801.03,</w:t>
            </w:r>
            <w:r>
              <w:rPr>
                <w:spacing w:val="-7"/>
              </w:rPr>
              <w:t xml:space="preserve"> </w:t>
            </w:r>
            <w:r>
              <w:t>3801.04,</w:t>
            </w:r>
            <w:r>
              <w:rPr>
                <w:spacing w:val="-6"/>
              </w:rPr>
              <w:t xml:space="preserve"> </w:t>
            </w:r>
            <w:r>
              <w:t>3801.05,</w:t>
            </w:r>
            <w:r>
              <w:rPr>
                <w:spacing w:val="-1"/>
              </w:rPr>
              <w:t xml:space="preserve"> </w:t>
            </w:r>
            <w:r>
              <w:t>3802.04,</w:t>
            </w:r>
            <w:r>
              <w:rPr>
                <w:spacing w:val="-6"/>
              </w:rPr>
              <w:t xml:space="preserve"> </w:t>
            </w:r>
            <w:r>
              <w:t>3802.05</w:t>
            </w:r>
            <w:r>
              <w:rPr>
                <w:spacing w:val="-5"/>
              </w:rPr>
              <w:t xml:space="preserve"> </w:t>
            </w:r>
            <w:r>
              <w:t>y</w:t>
            </w:r>
            <w:r>
              <w:rPr>
                <w:spacing w:val="2"/>
              </w:rPr>
              <w:t xml:space="preserve"> </w:t>
            </w:r>
            <w:r>
              <w:t>3802.06.</w:t>
            </w:r>
          </w:p>
          <w:p w14:paraId="40FE1C29" w14:textId="77777777" w:rsidR="008C20EB" w:rsidRDefault="008D25BE">
            <w:pPr>
              <w:pStyle w:val="TableParagraph"/>
              <w:numPr>
                <w:ilvl w:val="0"/>
                <w:numId w:val="138"/>
              </w:numPr>
              <w:tabs>
                <w:tab w:val="left" w:pos="432"/>
                <w:tab w:val="left" w:pos="433"/>
              </w:tabs>
              <w:spacing w:line="235" w:lineRule="auto"/>
              <w:ind w:right="58"/>
              <w:jc w:val="both"/>
            </w:pPr>
            <w:r>
              <w:t>Se incorpora la descripción de las subcuentas 3801.03, 3801.04, 3801.05, 3802.04, 3802.05 y 3802.06.</w:t>
            </w:r>
          </w:p>
          <w:p w14:paraId="40FE1C2A" w14:textId="77777777" w:rsidR="008C20EB" w:rsidRDefault="008D25BE">
            <w:pPr>
              <w:pStyle w:val="TableParagraph"/>
              <w:numPr>
                <w:ilvl w:val="0"/>
                <w:numId w:val="138"/>
              </w:numPr>
              <w:tabs>
                <w:tab w:val="left" w:pos="432"/>
                <w:tab w:val="left" w:pos="433"/>
              </w:tabs>
              <w:spacing w:before="2"/>
              <w:ind w:hanging="361"/>
              <w:jc w:val="both"/>
            </w:pPr>
            <w:r>
              <w:t>Incorpórese el Anexo Nº 12-I “Control de Instrumentos Representativos de</w:t>
            </w:r>
            <w:r>
              <w:rPr>
                <w:spacing w:val="-35"/>
              </w:rPr>
              <w:t xml:space="preserve"> </w:t>
            </w:r>
            <w:r>
              <w:t>Capital”.</w:t>
            </w:r>
          </w:p>
        </w:tc>
      </w:tr>
      <w:tr w:rsidR="008C20EB" w14:paraId="40FE1C30" w14:textId="77777777">
        <w:trPr>
          <w:trHeight w:val="1759"/>
        </w:trPr>
        <w:tc>
          <w:tcPr>
            <w:tcW w:w="1445" w:type="dxa"/>
            <w:vMerge/>
            <w:tcBorders>
              <w:top w:val="nil"/>
            </w:tcBorders>
          </w:tcPr>
          <w:p w14:paraId="40FE1C2C" w14:textId="77777777" w:rsidR="008C20EB" w:rsidRDefault="008C20EB">
            <w:pPr>
              <w:jc w:val="both"/>
              <w:rPr>
                <w:sz w:val="2"/>
                <w:szCs w:val="2"/>
              </w:rPr>
            </w:pPr>
          </w:p>
        </w:tc>
        <w:tc>
          <w:tcPr>
            <w:tcW w:w="1733" w:type="dxa"/>
            <w:vMerge/>
            <w:tcBorders>
              <w:top w:val="nil"/>
            </w:tcBorders>
          </w:tcPr>
          <w:p w14:paraId="40FE1C2D" w14:textId="77777777" w:rsidR="008C20EB" w:rsidRDefault="008C20EB">
            <w:pPr>
              <w:jc w:val="both"/>
              <w:rPr>
                <w:sz w:val="2"/>
                <w:szCs w:val="2"/>
              </w:rPr>
            </w:pPr>
          </w:p>
        </w:tc>
        <w:tc>
          <w:tcPr>
            <w:tcW w:w="3500" w:type="dxa"/>
            <w:tcBorders>
              <w:top w:val="nil"/>
              <w:bottom w:val="nil"/>
            </w:tcBorders>
          </w:tcPr>
          <w:p w14:paraId="40FE1C2E" w14:textId="77777777" w:rsidR="008C20EB" w:rsidRDefault="008D25BE">
            <w:pPr>
              <w:pStyle w:val="TableParagraph"/>
              <w:spacing w:before="115"/>
              <w:ind w:left="177" w:right="67"/>
              <w:jc w:val="both"/>
            </w:pPr>
            <w:r>
              <w:t>Modificación de los capítulos II, III, IV y V del Manual de Contabilidad para las empresas del sistema financiero, las cuales entrarán en vigencia a partir de la información correspondiente al mes de julio de</w:t>
            </w:r>
            <w:r>
              <w:rPr>
                <w:spacing w:val="-5"/>
              </w:rPr>
              <w:t xml:space="preserve"> </w:t>
            </w:r>
            <w:r>
              <w:t>2009.</w:t>
            </w:r>
          </w:p>
        </w:tc>
        <w:tc>
          <w:tcPr>
            <w:tcW w:w="8162" w:type="dxa"/>
            <w:vMerge/>
            <w:tcBorders>
              <w:top w:val="nil"/>
            </w:tcBorders>
          </w:tcPr>
          <w:p w14:paraId="40FE1C2F" w14:textId="77777777" w:rsidR="008C20EB" w:rsidRDefault="008C20EB">
            <w:pPr>
              <w:jc w:val="both"/>
              <w:rPr>
                <w:sz w:val="2"/>
                <w:szCs w:val="2"/>
              </w:rPr>
            </w:pPr>
          </w:p>
        </w:tc>
      </w:tr>
      <w:tr w:rsidR="008C20EB" w14:paraId="40FE1C35" w14:textId="77777777">
        <w:trPr>
          <w:trHeight w:val="1644"/>
        </w:trPr>
        <w:tc>
          <w:tcPr>
            <w:tcW w:w="1445" w:type="dxa"/>
            <w:vMerge/>
            <w:tcBorders>
              <w:top w:val="nil"/>
            </w:tcBorders>
          </w:tcPr>
          <w:p w14:paraId="40FE1C31" w14:textId="77777777" w:rsidR="008C20EB" w:rsidRDefault="008C20EB">
            <w:pPr>
              <w:jc w:val="both"/>
              <w:rPr>
                <w:sz w:val="2"/>
                <w:szCs w:val="2"/>
              </w:rPr>
            </w:pPr>
          </w:p>
        </w:tc>
        <w:tc>
          <w:tcPr>
            <w:tcW w:w="1733" w:type="dxa"/>
            <w:vMerge/>
            <w:tcBorders>
              <w:top w:val="nil"/>
            </w:tcBorders>
          </w:tcPr>
          <w:p w14:paraId="40FE1C32" w14:textId="77777777" w:rsidR="008C20EB" w:rsidRDefault="008C20EB">
            <w:pPr>
              <w:jc w:val="both"/>
              <w:rPr>
                <w:sz w:val="2"/>
                <w:szCs w:val="2"/>
              </w:rPr>
            </w:pPr>
          </w:p>
        </w:tc>
        <w:tc>
          <w:tcPr>
            <w:tcW w:w="3500" w:type="dxa"/>
            <w:tcBorders>
              <w:top w:val="nil"/>
            </w:tcBorders>
          </w:tcPr>
          <w:p w14:paraId="40FE1C33" w14:textId="77777777" w:rsidR="008C20EB" w:rsidRDefault="008D25BE">
            <w:pPr>
              <w:pStyle w:val="TableParagraph"/>
              <w:spacing w:before="117"/>
              <w:ind w:left="177" w:right="59"/>
              <w:jc w:val="both"/>
            </w:pPr>
            <w:r>
              <w:t>Modificación del primer párrafo del Reglamento de Clasificación y Valorización de las Inversiones de las Empresas del Sistema Financiero.</w:t>
            </w:r>
          </w:p>
        </w:tc>
        <w:tc>
          <w:tcPr>
            <w:tcW w:w="8162" w:type="dxa"/>
            <w:vMerge/>
            <w:tcBorders>
              <w:top w:val="nil"/>
            </w:tcBorders>
          </w:tcPr>
          <w:p w14:paraId="40FE1C34" w14:textId="77777777" w:rsidR="008C20EB" w:rsidRDefault="008C20EB">
            <w:pPr>
              <w:jc w:val="both"/>
              <w:rPr>
                <w:sz w:val="2"/>
                <w:szCs w:val="2"/>
              </w:rPr>
            </w:pPr>
          </w:p>
        </w:tc>
      </w:tr>
      <w:tr w:rsidR="008C20EB" w14:paraId="40FE1C3F" w14:textId="77777777">
        <w:trPr>
          <w:trHeight w:val="1122"/>
        </w:trPr>
        <w:tc>
          <w:tcPr>
            <w:tcW w:w="1445" w:type="dxa"/>
            <w:tcBorders>
              <w:bottom w:val="nil"/>
            </w:tcBorders>
          </w:tcPr>
          <w:p w14:paraId="40FE1C36" w14:textId="77777777" w:rsidR="008C20EB" w:rsidRDefault="008D25BE">
            <w:pPr>
              <w:pStyle w:val="TableParagraph"/>
              <w:spacing w:line="237" w:lineRule="exact"/>
              <w:ind w:left="71"/>
              <w:jc w:val="both"/>
              <w:rPr>
                <w:b/>
              </w:rPr>
            </w:pPr>
            <w:r>
              <w:rPr>
                <w:b/>
              </w:rPr>
              <w:t>Resolución</w:t>
            </w:r>
          </w:p>
          <w:p w14:paraId="40FE1C37" w14:textId="77777777" w:rsidR="008C20EB" w:rsidRDefault="008D25BE">
            <w:pPr>
              <w:pStyle w:val="TableParagraph"/>
              <w:spacing w:before="2" w:line="251" w:lineRule="exact"/>
              <w:ind w:left="71"/>
              <w:jc w:val="both"/>
              <w:rPr>
                <w:b/>
              </w:rPr>
            </w:pPr>
            <w:r>
              <w:rPr>
                <w:b/>
              </w:rPr>
              <w:t>SBS Nº 2115-</w:t>
            </w:r>
          </w:p>
          <w:p w14:paraId="40FE1C38" w14:textId="77777777" w:rsidR="008C20EB" w:rsidRDefault="008D25BE">
            <w:pPr>
              <w:pStyle w:val="TableParagraph"/>
              <w:spacing w:line="251" w:lineRule="exact"/>
              <w:ind w:left="71"/>
              <w:jc w:val="both"/>
              <w:rPr>
                <w:b/>
              </w:rPr>
            </w:pPr>
            <w:r>
              <w:rPr>
                <w:b/>
              </w:rPr>
              <w:t>2009</w:t>
            </w:r>
          </w:p>
        </w:tc>
        <w:tc>
          <w:tcPr>
            <w:tcW w:w="1733" w:type="dxa"/>
            <w:tcBorders>
              <w:bottom w:val="nil"/>
            </w:tcBorders>
          </w:tcPr>
          <w:p w14:paraId="40FE1C39"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02.04.2009</w:t>
            </w:r>
            <w:r>
              <w:rPr>
                <w:b/>
              </w:rPr>
              <w:tab/>
              <w:t>/</w:t>
            </w:r>
          </w:p>
          <w:p w14:paraId="40FE1C3A" w14:textId="77777777" w:rsidR="008C20EB" w:rsidRDefault="008D25BE">
            <w:pPr>
              <w:pStyle w:val="TableParagraph"/>
              <w:spacing w:before="2"/>
              <w:jc w:val="both"/>
              <w:rPr>
                <w:b/>
              </w:rPr>
            </w:pPr>
            <w:r>
              <w:rPr>
                <w:b/>
              </w:rPr>
              <w:t>Pub. 06.04.2009)</w:t>
            </w:r>
          </w:p>
        </w:tc>
        <w:tc>
          <w:tcPr>
            <w:tcW w:w="3500" w:type="dxa"/>
            <w:tcBorders>
              <w:bottom w:val="nil"/>
            </w:tcBorders>
          </w:tcPr>
          <w:p w14:paraId="40FE1C3B" w14:textId="77777777" w:rsidR="008C20EB" w:rsidRDefault="008D25BE">
            <w:pPr>
              <w:pStyle w:val="TableParagraph"/>
              <w:spacing w:line="237" w:lineRule="exact"/>
              <w:ind w:left="177"/>
              <w:jc w:val="both"/>
            </w:pPr>
            <w:r>
              <w:t>Se aprueba el Reglamento para el</w:t>
            </w:r>
          </w:p>
          <w:p w14:paraId="40FE1C3C" w14:textId="77777777" w:rsidR="008C20EB" w:rsidRDefault="008D25BE">
            <w:pPr>
              <w:pStyle w:val="TableParagraph"/>
              <w:spacing w:before="2"/>
              <w:ind w:left="177" w:right="65"/>
              <w:jc w:val="both"/>
            </w:pPr>
            <w:r>
              <w:t>Requerimiento de Patrimonio Efectivo por Riesgo Operacional que entrará en vigencia a partir del 1 de julio de 2009.</w:t>
            </w:r>
          </w:p>
        </w:tc>
        <w:tc>
          <w:tcPr>
            <w:tcW w:w="8162" w:type="dxa"/>
            <w:vMerge w:val="restart"/>
          </w:tcPr>
          <w:p w14:paraId="40FE1C3D" w14:textId="77777777" w:rsidR="008C20EB" w:rsidRDefault="008D25BE">
            <w:pPr>
              <w:pStyle w:val="TableParagraph"/>
              <w:numPr>
                <w:ilvl w:val="0"/>
                <w:numId w:val="139"/>
              </w:numPr>
              <w:tabs>
                <w:tab w:val="left" w:pos="433"/>
              </w:tabs>
              <w:spacing w:line="253" w:lineRule="exact"/>
              <w:jc w:val="both"/>
            </w:pPr>
            <w:r>
              <w:t>Se</w:t>
            </w:r>
            <w:r>
              <w:rPr>
                <w:spacing w:val="10"/>
              </w:rPr>
              <w:t xml:space="preserve"> </w:t>
            </w:r>
            <w:r>
              <w:t>incorporan</w:t>
            </w:r>
            <w:r>
              <w:rPr>
                <w:spacing w:val="10"/>
              </w:rPr>
              <w:t xml:space="preserve"> </w:t>
            </w:r>
            <w:r>
              <w:t>los</w:t>
            </w:r>
            <w:r>
              <w:rPr>
                <w:spacing w:val="13"/>
              </w:rPr>
              <w:t xml:space="preserve"> </w:t>
            </w:r>
            <w:r>
              <w:t>Reportes</w:t>
            </w:r>
            <w:r>
              <w:rPr>
                <w:spacing w:val="12"/>
              </w:rPr>
              <w:t xml:space="preserve"> </w:t>
            </w:r>
            <w:r>
              <w:t>Nº</w:t>
            </w:r>
            <w:r>
              <w:rPr>
                <w:spacing w:val="11"/>
              </w:rPr>
              <w:t xml:space="preserve"> </w:t>
            </w:r>
            <w:r>
              <w:t>2-C1</w:t>
            </w:r>
            <w:r>
              <w:rPr>
                <w:spacing w:val="10"/>
              </w:rPr>
              <w:t xml:space="preserve"> </w:t>
            </w:r>
            <w:r>
              <w:t>“Requerimiento</w:t>
            </w:r>
            <w:r>
              <w:rPr>
                <w:spacing w:val="10"/>
              </w:rPr>
              <w:t xml:space="preserve"> </w:t>
            </w:r>
            <w:r>
              <w:t>de</w:t>
            </w:r>
            <w:r>
              <w:rPr>
                <w:spacing w:val="16"/>
              </w:rPr>
              <w:t xml:space="preserve"> </w:t>
            </w:r>
            <w:r>
              <w:t>Patrimonio</w:t>
            </w:r>
            <w:r>
              <w:rPr>
                <w:spacing w:val="10"/>
              </w:rPr>
              <w:t xml:space="preserve"> </w:t>
            </w:r>
            <w:r>
              <w:t>Efectivo</w:t>
            </w:r>
            <w:r>
              <w:rPr>
                <w:spacing w:val="10"/>
              </w:rPr>
              <w:t xml:space="preserve"> </w:t>
            </w:r>
            <w:r>
              <w:t>por</w:t>
            </w:r>
            <w:r>
              <w:rPr>
                <w:spacing w:val="12"/>
              </w:rPr>
              <w:t xml:space="preserve"> </w:t>
            </w:r>
            <w:r>
              <w:t>Riesgo</w:t>
            </w:r>
          </w:p>
          <w:p w14:paraId="40FE1C3E" w14:textId="77777777" w:rsidR="008C20EB" w:rsidRDefault="008D25BE">
            <w:pPr>
              <w:pStyle w:val="TableParagraph"/>
              <w:ind w:left="432" w:right="58"/>
              <w:jc w:val="both"/>
            </w:pPr>
            <w:r>
              <w:t>Operacional – Método del Indicador Básico” y Nº 2-C2 “Requerimiento de Patrimonio Efectivo por Riesgo Operacional – Método Estándar Alternativo” al capítulo V del Manual de Contabilidad de las Empresas del Sistema Financiero.</w:t>
            </w:r>
          </w:p>
        </w:tc>
      </w:tr>
      <w:tr w:rsidR="008C20EB" w14:paraId="40FE1C44" w14:textId="77777777">
        <w:trPr>
          <w:trHeight w:val="3409"/>
        </w:trPr>
        <w:tc>
          <w:tcPr>
            <w:tcW w:w="1445" w:type="dxa"/>
            <w:tcBorders>
              <w:top w:val="nil"/>
            </w:tcBorders>
          </w:tcPr>
          <w:p w14:paraId="40FE1C40" w14:textId="77777777" w:rsidR="008C20EB" w:rsidRDefault="008C20EB">
            <w:pPr>
              <w:pStyle w:val="TableParagraph"/>
              <w:jc w:val="both"/>
              <w:rPr>
                <w:rFonts w:ascii="Times New Roman"/>
              </w:rPr>
            </w:pPr>
          </w:p>
        </w:tc>
        <w:tc>
          <w:tcPr>
            <w:tcW w:w="1733" w:type="dxa"/>
            <w:tcBorders>
              <w:top w:val="nil"/>
            </w:tcBorders>
          </w:tcPr>
          <w:p w14:paraId="40FE1C41" w14:textId="77777777" w:rsidR="008C20EB" w:rsidRDefault="008C20EB">
            <w:pPr>
              <w:pStyle w:val="TableParagraph"/>
              <w:jc w:val="both"/>
              <w:rPr>
                <w:rFonts w:ascii="Times New Roman"/>
              </w:rPr>
            </w:pPr>
          </w:p>
        </w:tc>
        <w:tc>
          <w:tcPr>
            <w:tcW w:w="3500" w:type="dxa"/>
            <w:tcBorders>
              <w:top w:val="nil"/>
            </w:tcBorders>
          </w:tcPr>
          <w:p w14:paraId="40FE1C42" w14:textId="77777777" w:rsidR="008C20EB" w:rsidRDefault="008D25BE">
            <w:pPr>
              <w:pStyle w:val="TableParagraph"/>
              <w:spacing w:before="114"/>
              <w:ind w:left="177" w:right="55"/>
              <w:jc w:val="both"/>
            </w:pPr>
            <w:r>
              <w:t>Se incorporan los Reportes Nº 2-C1 “Requerimiento de Patrimonio Efectivo por Riesgo Operacional – Método del Indicador Básico” y Nº 2-C2 “Requerimiento de Patrimonio Efectivo por Riesgo Operacional – Método Estándar Alternativo” al capítulo V del Manual de Contabilidad de las empresas del sistema financiero, los cuales entrarán en vigencia a partir de la información correspondiente a julio de 2009.</w:t>
            </w:r>
          </w:p>
        </w:tc>
        <w:tc>
          <w:tcPr>
            <w:tcW w:w="8162" w:type="dxa"/>
            <w:vMerge/>
            <w:tcBorders>
              <w:top w:val="nil"/>
            </w:tcBorders>
          </w:tcPr>
          <w:p w14:paraId="40FE1C43" w14:textId="77777777" w:rsidR="008C20EB" w:rsidRDefault="008C20EB">
            <w:pPr>
              <w:jc w:val="both"/>
              <w:rPr>
                <w:sz w:val="2"/>
                <w:szCs w:val="2"/>
              </w:rPr>
            </w:pPr>
          </w:p>
        </w:tc>
      </w:tr>
      <w:tr w:rsidR="008C20EB" w14:paraId="40FE1C49" w14:textId="77777777">
        <w:trPr>
          <w:trHeight w:val="359"/>
        </w:trPr>
        <w:tc>
          <w:tcPr>
            <w:tcW w:w="1445" w:type="dxa"/>
          </w:tcPr>
          <w:p w14:paraId="40FE1C45" w14:textId="77777777" w:rsidR="008C20EB" w:rsidRDefault="008D25BE">
            <w:pPr>
              <w:pStyle w:val="TableParagraph"/>
              <w:spacing w:line="242" w:lineRule="exact"/>
              <w:ind w:right="391"/>
              <w:jc w:val="both"/>
              <w:rPr>
                <w:b/>
              </w:rPr>
            </w:pPr>
            <w:r>
              <w:rPr>
                <w:b/>
              </w:rPr>
              <w:t>Resolución</w:t>
            </w:r>
          </w:p>
        </w:tc>
        <w:tc>
          <w:tcPr>
            <w:tcW w:w="1733" w:type="dxa"/>
          </w:tcPr>
          <w:p w14:paraId="40FE1C46" w14:textId="77777777" w:rsidR="008C20EB" w:rsidRDefault="008D25BE">
            <w:pPr>
              <w:pStyle w:val="TableParagraph"/>
              <w:tabs>
                <w:tab w:val="left" w:pos="1606"/>
              </w:tabs>
              <w:spacing w:line="242" w:lineRule="exact"/>
              <w:ind w:right="63"/>
              <w:jc w:val="both"/>
              <w:rPr>
                <w:b/>
              </w:rPr>
            </w:pPr>
            <w:r>
              <w:rPr>
                <w:b/>
              </w:rPr>
              <w:t xml:space="preserve">(Pr.  </w:t>
            </w:r>
            <w:r>
              <w:rPr>
                <w:b/>
                <w:spacing w:val="44"/>
              </w:rPr>
              <w:t xml:space="preserve"> </w:t>
            </w:r>
            <w:r>
              <w:rPr>
                <w:b/>
              </w:rPr>
              <w:t>03.12.2008</w:t>
            </w:r>
            <w:r>
              <w:rPr>
                <w:b/>
              </w:rPr>
              <w:tab/>
            </w:r>
            <w:r>
              <w:rPr>
                <w:b/>
                <w:spacing w:val="-17"/>
              </w:rPr>
              <w:t>/</w:t>
            </w:r>
          </w:p>
        </w:tc>
        <w:tc>
          <w:tcPr>
            <w:tcW w:w="3500" w:type="dxa"/>
          </w:tcPr>
          <w:p w14:paraId="40FE1C47" w14:textId="77777777" w:rsidR="008C20EB" w:rsidRDefault="008D25BE">
            <w:pPr>
              <w:pStyle w:val="TableParagraph"/>
              <w:spacing w:line="242" w:lineRule="exact"/>
              <w:ind w:left="177"/>
              <w:jc w:val="both"/>
            </w:pPr>
            <w:r>
              <w:t>Se prorroga la vigencia de la Resolución</w:t>
            </w:r>
          </w:p>
        </w:tc>
        <w:tc>
          <w:tcPr>
            <w:tcW w:w="8162" w:type="dxa"/>
          </w:tcPr>
          <w:p w14:paraId="40FE1C48" w14:textId="77777777" w:rsidR="008C20EB" w:rsidRDefault="008D25BE">
            <w:pPr>
              <w:pStyle w:val="TableParagraph"/>
              <w:numPr>
                <w:ilvl w:val="0"/>
                <w:numId w:val="140"/>
              </w:numPr>
              <w:tabs>
                <w:tab w:val="left" w:pos="361"/>
              </w:tabs>
              <w:spacing w:line="258" w:lineRule="exact"/>
              <w:ind w:hanging="289"/>
              <w:jc w:val="both"/>
            </w:pPr>
            <w:r>
              <w:t>Todo el contenido de las modificaciones al Manual de Contabilidad contenidas en la</w:t>
            </w:r>
            <w:r>
              <w:rPr>
                <w:spacing w:val="20"/>
              </w:rPr>
              <w:t xml:space="preserve"> </w:t>
            </w:r>
            <w:r>
              <w:t>Resolución</w:t>
            </w:r>
          </w:p>
        </w:tc>
      </w:tr>
    </w:tbl>
    <w:p w14:paraId="40FE1C4A" w14:textId="77777777" w:rsidR="008C20EB" w:rsidRDefault="008C20EB">
      <w:pPr>
        <w:spacing w:line="258"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4F" w14:textId="77777777">
        <w:trPr>
          <w:trHeight w:val="254"/>
        </w:trPr>
        <w:tc>
          <w:tcPr>
            <w:tcW w:w="1445" w:type="dxa"/>
            <w:vAlign w:val="bottom"/>
          </w:tcPr>
          <w:p w14:paraId="40FE1C4B" w14:textId="77777777" w:rsidR="008C20EB" w:rsidRDefault="008D25BE">
            <w:pPr>
              <w:pStyle w:val="TableParagraph"/>
              <w:spacing w:line="234" w:lineRule="exact"/>
              <w:ind w:right="371"/>
              <w:jc w:val="both"/>
              <w:rPr>
                <w:b/>
              </w:rPr>
            </w:pPr>
            <w:r>
              <w:rPr>
                <w:b/>
              </w:rPr>
              <w:lastRenderedPageBreak/>
              <w:t>NORMA</w:t>
            </w:r>
          </w:p>
        </w:tc>
        <w:tc>
          <w:tcPr>
            <w:tcW w:w="1733" w:type="dxa"/>
            <w:vAlign w:val="bottom"/>
          </w:tcPr>
          <w:p w14:paraId="40FE1C4C" w14:textId="77777777" w:rsidR="008C20EB" w:rsidRDefault="008D25BE">
            <w:pPr>
              <w:pStyle w:val="TableParagraph"/>
              <w:spacing w:line="234" w:lineRule="exact"/>
              <w:ind w:left="556"/>
              <w:jc w:val="both"/>
              <w:rPr>
                <w:b/>
              </w:rPr>
            </w:pPr>
            <w:r>
              <w:rPr>
                <w:b/>
              </w:rPr>
              <w:t>FECHA</w:t>
            </w:r>
          </w:p>
        </w:tc>
        <w:tc>
          <w:tcPr>
            <w:tcW w:w="3500" w:type="dxa"/>
            <w:vAlign w:val="bottom"/>
          </w:tcPr>
          <w:p w14:paraId="40FE1C4D"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4E" w14:textId="77777777" w:rsidR="008C20EB" w:rsidRDefault="008D25BE">
            <w:pPr>
              <w:pStyle w:val="TableParagraph"/>
              <w:spacing w:line="234" w:lineRule="exact"/>
              <w:ind w:left="3271" w:right="3265"/>
              <w:jc w:val="both"/>
              <w:rPr>
                <w:b/>
              </w:rPr>
            </w:pPr>
            <w:r>
              <w:rPr>
                <w:b/>
              </w:rPr>
              <w:t>MODIFICATORIAS</w:t>
            </w:r>
          </w:p>
        </w:tc>
      </w:tr>
      <w:tr w:rsidR="008C20EB" w14:paraId="40FE1C56" w14:textId="77777777">
        <w:trPr>
          <w:trHeight w:val="758"/>
        </w:trPr>
        <w:tc>
          <w:tcPr>
            <w:tcW w:w="1445" w:type="dxa"/>
          </w:tcPr>
          <w:p w14:paraId="40FE1C50" w14:textId="77777777" w:rsidR="008C20EB" w:rsidRDefault="008D25BE">
            <w:pPr>
              <w:pStyle w:val="TableParagraph"/>
              <w:spacing w:line="240" w:lineRule="exact"/>
              <w:ind w:left="71"/>
              <w:jc w:val="both"/>
              <w:rPr>
                <w:b/>
              </w:rPr>
            </w:pPr>
            <w:r>
              <w:rPr>
                <w:b/>
              </w:rPr>
              <w:t>SBS Nº 11851-</w:t>
            </w:r>
          </w:p>
          <w:p w14:paraId="40FE1C51" w14:textId="77777777" w:rsidR="008C20EB" w:rsidRDefault="008D25BE">
            <w:pPr>
              <w:pStyle w:val="TableParagraph"/>
              <w:spacing w:line="251" w:lineRule="exact"/>
              <w:ind w:left="71"/>
              <w:jc w:val="both"/>
              <w:rPr>
                <w:b/>
              </w:rPr>
            </w:pPr>
            <w:r>
              <w:rPr>
                <w:b/>
              </w:rPr>
              <w:t>2008</w:t>
            </w:r>
          </w:p>
        </w:tc>
        <w:tc>
          <w:tcPr>
            <w:tcW w:w="1733" w:type="dxa"/>
          </w:tcPr>
          <w:p w14:paraId="40FE1C52" w14:textId="77777777" w:rsidR="008C20EB" w:rsidRDefault="008D25BE">
            <w:pPr>
              <w:pStyle w:val="TableParagraph"/>
              <w:spacing w:line="242" w:lineRule="exact"/>
              <w:jc w:val="both"/>
              <w:rPr>
                <w:b/>
              </w:rPr>
            </w:pPr>
            <w:r>
              <w:rPr>
                <w:b/>
              </w:rPr>
              <w:t>Pub. 04.12.2008)</w:t>
            </w:r>
          </w:p>
        </w:tc>
        <w:tc>
          <w:tcPr>
            <w:tcW w:w="3500" w:type="dxa"/>
          </w:tcPr>
          <w:p w14:paraId="40FE1C53" w14:textId="77777777" w:rsidR="008C20EB" w:rsidRDefault="008D25BE">
            <w:pPr>
              <w:pStyle w:val="TableParagraph"/>
              <w:spacing w:line="237" w:lineRule="auto"/>
              <w:ind w:left="177" w:right="98"/>
              <w:jc w:val="both"/>
            </w:pPr>
            <w:r>
              <w:t>SBS Nº 10639-2008 hasta la información correspondiente al mes de</w:t>
            </w:r>
          </w:p>
          <w:p w14:paraId="40FE1C54" w14:textId="77777777" w:rsidR="008C20EB" w:rsidRDefault="008D25BE">
            <w:pPr>
              <w:pStyle w:val="TableParagraph"/>
              <w:spacing w:line="245" w:lineRule="exact"/>
              <w:ind w:left="177"/>
              <w:jc w:val="both"/>
            </w:pPr>
            <w:r>
              <w:t>marzo de 2009.</w:t>
            </w:r>
          </w:p>
        </w:tc>
        <w:tc>
          <w:tcPr>
            <w:tcW w:w="8162" w:type="dxa"/>
          </w:tcPr>
          <w:p w14:paraId="40FE1C55" w14:textId="77777777" w:rsidR="008C20EB" w:rsidRDefault="008D25BE">
            <w:pPr>
              <w:pStyle w:val="TableParagraph"/>
              <w:spacing w:line="237" w:lineRule="auto"/>
              <w:ind w:left="360" w:right="207"/>
              <w:jc w:val="both"/>
            </w:pPr>
            <w:r>
              <w:t>SBS Nº 10639-2008 entran en vigencia a partir de la información correspondiente al mes de marzo de 2009.</w:t>
            </w:r>
          </w:p>
        </w:tc>
      </w:tr>
      <w:tr w:rsidR="008C20EB" w14:paraId="40FE1C70" w14:textId="77777777">
        <w:trPr>
          <w:trHeight w:val="7860"/>
        </w:trPr>
        <w:tc>
          <w:tcPr>
            <w:tcW w:w="1445" w:type="dxa"/>
          </w:tcPr>
          <w:p w14:paraId="40FE1C57" w14:textId="77777777" w:rsidR="008C20EB" w:rsidRDefault="008D25BE">
            <w:pPr>
              <w:pStyle w:val="TableParagraph"/>
              <w:spacing w:line="237" w:lineRule="auto"/>
              <w:ind w:left="71" w:right="42"/>
              <w:jc w:val="both"/>
              <w:rPr>
                <w:b/>
              </w:rPr>
            </w:pPr>
            <w:r>
              <w:rPr>
                <w:b/>
              </w:rPr>
              <w:t>Resolución SBS Nº 11356-</w:t>
            </w:r>
          </w:p>
          <w:p w14:paraId="40FE1C58" w14:textId="77777777" w:rsidR="008C20EB" w:rsidRDefault="008D25BE">
            <w:pPr>
              <w:pStyle w:val="TableParagraph"/>
              <w:ind w:left="71"/>
              <w:jc w:val="both"/>
              <w:rPr>
                <w:b/>
              </w:rPr>
            </w:pPr>
            <w:r>
              <w:rPr>
                <w:b/>
              </w:rPr>
              <w:t>2008</w:t>
            </w:r>
          </w:p>
        </w:tc>
        <w:tc>
          <w:tcPr>
            <w:tcW w:w="1733" w:type="dxa"/>
          </w:tcPr>
          <w:p w14:paraId="40FE1C59" w14:textId="77777777" w:rsidR="008C20EB" w:rsidRDefault="008D25BE">
            <w:pPr>
              <w:pStyle w:val="TableParagraph"/>
              <w:tabs>
                <w:tab w:val="left" w:pos="1606"/>
              </w:tabs>
              <w:spacing w:line="240" w:lineRule="exact"/>
              <w:jc w:val="both"/>
              <w:rPr>
                <w:b/>
              </w:rPr>
            </w:pPr>
            <w:r>
              <w:rPr>
                <w:b/>
              </w:rPr>
              <w:t xml:space="preserve">(Pr.  </w:t>
            </w:r>
            <w:r>
              <w:rPr>
                <w:b/>
                <w:spacing w:val="44"/>
              </w:rPr>
              <w:t xml:space="preserve"> </w:t>
            </w:r>
            <w:r>
              <w:rPr>
                <w:b/>
              </w:rPr>
              <w:t>19.11.2008</w:t>
            </w:r>
            <w:r>
              <w:rPr>
                <w:b/>
              </w:rPr>
              <w:tab/>
              <w:t>/</w:t>
            </w:r>
          </w:p>
          <w:p w14:paraId="40FE1C5A" w14:textId="77777777" w:rsidR="008C20EB" w:rsidRDefault="008D25BE">
            <w:pPr>
              <w:pStyle w:val="TableParagraph"/>
              <w:spacing w:line="251" w:lineRule="exact"/>
              <w:jc w:val="both"/>
              <w:rPr>
                <w:b/>
              </w:rPr>
            </w:pPr>
            <w:r>
              <w:rPr>
                <w:b/>
              </w:rPr>
              <w:t>Pub. 21.11.2008)</w:t>
            </w:r>
          </w:p>
        </w:tc>
        <w:tc>
          <w:tcPr>
            <w:tcW w:w="3500" w:type="dxa"/>
          </w:tcPr>
          <w:p w14:paraId="40FE1C5B" w14:textId="77777777" w:rsidR="008C20EB" w:rsidRDefault="008D25BE">
            <w:pPr>
              <w:pStyle w:val="TableParagraph"/>
              <w:spacing w:before="3"/>
              <w:ind w:left="177" w:right="56"/>
              <w:jc w:val="both"/>
            </w:pPr>
            <w:r>
              <w:t>Modifica el Reglamento para la Evaluación y Clasificación del Deudor y la Exigencia de Provisiones aprobado por Resolución SBS Nº 808-2003 y sus modificatorias, que entrará en vigencia a partir de diciembre de 2008, así como aprueba el nuevo Reglamento para la Evaluación y Clasificación del Deudor y la Exigencia de Provisiones que entrará en vigencia a partir de enero de 2010. Posteriormente se modificó su vigencia a julio de 2010 mediante la Resol. SBS N°</w:t>
            </w:r>
            <w:r>
              <w:rPr>
                <w:spacing w:val="-5"/>
              </w:rPr>
              <w:t xml:space="preserve"> </w:t>
            </w:r>
            <w:r>
              <w:t>14353-2009.</w:t>
            </w:r>
          </w:p>
          <w:p w14:paraId="40FE1C5C" w14:textId="77777777" w:rsidR="008C20EB" w:rsidRDefault="008C20EB">
            <w:pPr>
              <w:pStyle w:val="TableParagraph"/>
              <w:spacing w:before="5"/>
              <w:jc w:val="both"/>
              <w:rPr>
                <w:rFonts w:ascii="Arial"/>
                <w:b/>
                <w:sz w:val="24"/>
              </w:rPr>
            </w:pPr>
          </w:p>
          <w:p w14:paraId="40FE1C5D" w14:textId="77777777" w:rsidR="008C20EB" w:rsidRDefault="008D25BE">
            <w:pPr>
              <w:pStyle w:val="TableParagraph"/>
              <w:spacing w:before="1"/>
              <w:ind w:left="177" w:right="63"/>
              <w:jc w:val="both"/>
            </w:pPr>
            <w:r>
              <w:t>Modifica el Manual de Contabilidad mediante el Anexo A, cuya vigencia es a partir de la información de diciembre de 2008.</w:t>
            </w:r>
          </w:p>
          <w:p w14:paraId="40FE1C5E" w14:textId="77777777" w:rsidR="008C20EB" w:rsidRDefault="008C20EB">
            <w:pPr>
              <w:pStyle w:val="TableParagraph"/>
              <w:spacing w:before="2"/>
              <w:jc w:val="both"/>
              <w:rPr>
                <w:rFonts w:ascii="Arial"/>
                <w:b/>
                <w:sz w:val="23"/>
              </w:rPr>
            </w:pPr>
          </w:p>
          <w:p w14:paraId="40FE1C5F" w14:textId="77777777" w:rsidR="008C20EB" w:rsidRDefault="008D25BE">
            <w:pPr>
              <w:pStyle w:val="TableParagraph"/>
              <w:spacing w:before="1"/>
              <w:ind w:left="177" w:right="63"/>
              <w:jc w:val="both"/>
            </w:pPr>
            <w:r>
              <w:t>Modifica el Manual de Contabilidad mediante el Anexo A, cuya vigencia es a partir de la información de enero de 2010. Posteriormente se modificó su vigencia a julio de 2010 mediante la Resol. SBS N° 14353-2009.</w:t>
            </w:r>
          </w:p>
        </w:tc>
        <w:tc>
          <w:tcPr>
            <w:tcW w:w="8162" w:type="dxa"/>
          </w:tcPr>
          <w:p w14:paraId="40FE1C60" w14:textId="77777777" w:rsidR="008C20EB" w:rsidRDefault="008D25BE">
            <w:pPr>
              <w:pStyle w:val="TableParagraph"/>
              <w:numPr>
                <w:ilvl w:val="0"/>
                <w:numId w:val="141"/>
              </w:numPr>
              <w:tabs>
                <w:tab w:val="left" w:pos="361"/>
              </w:tabs>
              <w:spacing w:line="256" w:lineRule="exact"/>
              <w:ind w:hanging="289"/>
              <w:jc w:val="both"/>
            </w:pPr>
            <w:r>
              <w:t>Anexo A: Modificaciones con vigencia a partir de diciembre de</w:t>
            </w:r>
            <w:r>
              <w:rPr>
                <w:spacing w:val="-28"/>
              </w:rPr>
              <w:t xml:space="preserve"> </w:t>
            </w:r>
            <w:r>
              <w:t>2008:</w:t>
            </w:r>
          </w:p>
          <w:p w14:paraId="40FE1C61" w14:textId="77777777" w:rsidR="008C20EB" w:rsidRDefault="008D25BE">
            <w:pPr>
              <w:pStyle w:val="TableParagraph"/>
              <w:numPr>
                <w:ilvl w:val="1"/>
                <w:numId w:val="141"/>
              </w:numPr>
              <w:tabs>
                <w:tab w:val="left" w:pos="1513"/>
              </w:tabs>
              <w:spacing w:line="242" w:lineRule="auto"/>
              <w:ind w:right="67"/>
              <w:jc w:val="both"/>
            </w:pPr>
            <w:r>
              <w:t>Se modifica en el capítulo IV del Manual de Contabilidad la descripción de la subcuenta 1401.04 “Créditos hipotecarios para</w:t>
            </w:r>
            <w:r>
              <w:rPr>
                <w:spacing w:val="-12"/>
              </w:rPr>
              <w:t xml:space="preserve"> </w:t>
            </w:r>
            <w:r>
              <w:t>vivienda”.</w:t>
            </w:r>
          </w:p>
          <w:p w14:paraId="40FE1C62" w14:textId="77777777" w:rsidR="008C20EB" w:rsidRDefault="008D25BE">
            <w:pPr>
              <w:pStyle w:val="TableParagraph"/>
              <w:numPr>
                <w:ilvl w:val="1"/>
                <w:numId w:val="141"/>
              </w:numPr>
              <w:tabs>
                <w:tab w:val="left" w:pos="1513"/>
              </w:tabs>
              <w:ind w:right="54"/>
              <w:jc w:val="both"/>
            </w:pPr>
            <w:r>
              <w:t>En los capítulos III y IV del Manual de Contabilidad, se incorporan subcuentas analíticas en la cuenta analítica 1401.04.06 referida a préstamos hipotecarios a fin de discriminar los préstamos con hipotecas inscritas y los préstamos sin hipoteca</w:t>
            </w:r>
            <w:r>
              <w:rPr>
                <w:spacing w:val="-4"/>
              </w:rPr>
              <w:t xml:space="preserve"> </w:t>
            </w:r>
            <w:r>
              <w:t>inscrita.</w:t>
            </w:r>
          </w:p>
          <w:p w14:paraId="40FE1C63" w14:textId="77777777" w:rsidR="008C20EB" w:rsidRDefault="008D25BE">
            <w:pPr>
              <w:pStyle w:val="TableParagraph"/>
              <w:numPr>
                <w:ilvl w:val="1"/>
                <w:numId w:val="141"/>
              </w:numPr>
              <w:tabs>
                <w:tab w:val="left" w:pos="1513"/>
              </w:tabs>
              <w:spacing w:line="237" w:lineRule="auto"/>
              <w:ind w:right="63"/>
              <w:jc w:val="both"/>
            </w:pPr>
            <w:r>
              <w:t>Se precisa que las provisiones procíclicas se contabilizan en las cuentas de provisiones</w:t>
            </w:r>
            <w:r>
              <w:rPr>
                <w:spacing w:val="-5"/>
              </w:rPr>
              <w:t xml:space="preserve"> </w:t>
            </w:r>
            <w:r>
              <w:t>genéricas</w:t>
            </w:r>
            <w:r>
              <w:rPr>
                <w:spacing w:val="-4"/>
              </w:rPr>
              <w:t xml:space="preserve"> </w:t>
            </w:r>
            <w:r>
              <w:t>obligatorias,</w:t>
            </w:r>
            <w:r>
              <w:rPr>
                <w:spacing w:val="-7"/>
              </w:rPr>
              <w:t xml:space="preserve"> </w:t>
            </w:r>
            <w:r>
              <w:t>tanto</w:t>
            </w:r>
            <w:r>
              <w:rPr>
                <w:spacing w:val="-6"/>
              </w:rPr>
              <w:t xml:space="preserve"> </w:t>
            </w:r>
            <w:r>
              <w:t>en</w:t>
            </w:r>
            <w:r>
              <w:rPr>
                <w:spacing w:val="-5"/>
              </w:rPr>
              <w:t xml:space="preserve"> </w:t>
            </w:r>
            <w:r>
              <w:t>cuentas</w:t>
            </w:r>
            <w:r>
              <w:rPr>
                <w:spacing w:val="-4"/>
              </w:rPr>
              <w:t xml:space="preserve"> </w:t>
            </w:r>
            <w:r>
              <w:t>de</w:t>
            </w:r>
            <w:r>
              <w:rPr>
                <w:spacing w:val="-1"/>
              </w:rPr>
              <w:t xml:space="preserve"> </w:t>
            </w:r>
            <w:r>
              <w:t>balance</w:t>
            </w:r>
            <w:r>
              <w:rPr>
                <w:spacing w:val="-5"/>
              </w:rPr>
              <w:t xml:space="preserve"> </w:t>
            </w:r>
            <w:r>
              <w:t>como</w:t>
            </w:r>
            <w:r>
              <w:rPr>
                <w:spacing w:val="-5"/>
              </w:rPr>
              <w:t xml:space="preserve"> </w:t>
            </w:r>
            <w:r>
              <w:t>en</w:t>
            </w:r>
            <w:r>
              <w:rPr>
                <w:spacing w:val="-5"/>
              </w:rPr>
              <w:t xml:space="preserve"> </w:t>
            </w:r>
            <w:r>
              <w:t>gastos.</w:t>
            </w:r>
          </w:p>
          <w:p w14:paraId="40FE1C64" w14:textId="77777777" w:rsidR="008C20EB" w:rsidRDefault="008D25BE">
            <w:pPr>
              <w:pStyle w:val="TableParagraph"/>
              <w:numPr>
                <w:ilvl w:val="1"/>
                <w:numId w:val="141"/>
              </w:numPr>
              <w:tabs>
                <w:tab w:val="left" w:pos="1513"/>
              </w:tabs>
              <w:jc w:val="both"/>
            </w:pPr>
            <w:r>
              <w:t>En la Información Complementaria (Capítulo V), se modifica lo</w:t>
            </w:r>
            <w:r>
              <w:rPr>
                <w:spacing w:val="-31"/>
              </w:rPr>
              <w:t xml:space="preserve"> </w:t>
            </w:r>
            <w:r>
              <w:t>siguiente:</w:t>
            </w:r>
          </w:p>
          <w:p w14:paraId="40FE1C65" w14:textId="77777777" w:rsidR="008C20EB" w:rsidRDefault="008D25BE">
            <w:pPr>
              <w:pStyle w:val="TableParagraph"/>
              <w:numPr>
                <w:ilvl w:val="2"/>
                <w:numId w:val="141"/>
              </w:numPr>
              <w:tabs>
                <w:tab w:val="left" w:pos="2161"/>
              </w:tabs>
              <w:spacing w:before="1" w:line="251" w:lineRule="exact"/>
              <w:ind w:hanging="361"/>
              <w:jc w:val="both"/>
            </w:pPr>
            <w:r>
              <w:t>Anexos 5, 5-A, 5B y</w:t>
            </w:r>
            <w:r>
              <w:rPr>
                <w:spacing w:val="-13"/>
              </w:rPr>
              <w:t xml:space="preserve"> </w:t>
            </w:r>
            <w:r>
              <w:t>5C</w:t>
            </w:r>
          </w:p>
          <w:p w14:paraId="40FE1C66" w14:textId="77777777" w:rsidR="008C20EB" w:rsidRDefault="008D25BE">
            <w:pPr>
              <w:pStyle w:val="TableParagraph"/>
              <w:numPr>
                <w:ilvl w:val="2"/>
                <w:numId w:val="141"/>
              </w:numPr>
              <w:tabs>
                <w:tab w:val="left" w:pos="2161"/>
              </w:tabs>
              <w:ind w:right="57"/>
              <w:jc w:val="both"/>
            </w:pPr>
            <w:r>
              <w:t>Se incorpora el Anexo 5C denominado “Resumen de Provisiones Procíclicas de la Cartera Transferida en Fideicomiso” cuyo plazo de remisión es</w:t>
            </w:r>
            <w:r>
              <w:rPr>
                <w:spacing w:val="-6"/>
              </w:rPr>
              <w:t xml:space="preserve"> </w:t>
            </w:r>
            <w:r>
              <w:t>trimestral</w:t>
            </w:r>
          </w:p>
          <w:p w14:paraId="40FE1C67" w14:textId="77777777" w:rsidR="008C20EB" w:rsidRDefault="008D25BE">
            <w:pPr>
              <w:pStyle w:val="TableParagraph"/>
              <w:numPr>
                <w:ilvl w:val="2"/>
                <w:numId w:val="141"/>
              </w:numPr>
              <w:tabs>
                <w:tab w:val="left" w:pos="2161"/>
              </w:tabs>
              <w:spacing w:before="1"/>
              <w:ind w:right="61"/>
              <w:jc w:val="both"/>
            </w:pPr>
            <w:r>
              <w:t>Se modifican las notas metodológicas del Anexo 5 y anexos complementarios.</w:t>
            </w:r>
          </w:p>
          <w:p w14:paraId="40FE1C68" w14:textId="77777777" w:rsidR="008C20EB" w:rsidRDefault="008D25BE">
            <w:pPr>
              <w:pStyle w:val="TableParagraph"/>
              <w:numPr>
                <w:ilvl w:val="2"/>
                <w:numId w:val="141"/>
              </w:numPr>
              <w:tabs>
                <w:tab w:val="left" w:pos="2161"/>
              </w:tabs>
              <w:ind w:right="50"/>
              <w:jc w:val="both"/>
            </w:pPr>
            <w:r>
              <w:t>Se modifica el Anexo Nº 6: RCD a fin de incorporar las cuentas creadas de créditos</w:t>
            </w:r>
            <w:r>
              <w:rPr>
                <w:spacing w:val="-6"/>
              </w:rPr>
              <w:t xml:space="preserve"> </w:t>
            </w:r>
            <w:r>
              <w:t>hipotecarios.</w:t>
            </w:r>
          </w:p>
          <w:p w14:paraId="40FE1C69" w14:textId="77777777" w:rsidR="008C20EB" w:rsidRDefault="008C20EB">
            <w:pPr>
              <w:pStyle w:val="TableParagraph"/>
              <w:spacing w:before="10"/>
              <w:jc w:val="both"/>
              <w:rPr>
                <w:rFonts w:ascii="Arial"/>
                <w:b/>
                <w:sz w:val="21"/>
              </w:rPr>
            </w:pPr>
          </w:p>
          <w:p w14:paraId="40FE1C6A" w14:textId="77777777" w:rsidR="008C20EB" w:rsidRDefault="008D25BE">
            <w:pPr>
              <w:pStyle w:val="TableParagraph"/>
              <w:numPr>
                <w:ilvl w:val="0"/>
                <w:numId w:val="141"/>
              </w:numPr>
              <w:tabs>
                <w:tab w:val="left" w:pos="183"/>
              </w:tabs>
              <w:ind w:right="68"/>
              <w:jc w:val="both"/>
            </w:pPr>
            <w:r>
              <w:t>Anexo B: Modificaciones con vigencia a partir de enero de 2010, que posteriormente se modificó su vigencia a julio de 2010 mediante la Resol. SBS N°</w:t>
            </w:r>
            <w:r>
              <w:rPr>
                <w:spacing w:val="-21"/>
              </w:rPr>
              <w:t xml:space="preserve"> </w:t>
            </w:r>
            <w:r>
              <w:t>14353-2009:</w:t>
            </w:r>
          </w:p>
          <w:p w14:paraId="40FE1C6B" w14:textId="77777777" w:rsidR="008C20EB" w:rsidRDefault="008D25BE">
            <w:pPr>
              <w:pStyle w:val="TableParagraph"/>
              <w:numPr>
                <w:ilvl w:val="1"/>
                <w:numId w:val="141"/>
              </w:numPr>
              <w:tabs>
                <w:tab w:val="left" w:pos="1513"/>
              </w:tabs>
              <w:spacing w:line="250" w:lineRule="exact"/>
              <w:jc w:val="both"/>
            </w:pPr>
            <w:r>
              <w:t>Se modifica el Capítulo I del Manual de</w:t>
            </w:r>
            <w:r>
              <w:rPr>
                <w:spacing w:val="-21"/>
              </w:rPr>
              <w:t xml:space="preserve"> </w:t>
            </w:r>
            <w:r>
              <w:t>Contabilidad.</w:t>
            </w:r>
          </w:p>
          <w:p w14:paraId="40FE1C6C" w14:textId="77777777" w:rsidR="008C20EB" w:rsidRDefault="008D25BE">
            <w:pPr>
              <w:pStyle w:val="TableParagraph"/>
              <w:numPr>
                <w:ilvl w:val="1"/>
                <w:numId w:val="141"/>
              </w:numPr>
              <w:tabs>
                <w:tab w:val="left" w:pos="1513"/>
              </w:tabs>
              <w:spacing w:before="2"/>
              <w:ind w:right="60"/>
              <w:jc w:val="both"/>
            </w:pPr>
            <w:r>
              <w:t xml:space="preserve">Se modifican los Capítulos III y IV del Manual de Contabilidad a efectos de adecuar las cuentas y descripciones a la nueva estructura </w:t>
            </w:r>
            <w:r>
              <w:rPr>
                <w:spacing w:val="-3"/>
              </w:rPr>
              <w:t xml:space="preserve">de </w:t>
            </w:r>
            <w:r>
              <w:t>créditos establecida en el nuevo Reglamento para la Evaluación y Clasificación del Deudor y la Exigencia de</w:t>
            </w:r>
            <w:r>
              <w:rPr>
                <w:spacing w:val="-7"/>
              </w:rPr>
              <w:t xml:space="preserve"> </w:t>
            </w:r>
            <w:r>
              <w:t>Provisiones.</w:t>
            </w:r>
          </w:p>
          <w:p w14:paraId="40FE1C6D" w14:textId="77777777" w:rsidR="008C20EB" w:rsidRDefault="008D25BE">
            <w:pPr>
              <w:pStyle w:val="TableParagraph"/>
              <w:numPr>
                <w:ilvl w:val="1"/>
                <w:numId w:val="141"/>
              </w:numPr>
              <w:tabs>
                <w:tab w:val="left" w:pos="1561"/>
              </w:tabs>
              <w:spacing w:line="251" w:lineRule="exact"/>
              <w:ind w:left="1560" w:hanging="409"/>
              <w:jc w:val="both"/>
            </w:pPr>
            <w:r>
              <w:t>En la Información Complementaria (Capítulo V), se modifica lo</w:t>
            </w:r>
            <w:r>
              <w:rPr>
                <w:spacing w:val="-27"/>
              </w:rPr>
              <w:t xml:space="preserve"> </w:t>
            </w:r>
            <w:r>
              <w:t>siguiente:</w:t>
            </w:r>
          </w:p>
          <w:p w14:paraId="40FE1C6E" w14:textId="77777777" w:rsidR="008C20EB" w:rsidRDefault="008D25BE">
            <w:pPr>
              <w:pStyle w:val="TableParagraph"/>
              <w:numPr>
                <w:ilvl w:val="2"/>
                <w:numId w:val="141"/>
              </w:numPr>
              <w:tabs>
                <w:tab w:val="left" w:pos="2161"/>
              </w:tabs>
              <w:spacing w:before="2" w:line="251" w:lineRule="exact"/>
              <w:ind w:hanging="361"/>
              <w:jc w:val="both"/>
            </w:pPr>
            <w:r>
              <w:t>Anexos 5, 5-A, 5B, 5C, 5C’ y</w:t>
            </w:r>
            <w:r>
              <w:rPr>
                <w:spacing w:val="-27"/>
              </w:rPr>
              <w:t xml:space="preserve"> </w:t>
            </w:r>
            <w:r>
              <w:t>5D</w:t>
            </w:r>
          </w:p>
          <w:p w14:paraId="40FE1C6F" w14:textId="77777777" w:rsidR="008C20EB" w:rsidRDefault="008D25BE">
            <w:pPr>
              <w:pStyle w:val="TableParagraph"/>
              <w:numPr>
                <w:ilvl w:val="2"/>
                <w:numId w:val="141"/>
              </w:numPr>
              <w:tabs>
                <w:tab w:val="left" w:pos="2161"/>
              </w:tabs>
              <w:spacing w:line="242" w:lineRule="auto"/>
              <w:ind w:right="61"/>
              <w:jc w:val="both"/>
            </w:pPr>
            <w:r>
              <w:t>Se modifican las notas metodológicas del Anexo 5 y anexos complementarios.</w:t>
            </w:r>
          </w:p>
        </w:tc>
      </w:tr>
      <w:tr w:rsidR="008C20EB" w14:paraId="40FE1C75" w14:textId="77777777">
        <w:trPr>
          <w:trHeight w:val="359"/>
        </w:trPr>
        <w:tc>
          <w:tcPr>
            <w:tcW w:w="1445" w:type="dxa"/>
          </w:tcPr>
          <w:p w14:paraId="40FE1C71" w14:textId="77777777" w:rsidR="008C20EB" w:rsidRDefault="008D25BE">
            <w:pPr>
              <w:pStyle w:val="TableParagraph"/>
              <w:spacing w:line="237" w:lineRule="exact"/>
              <w:ind w:right="391"/>
              <w:jc w:val="both"/>
              <w:rPr>
                <w:b/>
              </w:rPr>
            </w:pPr>
            <w:r>
              <w:rPr>
                <w:b/>
              </w:rPr>
              <w:t>Resolución</w:t>
            </w:r>
          </w:p>
        </w:tc>
        <w:tc>
          <w:tcPr>
            <w:tcW w:w="1733" w:type="dxa"/>
          </w:tcPr>
          <w:p w14:paraId="40FE1C72" w14:textId="77777777" w:rsidR="008C20EB" w:rsidRDefault="008D25BE">
            <w:pPr>
              <w:pStyle w:val="TableParagraph"/>
              <w:tabs>
                <w:tab w:val="left" w:pos="1606"/>
              </w:tabs>
              <w:spacing w:line="237" w:lineRule="exact"/>
              <w:jc w:val="both"/>
              <w:rPr>
                <w:b/>
              </w:rPr>
            </w:pPr>
            <w:r>
              <w:rPr>
                <w:b/>
              </w:rPr>
              <w:t xml:space="preserve">(Pr.  </w:t>
            </w:r>
            <w:r>
              <w:rPr>
                <w:b/>
                <w:spacing w:val="44"/>
              </w:rPr>
              <w:t xml:space="preserve"> </w:t>
            </w:r>
            <w:r>
              <w:rPr>
                <w:b/>
              </w:rPr>
              <w:t>31.10.2008</w:t>
            </w:r>
            <w:r>
              <w:rPr>
                <w:b/>
              </w:rPr>
              <w:tab/>
              <w:t>/</w:t>
            </w:r>
          </w:p>
        </w:tc>
        <w:tc>
          <w:tcPr>
            <w:tcW w:w="3500" w:type="dxa"/>
          </w:tcPr>
          <w:p w14:paraId="40FE1C73" w14:textId="77777777" w:rsidR="008C20EB" w:rsidRDefault="008D25BE">
            <w:pPr>
              <w:pStyle w:val="TableParagraph"/>
              <w:spacing w:line="237" w:lineRule="exact"/>
              <w:ind w:left="177"/>
              <w:jc w:val="both"/>
            </w:pPr>
            <w:r>
              <w:t>Modificación de los capítulos I, II, III, IV</w:t>
            </w:r>
          </w:p>
        </w:tc>
        <w:tc>
          <w:tcPr>
            <w:tcW w:w="8162" w:type="dxa"/>
          </w:tcPr>
          <w:p w14:paraId="40FE1C74" w14:textId="77777777" w:rsidR="008C20EB" w:rsidRDefault="008D25BE">
            <w:pPr>
              <w:pStyle w:val="TableParagraph"/>
              <w:numPr>
                <w:ilvl w:val="0"/>
                <w:numId w:val="142"/>
              </w:numPr>
              <w:tabs>
                <w:tab w:val="left" w:pos="361"/>
              </w:tabs>
              <w:spacing w:line="253" w:lineRule="exact"/>
              <w:ind w:hanging="289"/>
              <w:jc w:val="both"/>
            </w:pPr>
            <w:r>
              <w:t>Se sustituye el numeral 10 “Inversiones en participación accionaria” del acápite C del Capítulo</w:t>
            </w:r>
            <w:r>
              <w:rPr>
                <w:spacing w:val="9"/>
              </w:rPr>
              <w:t xml:space="preserve"> </w:t>
            </w:r>
            <w:r>
              <w:t>I</w:t>
            </w:r>
          </w:p>
        </w:tc>
      </w:tr>
    </w:tbl>
    <w:p w14:paraId="40FE1C76" w14:textId="77777777" w:rsidR="008C20EB" w:rsidRDefault="008C20EB">
      <w:pPr>
        <w:spacing w:line="253" w:lineRule="exact"/>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7B" w14:textId="77777777">
        <w:trPr>
          <w:trHeight w:val="254"/>
        </w:trPr>
        <w:tc>
          <w:tcPr>
            <w:tcW w:w="1445" w:type="dxa"/>
            <w:vAlign w:val="bottom"/>
          </w:tcPr>
          <w:p w14:paraId="40FE1C77"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C78" w14:textId="77777777" w:rsidR="008C20EB" w:rsidRDefault="008D25BE">
            <w:pPr>
              <w:pStyle w:val="TableParagraph"/>
              <w:spacing w:line="234" w:lineRule="exact"/>
              <w:ind w:left="556"/>
              <w:jc w:val="both"/>
              <w:rPr>
                <w:b/>
              </w:rPr>
            </w:pPr>
            <w:r>
              <w:rPr>
                <w:b/>
              </w:rPr>
              <w:t>FECHA</w:t>
            </w:r>
          </w:p>
        </w:tc>
        <w:tc>
          <w:tcPr>
            <w:tcW w:w="3500" w:type="dxa"/>
            <w:vAlign w:val="bottom"/>
          </w:tcPr>
          <w:p w14:paraId="40FE1C79"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7A" w14:textId="77777777" w:rsidR="008C20EB" w:rsidRDefault="008D25BE">
            <w:pPr>
              <w:pStyle w:val="TableParagraph"/>
              <w:spacing w:line="234" w:lineRule="exact"/>
              <w:ind w:left="3271" w:right="3265"/>
              <w:jc w:val="both"/>
              <w:rPr>
                <w:b/>
              </w:rPr>
            </w:pPr>
            <w:r>
              <w:rPr>
                <w:b/>
              </w:rPr>
              <w:t>MODIFICATORIAS</w:t>
            </w:r>
          </w:p>
        </w:tc>
      </w:tr>
      <w:tr w:rsidR="008C20EB" w14:paraId="40FE1C90" w14:textId="77777777">
        <w:trPr>
          <w:trHeight w:val="7831"/>
        </w:trPr>
        <w:tc>
          <w:tcPr>
            <w:tcW w:w="1445" w:type="dxa"/>
          </w:tcPr>
          <w:p w14:paraId="40FE1C7C" w14:textId="77777777" w:rsidR="008C20EB" w:rsidRDefault="008D25BE">
            <w:pPr>
              <w:pStyle w:val="TableParagraph"/>
              <w:spacing w:line="240" w:lineRule="exact"/>
              <w:ind w:left="71"/>
              <w:jc w:val="both"/>
              <w:rPr>
                <w:b/>
              </w:rPr>
            </w:pPr>
            <w:r>
              <w:rPr>
                <w:b/>
              </w:rPr>
              <w:t>SBS Nº 10639-</w:t>
            </w:r>
          </w:p>
          <w:p w14:paraId="40FE1C7D" w14:textId="77777777" w:rsidR="008C20EB" w:rsidRDefault="008D25BE">
            <w:pPr>
              <w:pStyle w:val="TableParagraph"/>
              <w:spacing w:line="251" w:lineRule="exact"/>
              <w:ind w:left="71"/>
              <w:jc w:val="both"/>
              <w:rPr>
                <w:b/>
              </w:rPr>
            </w:pPr>
            <w:r>
              <w:rPr>
                <w:b/>
              </w:rPr>
              <w:t>2008</w:t>
            </w:r>
          </w:p>
        </w:tc>
        <w:tc>
          <w:tcPr>
            <w:tcW w:w="1733" w:type="dxa"/>
          </w:tcPr>
          <w:p w14:paraId="40FE1C7E" w14:textId="77777777" w:rsidR="008C20EB" w:rsidRDefault="008D25BE">
            <w:pPr>
              <w:pStyle w:val="TableParagraph"/>
              <w:spacing w:line="242" w:lineRule="exact"/>
              <w:jc w:val="both"/>
              <w:rPr>
                <w:b/>
              </w:rPr>
            </w:pPr>
            <w:r>
              <w:rPr>
                <w:b/>
              </w:rPr>
              <w:t>Pub. 01.11.2008)</w:t>
            </w:r>
          </w:p>
        </w:tc>
        <w:tc>
          <w:tcPr>
            <w:tcW w:w="3500" w:type="dxa"/>
          </w:tcPr>
          <w:p w14:paraId="40FE1C7F" w14:textId="77777777" w:rsidR="008C20EB" w:rsidRDefault="008D25BE">
            <w:pPr>
              <w:pStyle w:val="TableParagraph"/>
              <w:ind w:left="177" w:right="60"/>
              <w:jc w:val="both"/>
            </w:pPr>
            <w:r>
              <w:t>y V del Manual de Contabilidad para las empresas del sistema financiero, cuya vigencia es a partir de la información correspondiente al mes de noviembre de 2008, excepto el Anexo Nº 1 “Inversiones”, el que deberá ser remitido a partir de la información correspondiente al mes de enero de 2009. Posteriormente mediante la Resolución SBS Nº 11851-2008 se prorrogó la vigencia de las modificaciones al Manual así como del Anexo 1 hasta la información correspondiente al mes de marzo de 2008.</w:t>
            </w:r>
          </w:p>
        </w:tc>
        <w:tc>
          <w:tcPr>
            <w:tcW w:w="8162" w:type="dxa"/>
          </w:tcPr>
          <w:p w14:paraId="40FE1C80" w14:textId="77777777" w:rsidR="008C20EB" w:rsidRDefault="008D25BE">
            <w:pPr>
              <w:pStyle w:val="TableParagraph"/>
              <w:spacing w:line="242" w:lineRule="exact"/>
              <w:ind w:left="360"/>
              <w:jc w:val="both"/>
            </w:pPr>
            <w:r>
              <w:t>“Disposiciones Generales” del Manual de Contabilidad.</w:t>
            </w:r>
          </w:p>
          <w:p w14:paraId="40FE1C81" w14:textId="77777777" w:rsidR="008C20EB" w:rsidRDefault="008D25BE">
            <w:pPr>
              <w:pStyle w:val="TableParagraph"/>
              <w:spacing w:before="11"/>
              <w:ind w:left="360"/>
              <w:jc w:val="both"/>
            </w:pPr>
            <w:r>
              <w:t>Se modifica la Forma A “Balance General” y sus normas de agrupación.</w:t>
            </w:r>
          </w:p>
          <w:p w14:paraId="40FE1C82" w14:textId="77777777" w:rsidR="008C20EB" w:rsidRDefault="008D25BE">
            <w:pPr>
              <w:pStyle w:val="TableParagraph"/>
              <w:numPr>
                <w:ilvl w:val="0"/>
                <w:numId w:val="143"/>
              </w:numPr>
              <w:tabs>
                <w:tab w:val="left" w:pos="361"/>
              </w:tabs>
              <w:spacing w:before="2" w:line="252" w:lineRule="auto"/>
              <w:ind w:right="743"/>
              <w:jc w:val="both"/>
            </w:pPr>
            <w:r>
              <w:t>Se modifica la Forma B “Estado de Ganancias y Pérdidas” y sus normas de agrupación. Se modifica la Forma D “Estado de Cambios en el Patrimonio</w:t>
            </w:r>
            <w:r>
              <w:rPr>
                <w:spacing w:val="-22"/>
              </w:rPr>
              <w:t xml:space="preserve"> </w:t>
            </w:r>
            <w:r>
              <w:t>Neto”.</w:t>
            </w:r>
          </w:p>
          <w:p w14:paraId="40FE1C83" w14:textId="77777777" w:rsidR="008C20EB" w:rsidRDefault="008D25BE">
            <w:pPr>
              <w:pStyle w:val="TableParagraph"/>
              <w:numPr>
                <w:ilvl w:val="0"/>
                <w:numId w:val="143"/>
              </w:numPr>
              <w:tabs>
                <w:tab w:val="left" w:pos="361"/>
              </w:tabs>
              <w:spacing w:line="235" w:lineRule="auto"/>
              <w:ind w:right="66"/>
              <w:jc w:val="both"/>
            </w:pPr>
            <w:r>
              <w:t>Se sustituye la denominación de la subcuenta 1102.04 “Depósitos overnight en moneda extranjera” por “Depósitos</w:t>
            </w:r>
            <w:r>
              <w:rPr>
                <w:spacing w:val="-7"/>
              </w:rPr>
              <w:t xml:space="preserve"> </w:t>
            </w:r>
            <w:r>
              <w:t>overnight”.</w:t>
            </w:r>
          </w:p>
          <w:p w14:paraId="40FE1C84" w14:textId="77777777" w:rsidR="008C20EB" w:rsidRDefault="008D25BE">
            <w:pPr>
              <w:pStyle w:val="TableParagraph"/>
              <w:numPr>
                <w:ilvl w:val="0"/>
                <w:numId w:val="143"/>
              </w:numPr>
              <w:tabs>
                <w:tab w:val="left" w:pos="361"/>
              </w:tabs>
              <w:spacing w:line="269" w:lineRule="exact"/>
              <w:ind w:hanging="289"/>
              <w:jc w:val="both"/>
            </w:pPr>
            <w:r>
              <w:t>Se sustituye la descripción del rubro 13 “Inversiones negociables y a</w:t>
            </w:r>
            <w:r>
              <w:rPr>
                <w:spacing w:val="-31"/>
              </w:rPr>
              <w:t xml:space="preserve"> </w:t>
            </w:r>
            <w:r>
              <w:t>vencimiento”.</w:t>
            </w:r>
          </w:p>
          <w:p w14:paraId="40FE1C85" w14:textId="77777777" w:rsidR="008C20EB" w:rsidRDefault="008D25BE">
            <w:pPr>
              <w:pStyle w:val="TableParagraph"/>
              <w:numPr>
                <w:ilvl w:val="0"/>
                <w:numId w:val="143"/>
              </w:numPr>
              <w:tabs>
                <w:tab w:val="left" w:pos="361"/>
              </w:tabs>
              <w:spacing w:before="1" w:line="235" w:lineRule="auto"/>
              <w:ind w:right="574"/>
              <w:jc w:val="both"/>
            </w:pPr>
            <w:r>
              <w:t>Se sustituye la denominación del rubro 17 “Inversiones Permanentes” por “Inversiones en Subsidiarias y</w:t>
            </w:r>
            <w:r>
              <w:rPr>
                <w:spacing w:val="-5"/>
              </w:rPr>
              <w:t xml:space="preserve"> </w:t>
            </w:r>
            <w:r>
              <w:t>Asociadas”.</w:t>
            </w:r>
          </w:p>
          <w:p w14:paraId="40FE1C86" w14:textId="77777777" w:rsidR="008C20EB" w:rsidRDefault="008D25BE">
            <w:pPr>
              <w:pStyle w:val="TableParagraph"/>
              <w:numPr>
                <w:ilvl w:val="0"/>
                <w:numId w:val="143"/>
              </w:numPr>
              <w:tabs>
                <w:tab w:val="left" w:pos="361"/>
              </w:tabs>
              <w:spacing w:before="2" w:line="269" w:lineRule="exact"/>
              <w:ind w:hanging="289"/>
              <w:jc w:val="both"/>
            </w:pPr>
            <w:r>
              <w:t>Se sustituye la descripción del rubro 17 denominado “Inversiones en Subsidiarias y</w:t>
            </w:r>
            <w:r>
              <w:rPr>
                <w:spacing w:val="-1"/>
              </w:rPr>
              <w:t xml:space="preserve"> </w:t>
            </w:r>
            <w:r>
              <w:t>Asociadas”.</w:t>
            </w:r>
          </w:p>
          <w:p w14:paraId="40FE1C87" w14:textId="77777777" w:rsidR="008C20EB" w:rsidRDefault="008D25BE">
            <w:pPr>
              <w:pStyle w:val="TableParagraph"/>
              <w:numPr>
                <w:ilvl w:val="0"/>
                <w:numId w:val="143"/>
              </w:numPr>
              <w:tabs>
                <w:tab w:val="left" w:pos="361"/>
              </w:tabs>
              <w:ind w:right="325"/>
              <w:jc w:val="both"/>
            </w:pPr>
            <w:r>
              <w:t>Se</w:t>
            </w:r>
            <w:r>
              <w:rPr>
                <w:spacing w:val="-7"/>
              </w:rPr>
              <w:t xml:space="preserve"> </w:t>
            </w:r>
            <w:r>
              <w:t>elimina</w:t>
            </w:r>
            <w:r>
              <w:rPr>
                <w:spacing w:val="-6"/>
              </w:rPr>
              <w:t xml:space="preserve"> </w:t>
            </w:r>
            <w:r>
              <w:t>las</w:t>
            </w:r>
            <w:r>
              <w:rPr>
                <w:spacing w:val="-5"/>
              </w:rPr>
              <w:t xml:space="preserve"> </w:t>
            </w:r>
            <w:r>
              <w:t>cuentas</w:t>
            </w:r>
            <w:r>
              <w:rPr>
                <w:spacing w:val="-6"/>
              </w:rPr>
              <w:t xml:space="preserve"> </w:t>
            </w:r>
            <w:r>
              <w:t>1708</w:t>
            </w:r>
            <w:r>
              <w:rPr>
                <w:spacing w:val="3"/>
              </w:rPr>
              <w:t xml:space="preserve"> </w:t>
            </w:r>
            <w:r>
              <w:t>“Rendimientos</w:t>
            </w:r>
            <w:r>
              <w:rPr>
                <w:spacing w:val="-6"/>
              </w:rPr>
              <w:t xml:space="preserve"> </w:t>
            </w:r>
            <w:r>
              <w:t>devengados</w:t>
            </w:r>
            <w:r>
              <w:rPr>
                <w:spacing w:val="-6"/>
              </w:rPr>
              <w:t xml:space="preserve"> </w:t>
            </w:r>
            <w:r>
              <w:t>de</w:t>
            </w:r>
            <w:r>
              <w:rPr>
                <w:spacing w:val="-6"/>
              </w:rPr>
              <w:t xml:space="preserve"> </w:t>
            </w:r>
            <w:r>
              <w:t>inversiones</w:t>
            </w:r>
            <w:r>
              <w:rPr>
                <w:spacing w:val="-6"/>
              </w:rPr>
              <w:t xml:space="preserve"> </w:t>
            </w:r>
            <w:r>
              <w:t>permanentes”</w:t>
            </w:r>
            <w:r>
              <w:rPr>
                <w:spacing w:val="-13"/>
              </w:rPr>
              <w:t xml:space="preserve"> </w:t>
            </w:r>
            <w:r>
              <w:t>y</w:t>
            </w:r>
            <w:r>
              <w:rPr>
                <w:spacing w:val="-1"/>
              </w:rPr>
              <w:t xml:space="preserve"> </w:t>
            </w:r>
            <w:r>
              <w:t>1709 “(Provisiones para inversiones permanentes)”, así como las subcuentas y cuentas analíticas comprendidas en dichas</w:t>
            </w:r>
            <w:r>
              <w:rPr>
                <w:spacing w:val="-8"/>
              </w:rPr>
              <w:t xml:space="preserve"> </w:t>
            </w:r>
            <w:r>
              <w:t>cuentas.</w:t>
            </w:r>
          </w:p>
          <w:p w14:paraId="40FE1C88" w14:textId="77777777" w:rsidR="008C20EB" w:rsidRDefault="008D25BE">
            <w:pPr>
              <w:pStyle w:val="TableParagraph"/>
              <w:numPr>
                <w:ilvl w:val="0"/>
                <w:numId w:val="143"/>
              </w:numPr>
              <w:tabs>
                <w:tab w:val="left" w:pos="361"/>
              </w:tabs>
              <w:spacing w:before="3" w:line="235" w:lineRule="auto"/>
              <w:ind w:right="356"/>
              <w:jc w:val="both"/>
            </w:pPr>
            <w:r>
              <w:t>Se</w:t>
            </w:r>
            <w:r>
              <w:rPr>
                <w:spacing w:val="-6"/>
              </w:rPr>
              <w:t xml:space="preserve"> </w:t>
            </w:r>
            <w:r>
              <w:t>elimina</w:t>
            </w:r>
            <w:r>
              <w:rPr>
                <w:spacing w:val="-5"/>
              </w:rPr>
              <w:t xml:space="preserve"> </w:t>
            </w:r>
            <w:r>
              <w:t>la</w:t>
            </w:r>
            <w:r>
              <w:rPr>
                <w:spacing w:val="-1"/>
              </w:rPr>
              <w:t xml:space="preserve"> </w:t>
            </w:r>
            <w:r>
              <w:t>subcuenta</w:t>
            </w:r>
            <w:r>
              <w:rPr>
                <w:spacing w:val="-5"/>
              </w:rPr>
              <w:t xml:space="preserve"> </w:t>
            </w:r>
            <w:r>
              <w:t>2901.05</w:t>
            </w:r>
            <w:r>
              <w:rPr>
                <w:spacing w:val="-1"/>
              </w:rPr>
              <w:t xml:space="preserve"> </w:t>
            </w:r>
            <w:r>
              <w:t>“Ingresos</w:t>
            </w:r>
            <w:r>
              <w:rPr>
                <w:spacing w:val="-5"/>
              </w:rPr>
              <w:t xml:space="preserve"> </w:t>
            </w:r>
            <w:r>
              <w:t>por</w:t>
            </w:r>
            <w:r>
              <w:rPr>
                <w:spacing w:val="-3"/>
              </w:rPr>
              <w:t xml:space="preserve"> </w:t>
            </w:r>
            <w:r>
              <w:t>compra</w:t>
            </w:r>
            <w:r>
              <w:rPr>
                <w:spacing w:val="-6"/>
              </w:rPr>
              <w:t xml:space="preserve"> </w:t>
            </w:r>
            <w:r>
              <w:t>venta</w:t>
            </w:r>
            <w:r>
              <w:rPr>
                <w:spacing w:val="-9"/>
              </w:rPr>
              <w:t xml:space="preserve"> </w:t>
            </w:r>
            <w:r>
              <w:t>de</w:t>
            </w:r>
            <w:r>
              <w:rPr>
                <w:spacing w:val="-6"/>
              </w:rPr>
              <w:t xml:space="preserve"> </w:t>
            </w:r>
            <w:r>
              <w:t>valores</w:t>
            </w:r>
            <w:r>
              <w:rPr>
                <w:spacing w:val="-4"/>
              </w:rPr>
              <w:t xml:space="preserve"> </w:t>
            </w:r>
            <w:r>
              <w:t>no</w:t>
            </w:r>
            <w:r>
              <w:rPr>
                <w:spacing w:val="-6"/>
              </w:rPr>
              <w:t xml:space="preserve"> </w:t>
            </w:r>
            <w:r>
              <w:t>devengados”,</w:t>
            </w:r>
            <w:r>
              <w:rPr>
                <w:spacing w:val="-4"/>
              </w:rPr>
              <w:t xml:space="preserve"> </w:t>
            </w:r>
            <w:r>
              <w:t>así como las cuentas analíticas comprendidas en dicha</w:t>
            </w:r>
            <w:r>
              <w:rPr>
                <w:spacing w:val="-21"/>
              </w:rPr>
              <w:t xml:space="preserve"> </w:t>
            </w:r>
            <w:r>
              <w:t>subcuenta.</w:t>
            </w:r>
          </w:p>
          <w:p w14:paraId="40FE1C89" w14:textId="77777777" w:rsidR="008C20EB" w:rsidRDefault="008D25BE">
            <w:pPr>
              <w:pStyle w:val="TableParagraph"/>
              <w:numPr>
                <w:ilvl w:val="0"/>
                <w:numId w:val="143"/>
              </w:numPr>
              <w:tabs>
                <w:tab w:val="left" w:pos="361"/>
              </w:tabs>
              <w:spacing w:before="7" w:line="235" w:lineRule="auto"/>
              <w:ind w:right="335"/>
              <w:jc w:val="both"/>
            </w:pPr>
            <w:r>
              <w:t>Se</w:t>
            </w:r>
            <w:r>
              <w:rPr>
                <w:spacing w:val="-5"/>
              </w:rPr>
              <w:t xml:space="preserve"> </w:t>
            </w:r>
            <w:r>
              <w:t>elimina</w:t>
            </w:r>
            <w:r>
              <w:rPr>
                <w:spacing w:val="-4"/>
              </w:rPr>
              <w:t xml:space="preserve"> </w:t>
            </w:r>
            <w:r>
              <w:t>la</w:t>
            </w:r>
            <w:r>
              <w:rPr>
                <w:spacing w:val="-1"/>
              </w:rPr>
              <w:t xml:space="preserve"> </w:t>
            </w:r>
            <w:r>
              <w:t>cuenta</w:t>
            </w:r>
            <w:r>
              <w:rPr>
                <w:spacing w:val="-5"/>
              </w:rPr>
              <w:t xml:space="preserve"> </w:t>
            </w:r>
            <w:r>
              <w:t>3601 “Acciones</w:t>
            </w:r>
            <w:r>
              <w:rPr>
                <w:spacing w:val="-4"/>
              </w:rPr>
              <w:t xml:space="preserve"> </w:t>
            </w:r>
            <w:r>
              <w:t>liberadas</w:t>
            </w:r>
            <w:r>
              <w:rPr>
                <w:spacing w:val="-4"/>
              </w:rPr>
              <w:t xml:space="preserve"> </w:t>
            </w:r>
            <w:r>
              <w:t>por</w:t>
            </w:r>
            <w:r>
              <w:rPr>
                <w:spacing w:val="-3"/>
              </w:rPr>
              <w:t xml:space="preserve"> </w:t>
            </w:r>
            <w:r>
              <w:t>participación</w:t>
            </w:r>
            <w:r>
              <w:rPr>
                <w:spacing w:val="-5"/>
              </w:rPr>
              <w:t xml:space="preserve"> </w:t>
            </w:r>
            <w:r>
              <w:t>en</w:t>
            </w:r>
            <w:r>
              <w:rPr>
                <w:spacing w:val="-5"/>
              </w:rPr>
              <w:t xml:space="preserve"> </w:t>
            </w:r>
            <w:r>
              <w:t>otras</w:t>
            </w:r>
            <w:r>
              <w:rPr>
                <w:spacing w:val="-2"/>
              </w:rPr>
              <w:t xml:space="preserve"> </w:t>
            </w:r>
            <w:r>
              <w:t>empresas”</w:t>
            </w:r>
            <w:r>
              <w:rPr>
                <w:spacing w:val="-12"/>
              </w:rPr>
              <w:t xml:space="preserve"> </w:t>
            </w:r>
            <w:r>
              <w:t>así</w:t>
            </w:r>
            <w:r>
              <w:rPr>
                <w:spacing w:val="-6"/>
              </w:rPr>
              <w:t xml:space="preserve"> </w:t>
            </w:r>
            <w:r>
              <w:t>como las subcuentas comprendidas en dicha</w:t>
            </w:r>
            <w:r>
              <w:rPr>
                <w:spacing w:val="-12"/>
              </w:rPr>
              <w:t xml:space="preserve"> </w:t>
            </w:r>
            <w:r>
              <w:t>cuenta.</w:t>
            </w:r>
          </w:p>
          <w:p w14:paraId="40FE1C8A" w14:textId="77777777" w:rsidR="008C20EB" w:rsidRDefault="008D25BE">
            <w:pPr>
              <w:pStyle w:val="TableParagraph"/>
              <w:numPr>
                <w:ilvl w:val="0"/>
                <w:numId w:val="143"/>
              </w:numPr>
              <w:tabs>
                <w:tab w:val="left" w:pos="361"/>
              </w:tabs>
              <w:spacing w:before="5" w:line="237" w:lineRule="auto"/>
              <w:ind w:right="187"/>
              <w:jc w:val="both"/>
            </w:pPr>
            <w:r>
              <w:t>Se elimina la subcuenta 3802.02 “(Pérdida por fluctuación de valor de inversiones negociables disponible</w:t>
            </w:r>
            <w:r>
              <w:rPr>
                <w:spacing w:val="-5"/>
              </w:rPr>
              <w:t xml:space="preserve"> </w:t>
            </w:r>
            <w:r>
              <w:t>para</w:t>
            </w:r>
            <w:r>
              <w:rPr>
                <w:spacing w:val="-6"/>
              </w:rPr>
              <w:t xml:space="preserve"> </w:t>
            </w:r>
            <w:r>
              <w:t>la</w:t>
            </w:r>
            <w:r>
              <w:rPr>
                <w:spacing w:val="-5"/>
              </w:rPr>
              <w:t xml:space="preserve"> </w:t>
            </w:r>
            <w:r>
              <w:t>venta)”</w:t>
            </w:r>
            <w:r>
              <w:rPr>
                <w:spacing w:val="-11"/>
              </w:rPr>
              <w:t xml:space="preserve"> </w:t>
            </w:r>
            <w:r>
              <w:t>así</w:t>
            </w:r>
            <w:r>
              <w:rPr>
                <w:spacing w:val="-7"/>
              </w:rPr>
              <w:t xml:space="preserve"> </w:t>
            </w:r>
            <w:r>
              <w:t>como las</w:t>
            </w:r>
            <w:r>
              <w:rPr>
                <w:spacing w:val="-4"/>
              </w:rPr>
              <w:t xml:space="preserve"> </w:t>
            </w:r>
            <w:r>
              <w:t>cuentas</w:t>
            </w:r>
            <w:r>
              <w:rPr>
                <w:spacing w:val="-4"/>
              </w:rPr>
              <w:t xml:space="preserve"> </w:t>
            </w:r>
            <w:r>
              <w:t>y</w:t>
            </w:r>
            <w:r>
              <w:rPr>
                <w:spacing w:val="-5"/>
              </w:rPr>
              <w:t xml:space="preserve"> </w:t>
            </w:r>
            <w:r>
              <w:t>subcuentas</w:t>
            </w:r>
            <w:r>
              <w:rPr>
                <w:spacing w:val="-4"/>
              </w:rPr>
              <w:t xml:space="preserve"> </w:t>
            </w:r>
            <w:r>
              <w:t>analíticas</w:t>
            </w:r>
            <w:r>
              <w:rPr>
                <w:spacing w:val="-4"/>
              </w:rPr>
              <w:t xml:space="preserve"> </w:t>
            </w:r>
            <w:r>
              <w:t>comprendidas</w:t>
            </w:r>
            <w:r>
              <w:rPr>
                <w:spacing w:val="-4"/>
              </w:rPr>
              <w:t xml:space="preserve"> </w:t>
            </w:r>
            <w:r>
              <w:t>en</w:t>
            </w:r>
            <w:r>
              <w:rPr>
                <w:spacing w:val="-5"/>
              </w:rPr>
              <w:t xml:space="preserve"> </w:t>
            </w:r>
            <w:r>
              <w:t>dicha subcuenta.</w:t>
            </w:r>
          </w:p>
          <w:p w14:paraId="40FE1C8B" w14:textId="77777777" w:rsidR="008C20EB" w:rsidRDefault="008D25BE">
            <w:pPr>
              <w:pStyle w:val="TableParagraph"/>
              <w:numPr>
                <w:ilvl w:val="0"/>
                <w:numId w:val="143"/>
              </w:numPr>
              <w:tabs>
                <w:tab w:val="left" w:pos="361"/>
              </w:tabs>
              <w:spacing w:before="4"/>
              <w:ind w:right="90"/>
              <w:jc w:val="both"/>
            </w:pPr>
            <w:r>
              <w:t>Se</w:t>
            </w:r>
            <w:r>
              <w:rPr>
                <w:spacing w:val="-7"/>
              </w:rPr>
              <w:t xml:space="preserve"> </w:t>
            </w:r>
            <w:r>
              <w:t>elimina</w:t>
            </w:r>
            <w:r>
              <w:rPr>
                <w:spacing w:val="-5"/>
              </w:rPr>
              <w:t xml:space="preserve"> </w:t>
            </w:r>
            <w:r>
              <w:t>la</w:t>
            </w:r>
            <w:r>
              <w:rPr>
                <w:spacing w:val="-1"/>
              </w:rPr>
              <w:t xml:space="preserve"> </w:t>
            </w:r>
            <w:r>
              <w:t>cuenta</w:t>
            </w:r>
            <w:r>
              <w:rPr>
                <w:spacing w:val="-7"/>
              </w:rPr>
              <w:t xml:space="preserve"> </w:t>
            </w:r>
            <w:r>
              <w:t>5106</w:t>
            </w:r>
            <w:r>
              <w:rPr>
                <w:spacing w:val="-1"/>
              </w:rPr>
              <w:t xml:space="preserve"> </w:t>
            </w:r>
            <w:r>
              <w:t>“Participaciones</w:t>
            </w:r>
            <w:r>
              <w:rPr>
                <w:spacing w:val="-5"/>
              </w:rPr>
              <w:t xml:space="preserve"> </w:t>
            </w:r>
            <w:r>
              <w:t>ganadas</w:t>
            </w:r>
            <w:r>
              <w:rPr>
                <w:spacing w:val="-5"/>
              </w:rPr>
              <w:t xml:space="preserve"> </w:t>
            </w:r>
            <w:r>
              <w:t>por</w:t>
            </w:r>
            <w:r>
              <w:rPr>
                <w:spacing w:val="-5"/>
              </w:rPr>
              <w:t xml:space="preserve"> </w:t>
            </w:r>
            <w:r>
              <w:t>inversiones</w:t>
            </w:r>
            <w:r>
              <w:rPr>
                <w:spacing w:val="-5"/>
              </w:rPr>
              <w:t xml:space="preserve"> </w:t>
            </w:r>
            <w:r>
              <w:t>permanentes”,</w:t>
            </w:r>
            <w:r>
              <w:rPr>
                <w:spacing w:val="-4"/>
              </w:rPr>
              <w:t xml:space="preserve"> </w:t>
            </w:r>
            <w:r>
              <w:t>así</w:t>
            </w:r>
            <w:r>
              <w:rPr>
                <w:spacing w:val="-8"/>
              </w:rPr>
              <w:t xml:space="preserve"> </w:t>
            </w:r>
            <w:r>
              <w:t>como</w:t>
            </w:r>
            <w:r>
              <w:rPr>
                <w:spacing w:val="-2"/>
              </w:rPr>
              <w:t xml:space="preserve"> </w:t>
            </w:r>
            <w:r>
              <w:t>las subcuentas y cuentas analíticas comprendidas en dicha</w:t>
            </w:r>
            <w:r>
              <w:rPr>
                <w:spacing w:val="-20"/>
              </w:rPr>
              <w:t xml:space="preserve"> </w:t>
            </w:r>
            <w:r>
              <w:t>cuenta.</w:t>
            </w:r>
          </w:p>
          <w:p w14:paraId="40FE1C8C" w14:textId="77777777" w:rsidR="008C20EB" w:rsidRDefault="008D25BE">
            <w:pPr>
              <w:pStyle w:val="TableParagraph"/>
              <w:numPr>
                <w:ilvl w:val="0"/>
                <w:numId w:val="143"/>
              </w:numPr>
              <w:tabs>
                <w:tab w:val="left" w:pos="361"/>
              </w:tabs>
              <w:ind w:right="248"/>
              <w:jc w:val="both"/>
            </w:pPr>
            <w:r>
              <w:t>Se elimina la subcuenta 6401.03 “Ingresos por recuperación de activos financieros”, así como las cuentas analíticas 6401.04.01 “Provisiones para desvalorización de inversiones” y 6501.02.01 “Provisiones para desvalorización de</w:t>
            </w:r>
            <w:r>
              <w:rPr>
                <w:spacing w:val="-12"/>
              </w:rPr>
              <w:t xml:space="preserve"> </w:t>
            </w:r>
            <w:r>
              <w:t>inversiones”.</w:t>
            </w:r>
          </w:p>
          <w:p w14:paraId="40FE1C8D" w14:textId="77777777" w:rsidR="008C20EB" w:rsidRDefault="008D25BE">
            <w:pPr>
              <w:pStyle w:val="TableParagraph"/>
              <w:numPr>
                <w:ilvl w:val="0"/>
                <w:numId w:val="143"/>
              </w:numPr>
              <w:tabs>
                <w:tab w:val="left" w:pos="361"/>
              </w:tabs>
              <w:ind w:right="429"/>
              <w:jc w:val="both"/>
            </w:pPr>
            <w:r>
              <w:t>Se</w:t>
            </w:r>
            <w:r>
              <w:rPr>
                <w:spacing w:val="-5"/>
              </w:rPr>
              <w:t xml:space="preserve"> </w:t>
            </w:r>
            <w:r>
              <w:t>incorporan,</w:t>
            </w:r>
            <w:r>
              <w:rPr>
                <w:spacing w:val="-8"/>
              </w:rPr>
              <w:t xml:space="preserve"> </w:t>
            </w:r>
            <w:r>
              <w:t>sustituyen</w:t>
            </w:r>
            <w:r>
              <w:rPr>
                <w:spacing w:val="-6"/>
              </w:rPr>
              <w:t xml:space="preserve"> </w:t>
            </w:r>
            <w:r>
              <w:t>y</w:t>
            </w:r>
            <w:r>
              <w:rPr>
                <w:spacing w:val="-5"/>
              </w:rPr>
              <w:t xml:space="preserve"> </w:t>
            </w:r>
            <w:r>
              <w:t>modifican</w:t>
            </w:r>
            <w:r>
              <w:rPr>
                <w:spacing w:val="-3"/>
              </w:rPr>
              <w:t xml:space="preserve"> </w:t>
            </w:r>
            <w:r>
              <w:t>cuentas,</w:t>
            </w:r>
            <w:r>
              <w:rPr>
                <w:spacing w:val="-4"/>
              </w:rPr>
              <w:t xml:space="preserve"> </w:t>
            </w:r>
            <w:r>
              <w:t>subcuentas,</w:t>
            </w:r>
            <w:r>
              <w:rPr>
                <w:spacing w:val="-7"/>
              </w:rPr>
              <w:t xml:space="preserve"> </w:t>
            </w:r>
            <w:r>
              <w:t>cuentas</w:t>
            </w:r>
            <w:r>
              <w:rPr>
                <w:spacing w:val="-5"/>
              </w:rPr>
              <w:t xml:space="preserve"> </w:t>
            </w:r>
            <w:r>
              <w:t>y</w:t>
            </w:r>
            <w:r>
              <w:rPr>
                <w:spacing w:val="-5"/>
              </w:rPr>
              <w:t xml:space="preserve"> </w:t>
            </w:r>
            <w:r>
              <w:t>subcuentas</w:t>
            </w:r>
            <w:r>
              <w:rPr>
                <w:spacing w:val="-5"/>
              </w:rPr>
              <w:t xml:space="preserve"> </w:t>
            </w:r>
            <w:r>
              <w:t>analíticas referidas a la clasificación y valorización de</w:t>
            </w:r>
            <w:r>
              <w:rPr>
                <w:spacing w:val="-22"/>
              </w:rPr>
              <w:t xml:space="preserve"> </w:t>
            </w:r>
            <w:r>
              <w:t>inversiones.</w:t>
            </w:r>
          </w:p>
          <w:p w14:paraId="40FE1C8E" w14:textId="77777777" w:rsidR="008C20EB" w:rsidRDefault="008D25BE">
            <w:pPr>
              <w:pStyle w:val="TableParagraph"/>
              <w:numPr>
                <w:ilvl w:val="0"/>
                <w:numId w:val="143"/>
              </w:numPr>
              <w:tabs>
                <w:tab w:val="left" w:pos="361"/>
              </w:tabs>
              <w:spacing w:line="249" w:lineRule="auto"/>
              <w:ind w:right="851"/>
              <w:jc w:val="both"/>
            </w:pPr>
            <w:r>
              <w:t>Se</w:t>
            </w:r>
            <w:r>
              <w:rPr>
                <w:spacing w:val="-7"/>
              </w:rPr>
              <w:t xml:space="preserve"> </w:t>
            </w:r>
            <w:r>
              <w:t>modifica</w:t>
            </w:r>
            <w:r>
              <w:rPr>
                <w:spacing w:val="-5"/>
              </w:rPr>
              <w:t xml:space="preserve"> </w:t>
            </w:r>
            <w:r>
              <w:t>el</w:t>
            </w:r>
            <w:r>
              <w:rPr>
                <w:spacing w:val="-3"/>
              </w:rPr>
              <w:t xml:space="preserve"> </w:t>
            </w:r>
            <w:r>
              <w:t>Reporte</w:t>
            </w:r>
            <w:r>
              <w:rPr>
                <w:spacing w:val="-6"/>
              </w:rPr>
              <w:t xml:space="preserve"> </w:t>
            </w:r>
            <w:r>
              <w:t>Nº</w:t>
            </w:r>
            <w:r>
              <w:rPr>
                <w:spacing w:val="-5"/>
              </w:rPr>
              <w:t xml:space="preserve"> </w:t>
            </w:r>
            <w:r>
              <w:t>2</w:t>
            </w:r>
            <w:r>
              <w:rPr>
                <w:spacing w:val="-2"/>
              </w:rPr>
              <w:t xml:space="preserve"> </w:t>
            </w:r>
            <w:r>
              <w:t>“Activos</w:t>
            </w:r>
            <w:r>
              <w:rPr>
                <w:spacing w:val="-5"/>
              </w:rPr>
              <w:t xml:space="preserve"> </w:t>
            </w:r>
            <w:r>
              <w:t>y Créditos</w:t>
            </w:r>
            <w:r>
              <w:rPr>
                <w:spacing w:val="-5"/>
              </w:rPr>
              <w:t xml:space="preserve"> </w:t>
            </w:r>
            <w:r>
              <w:t>Contingentes</w:t>
            </w:r>
            <w:r>
              <w:rPr>
                <w:spacing w:val="-6"/>
              </w:rPr>
              <w:t xml:space="preserve"> </w:t>
            </w:r>
            <w:r>
              <w:t>Ponderados</w:t>
            </w:r>
            <w:r>
              <w:rPr>
                <w:spacing w:val="-5"/>
              </w:rPr>
              <w:t xml:space="preserve"> </w:t>
            </w:r>
            <w:r>
              <w:t>por</w:t>
            </w:r>
            <w:r>
              <w:rPr>
                <w:spacing w:val="-4"/>
              </w:rPr>
              <w:t xml:space="preserve"> </w:t>
            </w:r>
            <w:r>
              <w:t>Riesgo”. Se modifica el Reporte Nº 3 “Patrimonio</w:t>
            </w:r>
            <w:r>
              <w:rPr>
                <w:spacing w:val="-10"/>
              </w:rPr>
              <w:t xml:space="preserve"> </w:t>
            </w:r>
            <w:r>
              <w:t>Efectivo”.</w:t>
            </w:r>
          </w:p>
          <w:p w14:paraId="40FE1C8F" w14:textId="77777777" w:rsidR="008C20EB" w:rsidRDefault="008D25BE">
            <w:pPr>
              <w:pStyle w:val="TableParagraph"/>
              <w:spacing w:before="2" w:line="245" w:lineRule="exact"/>
              <w:ind w:left="360"/>
              <w:jc w:val="both"/>
            </w:pPr>
            <w:r>
              <w:t>Se modifica Anexo Nº 1 “Inversiones”.</w:t>
            </w:r>
          </w:p>
        </w:tc>
      </w:tr>
      <w:tr w:rsidR="008C20EB" w14:paraId="40FE1C97" w14:textId="77777777">
        <w:trPr>
          <w:trHeight w:val="1027"/>
        </w:trPr>
        <w:tc>
          <w:tcPr>
            <w:tcW w:w="1445" w:type="dxa"/>
          </w:tcPr>
          <w:p w14:paraId="40FE1C91" w14:textId="77777777" w:rsidR="008C20EB" w:rsidRDefault="008D25BE">
            <w:pPr>
              <w:pStyle w:val="TableParagraph"/>
              <w:spacing w:line="237" w:lineRule="auto"/>
              <w:ind w:left="71" w:right="42"/>
              <w:jc w:val="both"/>
              <w:rPr>
                <w:b/>
              </w:rPr>
            </w:pPr>
            <w:r>
              <w:rPr>
                <w:b/>
              </w:rPr>
              <w:t>Resolución SBS Nº 8264-</w:t>
            </w:r>
          </w:p>
          <w:p w14:paraId="40FE1C92" w14:textId="77777777" w:rsidR="008C20EB" w:rsidRDefault="008D25BE">
            <w:pPr>
              <w:pStyle w:val="TableParagraph"/>
              <w:ind w:left="71"/>
              <w:jc w:val="both"/>
              <w:rPr>
                <w:b/>
              </w:rPr>
            </w:pPr>
            <w:r>
              <w:rPr>
                <w:b/>
              </w:rPr>
              <w:t>2008</w:t>
            </w:r>
          </w:p>
        </w:tc>
        <w:tc>
          <w:tcPr>
            <w:tcW w:w="1733" w:type="dxa"/>
          </w:tcPr>
          <w:p w14:paraId="40FE1C93"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05.09.2008</w:t>
            </w:r>
            <w:r>
              <w:rPr>
                <w:b/>
              </w:rPr>
              <w:tab/>
              <w:t>/</w:t>
            </w:r>
          </w:p>
          <w:p w14:paraId="40FE1C94" w14:textId="77777777" w:rsidR="008C20EB" w:rsidRDefault="008D25BE">
            <w:pPr>
              <w:pStyle w:val="TableParagraph"/>
              <w:spacing w:line="251" w:lineRule="exact"/>
              <w:jc w:val="both"/>
              <w:rPr>
                <w:b/>
              </w:rPr>
            </w:pPr>
            <w:r>
              <w:rPr>
                <w:b/>
              </w:rPr>
              <w:t>Pub. 08.0.9.2008)</w:t>
            </w:r>
          </w:p>
        </w:tc>
        <w:tc>
          <w:tcPr>
            <w:tcW w:w="3500" w:type="dxa"/>
          </w:tcPr>
          <w:p w14:paraId="40FE1C95" w14:textId="77777777" w:rsidR="008C20EB" w:rsidRDefault="008D25BE">
            <w:pPr>
              <w:pStyle w:val="TableParagraph"/>
              <w:ind w:left="177" w:right="60"/>
              <w:jc w:val="both"/>
            </w:pPr>
            <w:r>
              <w:t>Modifican el Anexo Nº 3 “Flujo Crediticio por Tipo de Crédito” del Manual de Contabilidad para las empresas del sistema financiero, el cual entrará en</w:t>
            </w:r>
          </w:p>
        </w:tc>
        <w:tc>
          <w:tcPr>
            <w:tcW w:w="8162" w:type="dxa"/>
          </w:tcPr>
          <w:p w14:paraId="40FE1C96" w14:textId="77777777" w:rsidR="008C20EB" w:rsidRDefault="008D25BE">
            <w:pPr>
              <w:pStyle w:val="TableParagraph"/>
              <w:numPr>
                <w:ilvl w:val="0"/>
                <w:numId w:val="144"/>
              </w:numPr>
              <w:tabs>
                <w:tab w:val="left" w:pos="361"/>
              </w:tabs>
              <w:ind w:right="65"/>
              <w:jc w:val="both"/>
            </w:pPr>
            <w:r>
              <w:t>Se modifica la información contenida en el Anexo N° 3 “Flujo Crediticio por Tipo de Crédito” del Manual de Contabilidad para las empresas del sistema financiero; así como su denominación, la cual en adelante será “Flujo Crediticio por Tipo de Crédito y Sector</w:t>
            </w:r>
            <w:r>
              <w:rPr>
                <w:spacing w:val="-25"/>
              </w:rPr>
              <w:t xml:space="preserve"> </w:t>
            </w:r>
            <w:r>
              <w:t>Económico”.</w:t>
            </w:r>
          </w:p>
        </w:tc>
      </w:tr>
    </w:tbl>
    <w:p w14:paraId="40FE1C98"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9D" w14:textId="77777777">
        <w:trPr>
          <w:trHeight w:val="254"/>
        </w:trPr>
        <w:tc>
          <w:tcPr>
            <w:tcW w:w="1445" w:type="dxa"/>
            <w:vAlign w:val="bottom"/>
          </w:tcPr>
          <w:p w14:paraId="40FE1C99"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C9A" w14:textId="77777777" w:rsidR="008C20EB" w:rsidRDefault="008D25BE">
            <w:pPr>
              <w:pStyle w:val="TableParagraph"/>
              <w:spacing w:line="234" w:lineRule="exact"/>
              <w:ind w:left="556"/>
              <w:jc w:val="both"/>
              <w:rPr>
                <w:b/>
              </w:rPr>
            </w:pPr>
            <w:r>
              <w:rPr>
                <w:b/>
              </w:rPr>
              <w:t>FECHA</w:t>
            </w:r>
          </w:p>
        </w:tc>
        <w:tc>
          <w:tcPr>
            <w:tcW w:w="3500" w:type="dxa"/>
            <w:vAlign w:val="bottom"/>
          </w:tcPr>
          <w:p w14:paraId="40FE1C9B"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9C" w14:textId="77777777" w:rsidR="008C20EB" w:rsidRDefault="008D25BE">
            <w:pPr>
              <w:pStyle w:val="TableParagraph"/>
              <w:spacing w:line="234" w:lineRule="exact"/>
              <w:ind w:left="3271" w:right="3265"/>
              <w:jc w:val="both"/>
              <w:rPr>
                <w:b/>
              </w:rPr>
            </w:pPr>
            <w:r>
              <w:rPr>
                <w:b/>
              </w:rPr>
              <w:t>MODIFICATORIAS</w:t>
            </w:r>
          </w:p>
        </w:tc>
      </w:tr>
      <w:tr w:rsidR="008C20EB" w14:paraId="40FE1CA2" w14:textId="77777777">
        <w:trPr>
          <w:trHeight w:val="1008"/>
        </w:trPr>
        <w:tc>
          <w:tcPr>
            <w:tcW w:w="1445" w:type="dxa"/>
          </w:tcPr>
          <w:p w14:paraId="40FE1C9E" w14:textId="77777777" w:rsidR="008C20EB" w:rsidRDefault="008C20EB">
            <w:pPr>
              <w:pStyle w:val="TableParagraph"/>
              <w:jc w:val="both"/>
              <w:rPr>
                <w:rFonts w:ascii="Times New Roman"/>
              </w:rPr>
            </w:pPr>
          </w:p>
        </w:tc>
        <w:tc>
          <w:tcPr>
            <w:tcW w:w="1733" w:type="dxa"/>
          </w:tcPr>
          <w:p w14:paraId="40FE1C9F" w14:textId="77777777" w:rsidR="008C20EB" w:rsidRDefault="008C20EB">
            <w:pPr>
              <w:pStyle w:val="TableParagraph"/>
              <w:jc w:val="both"/>
              <w:rPr>
                <w:rFonts w:ascii="Times New Roman"/>
              </w:rPr>
            </w:pPr>
          </w:p>
        </w:tc>
        <w:tc>
          <w:tcPr>
            <w:tcW w:w="3500" w:type="dxa"/>
          </w:tcPr>
          <w:p w14:paraId="40FE1CA0" w14:textId="77777777" w:rsidR="008C20EB" w:rsidRDefault="008D25BE">
            <w:pPr>
              <w:pStyle w:val="TableParagraph"/>
              <w:ind w:left="177" w:right="63"/>
              <w:jc w:val="both"/>
            </w:pPr>
            <w:r>
              <w:t>vigencia a partir de la información correspondiente al mes de septiembre de 2008.</w:t>
            </w:r>
          </w:p>
        </w:tc>
        <w:tc>
          <w:tcPr>
            <w:tcW w:w="8162" w:type="dxa"/>
          </w:tcPr>
          <w:p w14:paraId="40FE1CA1" w14:textId="77777777" w:rsidR="008C20EB" w:rsidRDefault="008C20EB">
            <w:pPr>
              <w:pStyle w:val="TableParagraph"/>
              <w:jc w:val="both"/>
              <w:rPr>
                <w:rFonts w:ascii="Times New Roman"/>
              </w:rPr>
            </w:pPr>
          </w:p>
        </w:tc>
      </w:tr>
      <w:tr w:rsidR="008C20EB" w14:paraId="40FE1CB2" w14:textId="77777777">
        <w:trPr>
          <w:trHeight w:val="4950"/>
        </w:trPr>
        <w:tc>
          <w:tcPr>
            <w:tcW w:w="1445" w:type="dxa"/>
          </w:tcPr>
          <w:p w14:paraId="40FE1CA3" w14:textId="77777777" w:rsidR="008C20EB" w:rsidRDefault="008D25BE">
            <w:pPr>
              <w:pStyle w:val="TableParagraph"/>
              <w:spacing w:line="242" w:lineRule="auto"/>
              <w:ind w:left="71" w:right="42"/>
              <w:jc w:val="both"/>
              <w:rPr>
                <w:b/>
              </w:rPr>
            </w:pPr>
            <w:r>
              <w:rPr>
                <w:b/>
              </w:rPr>
              <w:t>Resolución SBS Nº 6941-</w:t>
            </w:r>
          </w:p>
          <w:p w14:paraId="40FE1CA4" w14:textId="77777777" w:rsidR="008C20EB" w:rsidRDefault="008D25BE">
            <w:pPr>
              <w:pStyle w:val="TableParagraph"/>
              <w:spacing w:line="247" w:lineRule="exact"/>
              <w:ind w:left="71"/>
              <w:jc w:val="both"/>
              <w:rPr>
                <w:b/>
              </w:rPr>
            </w:pPr>
            <w:r>
              <w:rPr>
                <w:b/>
              </w:rPr>
              <w:t>2008</w:t>
            </w:r>
          </w:p>
        </w:tc>
        <w:tc>
          <w:tcPr>
            <w:tcW w:w="1733" w:type="dxa"/>
          </w:tcPr>
          <w:p w14:paraId="40FE1CA5" w14:textId="77777777" w:rsidR="008C20EB" w:rsidRDefault="008D25BE">
            <w:pPr>
              <w:pStyle w:val="TableParagraph"/>
              <w:tabs>
                <w:tab w:val="left" w:pos="1607"/>
              </w:tabs>
              <w:spacing w:line="242" w:lineRule="exact"/>
              <w:jc w:val="both"/>
              <w:rPr>
                <w:b/>
              </w:rPr>
            </w:pPr>
            <w:r>
              <w:rPr>
                <w:b/>
              </w:rPr>
              <w:t xml:space="preserve">(Pr.  </w:t>
            </w:r>
            <w:r>
              <w:rPr>
                <w:b/>
                <w:spacing w:val="45"/>
              </w:rPr>
              <w:t xml:space="preserve"> </w:t>
            </w:r>
            <w:r>
              <w:rPr>
                <w:b/>
              </w:rPr>
              <w:t>25.08.2008</w:t>
            </w:r>
            <w:r>
              <w:rPr>
                <w:b/>
              </w:rPr>
              <w:tab/>
              <w:t>/</w:t>
            </w:r>
          </w:p>
          <w:p w14:paraId="40FE1CA6" w14:textId="77777777" w:rsidR="008C20EB" w:rsidRDefault="008D25BE">
            <w:pPr>
              <w:pStyle w:val="TableParagraph"/>
              <w:spacing w:before="2"/>
              <w:jc w:val="both"/>
              <w:rPr>
                <w:b/>
              </w:rPr>
            </w:pPr>
            <w:r>
              <w:rPr>
                <w:b/>
              </w:rPr>
              <w:t>Pub. 26.08.2008)</w:t>
            </w:r>
          </w:p>
        </w:tc>
        <w:tc>
          <w:tcPr>
            <w:tcW w:w="3500" w:type="dxa"/>
          </w:tcPr>
          <w:p w14:paraId="40FE1CA7" w14:textId="77777777" w:rsidR="008C20EB" w:rsidRDefault="008D25BE">
            <w:pPr>
              <w:pStyle w:val="TableParagraph"/>
              <w:ind w:left="177" w:right="67"/>
              <w:jc w:val="both"/>
            </w:pPr>
            <w:r>
              <w:t>Modificación de los capítulos III, IV y V del Manual de Contabilidad para las empresas del sistema financiero, los cuales entrarán en vigencia a partir de la información correspondiente al mes de diciembre de</w:t>
            </w:r>
            <w:r>
              <w:rPr>
                <w:spacing w:val="-10"/>
              </w:rPr>
              <w:t xml:space="preserve"> </w:t>
            </w:r>
            <w:r>
              <w:t>2008.</w:t>
            </w:r>
          </w:p>
        </w:tc>
        <w:tc>
          <w:tcPr>
            <w:tcW w:w="8162" w:type="dxa"/>
          </w:tcPr>
          <w:p w14:paraId="40FE1CA8" w14:textId="77777777" w:rsidR="008C20EB" w:rsidRDefault="008D25BE">
            <w:pPr>
              <w:pStyle w:val="TableParagraph"/>
              <w:numPr>
                <w:ilvl w:val="0"/>
                <w:numId w:val="145"/>
              </w:numPr>
              <w:tabs>
                <w:tab w:val="left" w:pos="361"/>
              </w:tabs>
              <w:spacing w:line="237" w:lineRule="auto"/>
              <w:ind w:right="59"/>
              <w:jc w:val="both"/>
            </w:pPr>
            <w:r>
              <w:t>A efectos de registrar las provisiones genéricas adicionales por los créditos directos MES y consumo, referidas a la administración inadecuada del riesgo de sobreendeudamiento, se incorporan las cuentas analíticas 1409.02.06, 1409.03.06, 4302.02.06 y</w:t>
            </w:r>
            <w:r>
              <w:rPr>
                <w:spacing w:val="-24"/>
              </w:rPr>
              <w:t xml:space="preserve"> </w:t>
            </w:r>
            <w:r>
              <w:t>4302.03.06.</w:t>
            </w:r>
          </w:p>
          <w:p w14:paraId="40FE1CA9" w14:textId="77777777" w:rsidR="008C20EB" w:rsidRDefault="008D25BE">
            <w:pPr>
              <w:pStyle w:val="TableParagraph"/>
              <w:numPr>
                <w:ilvl w:val="0"/>
                <w:numId w:val="145"/>
              </w:numPr>
              <w:tabs>
                <w:tab w:val="left" w:pos="361"/>
              </w:tabs>
              <w:ind w:right="52"/>
              <w:jc w:val="both"/>
            </w:pPr>
            <w:r>
              <w:t xml:space="preserve">A efectos de registrar las provisiones por la exposición equivalente a riesgo crediticio del monto no usado de las líneas de crédito revolventes, referidas a la administración inadecuada </w:t>
            </w:r>
            <w:r>
              <w:rPr>
                <w:spacing w:val="2"/>
              </w:rPr>
              <w:t xml:space="preserve">del </w:t>
            </w:r>
            <w:r>
              <w:t>riesgo de sobreendeudamiento, se incorpora la subcuenta 4305.06 “Provisión por riesgo de sobreendeudamiento”.</w:t>
            </w:r>
          </w:p>
          <w:p w14:paraId="40FE1CAA" w14:textId="77777777" w:rsidR="008C20EB" w:rsidRDefault="008D25BE">
            <w:pPr>
              <w:pStyle w:val="TableParagraph"/>
              <w:numPr>
                <w:ilvl w:val="0"/>
                <w:numId w:val="145"/>
              </w:numPr>
              <w:tabs>
                <w:tab w:val="left" w:pos="361"/>
              </w:tabs>
              <w:spacing w:line="267" w:lineRule="exact"/>
              <w:ind w:hanging="289"/>
              <w:jc w:val="both"/>
            </w:pPr>
            <w:r>
              <w:t>Se</w:t>
            </w:r>
            <w:r>
              <w:rPr>
                <w:spacing w:val="-5"/>
              </w:rPr>
              <w:t xml:space="preserve"> </w:t>
            </w:r>
            <w:r>
              <w:t>sustituye</w:t>
            </w:r>
            <w:r>
              <w:rPr>
                <w:spacing w:val="-5"/>
              </w:rPr>
              <w:t xml:space="preserve"> </w:t>
            </w:r>
            <w:r>
              <w:t>el primer</w:t>
            </w:r>
            <w:r>
              <w:rPr>
                <w:spacing w:val="-3"/>
              </w:rPr>
              <w:t xml:space="preserve"> </w:t>
            </w:r>
            <w:r>
              <w:t>párrafo</w:t>
            </w:r>
            <w:r>
              <w:rPr>
                <w:spacing w:val="-5"/>
              </w:rPr>
              <w:t xml:space="preserve"> </w:t>
            </w:r>
            <w:r>
              <w:t>de</w:t>
            </w:r>
            <w:r>
              <w:rPr>
                <w:spacing w:val="-5"/>
              </w:rPr>
              <w:t xml:space="preserve"> </w:t>
            </w:r>
            <w:r>
              <w:t>la</w:t>
            </w:r>
            <w:r>
              <w:rPr>
                <w:spacing w:val="-5"/>
              </w:rPr>
              <w:t xml:space="preserve"> </w:t>
            </w:r>
            <w:r>
              <w:t>descripción</w:t>
            </w:r>
            <w:r>
              <w:rPr>
                <w:spacing w:val="-5"/>
              </w:rPr>
              <w:t xml:space="preserve"> </w:t>
            </w:r>
            <w:r>
              <w:t>de</w:t>
            </w:r>
            <w:r>
              <w:rPr>
                <w:spacing w:val="-5"/>
              </w:rPr>
              <w:t xml:space="preserve"> </w:t>
            </w:r>
            <w:r>
              <w:t>la cuenta 1409 “(Provisiones</w:t>
            </w:r>
            <w:r>
              <w:rPr>
                <w:spacing w:val="-4"/>
              </w:rPr>
              <w:t xml:space="preserve"> </w:t>
            </w:r>
            <w:r>
              <w:t>para</w:t>
            </w:r>
            <w:r>
              <w:rPr>
                <w:spacing w:val="-5"/>
              </w:rPr>
              <w:t xml:space="preserve"> </w:t>
            </w:r>
            <w:r>
              <w:t>Créditos)”.</w:t>
            </w:r>
          </w:p>
          <w:p w14:paraId="40FE1CAB" w14:textId="77777777" w:rsidR="008C20EB" w:rsidRDefault="008D25BE">
            <w:pPr>
              <w:pStyle w:val="TableParagraph"/>
              <w:numPr>
                <w:ilvl w:val="0"/>
                <w:numId w:val="145"/>
              </w:numPr>
              <w:tabs>
                <w:tab w:val="left" w:pos="361"/>
              </w:tabs>
              <w:spacing w:line="267" w:lineRule="exact"/>
              <w:ind w:hanging="289"/>
              <w:jc w:val="both"/>
            </w:pPr>
            <w:r>
              <w:t>Se</w:t>
            </w:r>
            <w:r>
              <w:rPr>
                <w:spacing w:val="-5"/>
              </w:rPr>
              <w:t xml:space="preserve"> </w:t>
            </w:r>
            <w:r>
              <w:t>incorpora</w:t>
            </w:r>
            <w:r>
              <w:rPr>
                <w:spacing w:val="-5"/>
              </w:rPr>
              <w:t xml:space="preserve"> </w:t>
            </w:r>
            <w:r>
              <w:t>dinámica</w:t>
            </w:r>
            <w:r>
              <w:rPr>
                <w:spacing w:val="-4"/>
              </w:rPr>
              <w:t xml:space="preserve"> </w:t>
            </w:r>
            <w:r>
              <w:t>en</w:t>
            </w:r>
            <w:r>
              <w:rPr>
                <w:spacing w:val="-3"/>
              </w:rPr>
              <w:t xml:space="preserve"> </w:t>
            </w:r>
            <w:r>
              <w:t>la</w:t>
            </w:r>
            <w:r>
              <w:rPr>
                <w:spacing w:val="-4"/>
              </w:rPr>
              <w:t xml:space="preserve"> </w:t>
            </w:r>
            <w:r>
              <w:t>cuenta 1409</w:t>
            </w:r>
            <w:r>
              <w:rPr>
                <w:spacing w:val="2"/>
              </w:rPr>
              <w:t xml:space="preserve"> </w:t>
            </w:r>
            <w:r>
              <w:t>“(Provisiones</w:t>
            </w:r>
            <w:r>
              <w:rPr>
                <w:spacing w:val="-3"/>
              </w:rPr>
              <w:t xml:space="preserve"> </w:t>
            </w:r>
            <w:r>
              <w:t>para</w:t>
            </w:r>
            <w:r>
              <w:rPr>
                <w:spacing w:val="-5"/>
              </w:rPr>
              <w:t xml:space="preserve"> </w:t>
            </w:r>
            <w:r>
              <w:t>Créditos)”,</w:t>
            </w:r>
            <w:r>
              <w:rPr>
                <w:spacing w:val="-2"/>
              </w:rPr>
              <w:t xml:space="preserve"> </w:t>
            </w:r>
            <w:r>
              <w:t>en</w:t>
            </w:r>
            <w:r>
              <w:rPr>
                <w:spacing w:val="-5"/>
              </w:rPr>
              <w:t xml:space="preserve"> </w:t>
            </w:r>
            <w:r>
              <w:t>la parte</w:t>
            </w:r>
            <w:r>
              <w:rPr>
                <w:spacing w:val="-4"/>
              </w:rPr>
              <w:t xml:space="preserve"> </w:t>
            </w:r>
            <w:r>
              <w:t>Créditos.</w:t>
            </w:r>
          </w:p>
          <w:p w14:paraId="40FE1CAC" w14:textId="77777777" w:rsidR="008C20EB" w:rsidRDefault="008D25BE">
            <w:pPr>
              <w:pStyle w:val="TableParagraph"/>
              <w:numPr>
                <w:ilvl w:val="0"/>
                <w:numId w:val="145"/>
              </w:numPr>
              <w:tabs>
                <w:tab w:val="left" w:pos="361"/>
              </w:tabs>
              <w:ind w:right="52"/>
              <w:jc w:val="both"/>
            </w:pPr>
            <w:r>
              <w:t>Se sustituye el primer párrafo de la descripción de la cuenta 2701 “Provisiones para Créditos Contingentes”.</w:t>
            </w:r>
          </w:p>
          <w:p w14:paraId="40FE1CAD" w14:textId="77777777" w:rsidR="008C20EB" w:rsidRDefault="008D25BE">
            <w:pPr>
              <w:pStyle w:val="TableParagraph"/>
              <w:numPr>
                <w:ilvl w:val="0"/>
                <w:numId w:val="145"/>
              </w:numPr>
              <w:tabs>
                <w:tab w:val="left" w:pos="361"/>
              </w:tabs>
              <w:ind w:right="55"/>
              <w:jc w:val="both"/>
            </w:pPr>
            <w:r>
              <w:t xml:space="preserve">Se sustituye el primer párrafo de la descripción de </w:t>
            </w:r>
            <w:r>
              <w:rPr>
                <w:spacing w:val="-4"/>
              </w:rPr>
              <w:t xml:space="preserve">la </w:t>
            </w:r>
            <w:r>
              <w:t>cuenta 4302 “Provisiones para Incobrabilidad de</w:t>
            </w:r>
            <w:r>
              <w:rPr>
                <w:spacing w:val="-6"/>
              </w:rPr>
              <w:t xml:space="preserve"> </w:t>
            </w:r>
            <w:r>
              <w:t>Créditos”.</w:t>
            </w:r>
          </w:p>
          <w:p w14:paraId="40FE1CAE" w14:textId="77777777" w:rsidR="008C20EB" w:rsidRDefault="008D25BE">
            <w:pPr>
              <w:pStyle w:val="TableParagraph"/>
              <w:numPr>
                <w:ilvl w:val="0"/>
                <w:numId w:val="145"/>
              </w:numPr>
              <w:tabs>
                <w:tab w:val="left" w:pos="361"/>
              </w:tabs>
              <w:spacing w:line="267" w:lineRule="exact"/>
              <w:ind w:hanging="289"/>
              <w:jc w:val="both"/>
            </w:pPr>
            <w:r>
              <w:t>Se sustituye la descripción de la cuenta 4305 “Provisiones para Contingencias y</w:t>
            </w:r>
            <w:r>
              <w:rPr>
                <w:spacing w:val="-29"/>
              </w:rPr>
              <w:t xml:space="preserve"> </w:t>
            </w:r>
            <w:r>
              <w:t>Otras”.</w:t>
            </w:r>
          </w:p>
          <w:p w14:paraId="40FE1CAF" w14:textId="77777777" w:rsidR="008C20EB" w:rsidRDefault="008D25BE">
            <w:pPr>
              <w:pStyle w:val="TableParagraph"/>
              <w:numPr>
                <w:ilvl w:val="0"/>
                <w:numId w:val="145"/>
              </w:numPr>
              <w:tabs>
                <w:tab w:val="left" w:pos="361"/>
              </w:tabs>
              <w:spacing w:line="266" w:lineRule="exact"/>
              <w:ind w:hanging="289"/>
              <w:jc w:val="both"/>
            </w:pPr>
            <w:r>
              <w:t>Se</w:t>
            </w:r>
            <w:r>
              <w:rPr>
                <w:spacing w:val="-4"/>
              </w:rPr>
              <w:t xml:space="preserve"> </w:t>
            </w:r>
            <w:r>
              <w:t>incorpora</w:t>
            </w:r>
            <w:r>
              <w:rPr>
                <w:spacing w:val="-4"/>
              </w:rPr>
              <w:t xml:space="preserve"> </w:t>
            </w:r>
            <w:r>
              <w:t>dinámica</w:t>
            </w:r>
            <w:r>
              <w:rPr>
                <w:spacing w:val="-4"/>
              </w:rPr>
              <w:t xml:space="preserve"> </w:t>
            </w:r>
            <w:r>
              <w:t>en</w:t>
            </w:r>
            <w:r>
              <w:rPr>
                <w:spacing w:val="-2"/>
              </w:rPr>
              <w:t xml:space="preserve"> </w:t>
            </w:r>
            <w:r>
              <w:t>las</w:t>
            </w:r>
            <w:r>
              <w:rPr>
                <w:spacing w:val="-3"/>
              </w:rPr>
              <w:t xml:space="preserve"> </w:t>
            </w:r>
            <w:r>
              <w:t>cuentas</w:t>
            </w:r>
            <w:r>
              <w:rPr>
                <w:spacing w:val="-2"/>
              </w:rPr>
              <w:t xml:space="preserve"> </w:t>
            </w:r>
            <w:r>
              <w:t>4301,</w:t>
            </w:r>
            <w:r>
              <w:rPr>
                <w:spacing w:val="-1"/>
              </w:rPr>
              <w:t xml:space="preserve"> </w:t>
            </w:r>
            <w:r>
              <w:t>4302,</w:t>
            </w:r>
            <w:r>
              <w:rPr>
                <w:spacing w:val="-6"/>
              </w:rPr>
              <w:t xml:space="preserve"> </w:t>
            </w:r>
            <w:r>
              <w:t>4303,</w:t>
            </w:r>
            <w:r>
              <w:rPr>
                <w:spacing w:val="-1"/>
              </w:rPr>
              <w:t xml:space="preserve"> </w:t>
            </w:r>
            <w:r>
              <w:t>4304</w:t>
            </w:r>
            <w:r>
              <w:rPr>
                <w:spacing w:val="-3"/>
              </w:rPr>
              <w:t xml:space="preserve"> </w:t>
            </w:r>
            <w:r>
              <w:t>y</w:t>
            </w:r>
            <w:r>
              <w:rPr>
                <w:spacing w:val="-3"/>
              </w:rPr>
              <w:t xml:space="preserve"> </w:t>
            </w:r>
            <w:r>
              <w:t>4305,</w:t>
            </w:r>
            <w:r>
              <w:rPr>
                <w:spacing w:val="-5"/>
              </w:rPr>
              <w:t xml:space="preserve"> </w:t>
            </w:r>
            <w:r>
              <w:t>en</w:t>
            </w:r>
            <w:r>
              <w:rPr>
                <w:spacing w:val="1"/>
              </w:rPr>
              <w:t xml:space="preserve"> </w:t>
            </w:r>
            <w:r>
              <w:t>la</w:t>
            </w:r>
            <w:r>
              <w:rPr>
                <w:spacing w:val="-4"/>
              </w:rPr>
              <w:t xml:space="preserve"> </w:t>
            </w:r>
            <w:r>
              <w:t>parte</w:t>
            </w:r>
            <w:r>
              <w:rPr>
                <w:spacing w:val="-4"/>
              </w:rPr>
              <w:t xml:space="preserve"> </w:t>
            </w:r>
            <w:r>
              <w:t>Débitos.</w:t>
            </w:r>
          </w:p>
          <w:p w14:paraId="40FE1CB0" w14:textId="77777777" w:rsidR="008C20EB" w:rsidRDefault="008D25BE">
            <w:pPr>
              <w:pStyle w:val="TableParagraph"/>
              <w:numPr>
                <w:ilvl w:val="0"/>
                <w:numId w:val="145"/>
              </w:numPr>
              <w:tabs>
                <w:tab w:val="left" w:pos="361"/>
              </w:tabs>
              <w:ind w:right="62"/>
              <w:jc w:val="both"/>
            </w:pPr>
            <w:r>
              <w:t>Se modifican notas metodológicas del Anexo N° 5 “Informe de Clasificación de Deudores y Provisiones” y sus anexos</w:t>
            </w:r>
            <w:r>
              <w:rPr>
                <w:spacing w:val="-17"/>
              </w:rPr>
              <w:t xml:space="preserve"> </w:t>
            </w:r>
            <w:r>
              <w:t>complementarios.</w:t>
            </w:r>
          </w:p>
          <w:p w14:paraId="40FE1CB1" w14:textId="77777777" w:rsidR="008C20EB" w:rsidRDefault="008D25BE">
            <w:pPr>
              <w:pStyle w:val="TableParagraph"/>
              <w:numPr>
                <w:ilvl w:val="0"/>
                <w:numId w:val="145"/>
              </w:numPr>
              <w:tabs>
                <w:tab w:val="left" w:pos="361"/>
              </w:tabs>
              <w:spacing w:before="7" w:line="254" w:lineRule="exact"/>
              <w:ind w:right="66"/>
              <w:jc w:val="both"/>
            </w:pPr>
            <w:r>
              <w:t>Se modifica el Anexo A “Activos y Créditos Contingentes Ponderados por Riesgo” del Reporte Nº</w:t>
            </w:r>
            <w:r>
              <w:rPr>
                <w:spacing w:val="-2"/>
              </w:rPr>
              <w:t xml:space="preserve"> </w:t>
            </w:r>
            <w:r>
              <w:t>2.</w:t>
            </w:r>
          </w:p>
        </w:tc>
      </w:tr>
      <w:tr w:rsidR="008C20EB" w14:paraId="40FE1CBD" w14:textId="77777777">
        <w:trPr>
          <w:trHeight w:val="2020"/>
        </w:trPr>
        <w:tc>
          <w:tcPr>
            <w:tcW w:w="1445" w:type="dxa"/>
          </w:tcPr>
          <w:p w14:paraId="40FE1CB3" w14:textId="77777777" w:rsidR="008C20EB" w:rsidRDefault="008C20EB">
            <w:pPr>
              <w:pStyle w:val="TableParagraph"/>
              <w:spacing w:before="8"/>
              <w:jc w:val="both"/>
              <w:rPr>
                <w:rFonts w:ascii="Arial"/>
                <w:b/>
                <w:sz w:val="20"/>
              </w:rPr>
            </w:pPr>
          </w:p>
          <w:p w14:paraId="40FE1CB4" w14:textId="77777777" w:rsidR="008C20EB" w:rsidRDefault="008D25BE">
            <w:pPr>
              <w:pStyle w:val="TableParagraph"/>
              <w:spacing w:before="1"/>
              <w:ind w:left="71" w:right="42"/>
              <w:jc w:val="both"/>
              <w:rPr>
                <w:b/>
              </w:rPr>
            </w:pPr>
            <w:r>
              <w:rPr>
                <w:b/>
              </w:rPr>
              <w:t>Resolución SBS Nº 2032-</w:t>
            </w:r>
          </w:p>
          <w:p w14:paraId="40FE1CB5" w14:textId="77777777" w:rsidR="008C20EB" w:rsidRDefault="008D25BE">
            <w:pPr>
              <w:pStyle w:val="TableParagraph"/>
              <w:spacing w:before="3"/>
              <w:ind w:left="71"/>
              <w:jc w:val="both"/>
              <w:rPr>
                <w:b/>
              </w:rPr>
            </w:pPr>
            <w:r>
              <w:rPr>
                <w:b/>
              </w:rPr>
              <w:t>2008</w:t>
            </w:r>
          </w:p>
        </w:tc>
        <w:tc>
          <w:tcPr>
            <w:tcW w:w="1733" w:type="dxa"/>
          </w:tcPr>
          <w:p w14:paraId="40FE1CB6" w14:textId="77777777" w:rsidR="008C20EB" w:rsidRDefault="008C20EB">
            <w:pPr>
              <w:pStyle w:val="TableParagraph"/>
              <w:spacing w:before="8"/>
              <w:jc w:val="both"/>
              <w:rPr>
                <w:rFonts w:ascii="Arial"/>
                <w:b/>
                <w:sz w:val="20"/>
              </w:rPr>
            </w:pPr>
          </w:p>
          <w:p w14:paraId="40FE1CB7" w14:textId="77777777" w:rsidR="008C20EB" w:rsidRDefault="008D25BE">
            <w:pPr>
              <w:pStyle w:val="TableParagraph"/>
              <w:tabs>
                <w:tab w:val="left" w:pos="1607"/>
              </w:tabs>
              <w:spacing w:before="1"/>
              <w:jc w:val="both"/>
              <w:rPr>
                <w:b/>
              </w:rPr>
            </w:pPr>
            <w:r>
              <w:rPr>
                <w:b/>
              </w:rPr>
              <w:t xml:space="preserve">(Pr.  </w:t>
            </w:r>
            <w:r>
              <w:rPr>
                <w:b/>
                <w:spacing w:val="45"/>
              </w:rPr>
              <w:t xml:space="preserve"> </w:t>
            </w:r>
            <w:r>
              <w:rPr>
                <w:b/>
              </w:rPr>
              <w:t>10.06.2008</w:t>
            </w:r>
            <w:r>
              <w:rPr>
                <w:b/>
              </w:rPr>
              <w:tab/>
              <w:t>/</w:t>
            </w:r>
          </w:p>
          <w:p w14:paraId="40FE1CB8" w14:textId="77777777" w:rsidR="008C20EB" w:rsidRDefault="008D25BE">
            <w:pPr>
              <w:pStyle w:val="TableParagraph"/>
              <w:spacing w:before="2"/>
              <w:jc w:val="both"/>
              <w:rPr>
                <w:b/>
              </w:rPr>
            </w:pPr>
            <w:r>
              <w:rPr>
                <w:b/>
              </w:rPr>
              <w:t>Pub. 13.06.2008)</w:t>
            </w:r>
          </w:p>
        </w:tc>
        <w:tc>
          <w:tcPr>
            <w:tcW w:w="3500" w:type="dxa"/>
          </w:tcPr>
          <w:p w14:paraId="40FE1CB9" w14:textId="77777777" w:rsidR="008C20EB" w:rsidRDefault="008C20EB">
            <w:pPr>
              <w:pStyle w:val="TableParagraph"/>
              <w:spacing w:before="8"/>
              <w:jc w:val="both"/>
              <w:rPr>
                <w:rFonts w:ascii="Arial"/>
                <w:b/>
                <w:sz w:val="20"/>
              </w:rPr>
            </w:pPr>
          </w:p>
          <w:p w14:paraId="40FE1CBA" w14:textId="77777777" w:rsidR="008C20EB" w:rsidRDefault="008D25BE">
            <w:pPr>
              <w:pStyle w:val="TableParagraph"/>
              <w:spacing w:before="1"/>
              <w:ind w:left="177" w:right="67"/>
              <w:jc w:val="both"/>
            </w:pPr>
            <w:r>
              <w:t>Modificación de los capítulos III, IV y V del Manual de Contabilidad para las empresas del sistema financiero, los cuales entrarán en vigencia a partir de la información correspondiente al mes de junio de</w:t>
            </w:r>
            <w:r>
              <w:rPr>
                <w:spacing w:val="-10"/>
              </w:rPr>
              <w:t xml:space="preserve"> </w:t>
            </w:r>
            <w:r>
              <w:t>2008.</w:t>
            </w:r>
          </w:p>
        </w:tc>
        <w:tc>
          <w:tcPr>
            <w:tcW w:w="8162" w:type="dxa"/>
          </w:tcPr>
          <w:p w14:paraId="40FE1CBB" w14:textId="77777777" w:rsidR="008C20EB" w:rsidRDefault="008D25BE">
            <w:pPr>
              <w:pStyle w:val="TableParagraph"/>
              <w:numPr>
                <w:ilvl w:val="0"/>
                <w:numId w:val="146"/>
              </w:numPr>
              <w:tabs>
                <w:tab w:val="left" w:pos="361"/>
              </w:tabs>
              <w:spacing w:line="235" w:lineRule="auto"/>
              <w:ind w:right="65"/>
              <w:jc w:val="both"/>
            </w:pPr>
            <w:r>
              <w:t>Se incorpora la subcuenta 8109.25 “Créditos castigados que vienen siendo amortizados”, así como se modifica la descripción de la cuenta 8103 “Cuentas incobrables</w:t>
            </w:r>
            <w:r>
              <w:rPr>
                <w:spacing w:val="-28"/>
              </w:rPr>
              <w:t xml:space="preserve"> </w:t>
            </w:r>
            <w:r>
              <w:t>castigadas”.</w:t>
            </w:r>
          </w:p>
          <w:p w14:paraId="40FE1CBC" w14:textId="77777777" w:rsidR="008C20EB" w:rsidRDefault="008D25BE">
            <w:pPr>
              <w:pStyle w:val="TableParagraph"/>
              <w:numPr>
                <w:ilvl w:val="0"/>
                <w:numId w:val="146"/>
              </w:numPr>
              <w:tabs>
                <w:tab w:val="left" w:pos="361"/>
              </w:tabs>
              <w:ind w:hanging="289"/>
              <w:jc w:val="both"/>
            </w:pPr>
            <w:r>
              <w:t>Se</w:t>
            </w:r>
            <w:r>
              <w:rPr>
                <w:spacing w:val="-5"/>
              </w:rPr>
              <w:t xml:space="preserve"> </w:t>
            </w:r>
            <w:r>
              <w:t>incorpora</w:t>
            </w:r>
            <w:r>
              <w:rPr>
                <w:spacing w:val="-4"/>
              </w:rPr>
              <w:t xml:space="preserve"> </w:t>
            </w:r>
            <w:r>
              <w:t>en</w:t>
            </w:r>
            <w:r>
              <w:rPr>
                <w:spacing w:val="-4"/>
              </w:rPr>
              <w:t xml:space="preserve"> </w:t>
            </w:r>
            <w:r>
              <w:t>el</w:t>
            </w:r>
            <w:r>
              <w:rPr>
                <w:spacing w:val="-6"/>
              </w:rPr>
              <w:t xml:space="preserve"> </w:t>
            </w:r>
            <w:r>
              <w:t>anexo</w:t>
            </w:r>
            <w:r>
              <w:rPr>
                <w:spacing w:val="-4"/>
              </w:rPr>
              <w:t xml:space="preserve"> </w:t>
            </w:r>
            <w:r>
              <w:t>Nº</w:t>
            </w:r>
            <w:r>
              <w:rPr>
                <w:spacing w:val="-3"/>
              </w:rPr>
              <w:t xml:space="preserve"> </w:t>
            </w:r>
            <w:r>
              <w:t>6 “Reporte</w:t>
            </w:r>
            <w:r>
              <w:rPr>
                <w:spacing w:val="-4"/>
              </w:rPr>
              <w:t xml:space="preserve"> </w:t>
            </w:r>
            <w:r>
              <w:t>Crediticio</w:t>
            </w:r>
            <w:r>
              <w:rPr>
                <w:spacing w:val="1"/>
              </w:rPr>
              <w:t xml:space="preserve"> </w:t>
            </w:r>
            <w:r>
              <w:t>de</w:t>
            </w:r>
            <w:r>
              <w:rPr>
                <w:spacing w:val="-4"/>
              </w:rPr>
              <w:t xml:space="preserve"> </w:t>
            </w:r>
            <w:r>
              <w:t>Deudores-</w:t>
            </w:r>
            <w:r>
              <w:rPr>
                <w:spacing w:val="-2"/>
              </w:rPr>
              <w:t xml:space="preserve"> </w:t>
            </w:r>
            <w:r>
              <w:t>RCD”</w:t>
            </w:r>
            <w:r>
              <w:rPr>
                <w:spacing w:val="-11"/>
              </w:rPr>
              <w:t xml:space="preserve"> </w:t>
            </w:r>
            <w:r>
              <w:t>la subcuenta</w:t>
            </w:r>
            <w:r>
              <w:rPr>
                <w:spacing w:val="-4"/>
              </w:rPr>
              <w:t xml:space="preserve"> </w:t>
            </w:r>
            <w:r>
              <w:t>8109.25.</w:t>
            </w:r>
          </w:p>
        </w:tc>
      </w:tr>
      <w:tr w:rsidR="008C20EB" w14:paraId="40FE1CC6" w14:textId="77777777">
        <w:trPr>
          <w:trHeight w:val="1008"/>
        </w:trPr>
        <w:tc>
          <w:tcPr>
            <w:tcW w:w="1445" w:type="dxa"/>
          </w:tcPr>
          <w:p w14:paraId="40FE1CBE" w14:textId="77777777" w:rsidR="008C20EB" w:rsidRDefault="008D25BE">
            <w:pPr>
              <w:pStyle w:val="TableParagraph"/>
              <w:tabs>
                <w:tab w:val="left" w:pos="723"/>
                <w:tab w:val="left" w:pos="1002"/>
              </w:tabs>
              <w:spacing w:line="237" w:lineRule="auto"/>
              <w:ind w:left="71" w:right="53"/>
              <w:jc w:val="both"/>
              <w:rPr>
                <w:b/>
              </w:rPr>
            </w:pPr>
            <w:r>
              <w:rPr>
                <w:b/>
              </w:rPr>
              <w:t>Circular</w:t>
            </w:r>
            <w:r>
              <w:rPr>
                <w:b/>
              </w:rPr>
              <w:tab/>
              <w:t>SBS Nº</w:t>
            </w:r>
            <w:r>
              <w:rPr>
                <w:b/>
              </w:rPr>
              <w:tab/>
            </w:r>
            <w:r>
              <w:rPr>
                <w:b/>
                <w:spacing w:val="-3"/>
              </w:rPr>
              <w:t>B-2172-</w:t>
            </w:r>
          </w:p>
          <w:p w14:paraId="40FE1CBF" w14:textId="77777777" w:rsidR="008C20EB" w:rsidRDefault="008D25BE">
            <w:pPr>
              <w:pStyle w:val="TableParagraph"/>
              <w:tabs>
                <w:tab w:val="left" w:pos="844"/>
              </w:tabs>
              <w:spacing w:line="251" w:lineRule="exact"/>
              <w:ind w:left="71"/>
              <w:jc w:val="both"/>
              <w:rPr>
                <w:b/>
              </w:rPr>
            </w:pPr>
            <w:r>
              <w:rPr>
                <w:b/>
              </w:rPr>
              <w:t>2008,</w:t>
            </w:r>
            <w:r>
              <w:rPr>
                <w:b/>
              </w:rPr>
              <w:tab/>
            </w:r>
            <w:r>
              <w:rPr>
                <w:b/>
              </w:rPr>
              <w:t>F-512-</w:t>
            </w:r>
          </w:p>
          <w:p w14:paraId="40FE1CC0" w14:textId="77777777" w:rsidR="008C20EB" w:rsidRDefault="008D25BE">
            <w:pPr>
              <w:pStyle w:val="TableParagraph"/>
              <w:spacing w:line="243" w:lineRule="exact"/>
              <w:ind w:left="71"/>
              <w:jc w:val="both"/>
              <w:rPr>
                <w:b/>
              </w:rPr>
            </w:pPr>
            <w:r>
              <w:rPr>
                <w:b/>
              </w:rPr>
              <w:t xml:space="preserve">2008, </w:t>
            </w:r>
            <w:r>
              <w:rPr>
                <w:b/>
                <w:spacing w:val="44"/>
              </w:rPr>
              <w:t xml:space="preserve"> </w:t>
            </w:r>
            <w:r>
              <w:rPr>
                <w:b/>
              </w:rPr>
              <w:t>CM-359-</w:t>
            </w:r>
          </w:p>
        </w:tc>
        <w:tc>
          <w:tcPr>
            <w:tcW w:w="1733" w:type="dxa"/>
          </w:tcPr>
          <w:p w14:paraId="40FE1CC1"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30.05.2008</w:t>
            </w:r>
            <w:r>
              <w:rPr>
                <w:b/>
              </w:rPr>
              <w:tab/>
              <w:t>/</w:t>
            </w:r>
          </w:p>
          <w:p w14:paraId="40FE1CC2" w14:textId="77777777" w:rsidR="008C20EB" w:rsidRDefault="008D25BE">
            <w:pPr>
              <w:pStyle w:val="TableParagraph"/>
              <w:spacing w:line="251" w:lineRule="exact"/>
              <w:jc w:val="both"/>
              <w:rPr>
                <w:b/>
              </w:rPr>
            </w:pPr>
            <w:r>
              <w:rPr>
                <w:b/>
              </w:rPr>
              <w:t>Pub. 04.06.2008)</w:t>
            </w:r>
          </w:p>
        </w:tc>
        <w:tc>
          <w:tcPr>
            <w:tcW w:w="3500" w:type="dxa"/>
          </w:tcPr>
          <w:p w14:paraId="40FE1CC3" w14:textId="77777777" w:rsidR="008C20EB" w:rsidRDefault="008D25BE">
            <w:pPr>
              <w:pStyle w:val="TableParagraph"/>
              <w:spacing w:line="237" w:lineRule="auto"/>
              <w:ind w:left="177" w:right="48"/>
              <w:jc w:val="both"/>
            </w:pPr>
            <w:r>
              <w:t>Se elimina el Anexo Nº 21 “Obligaciones sujetas  a encaje en moneda  nacional</w:t>
            </w:r>
            <w:r>
              <w:rPr>
                <w:spacing w:val="11"/>
              </w:rPr>
              <w:t xml:space="preserve"> </w:t>
            </w:r>
            <w:r>
              <w:t>y</w:t>
            </w:r>
          </w:p>
          <w:p w14:paraId="40FE1CC4" w14:textId="77777777" w:rsidR="008C20EB" w:rsidRDefault="008D25BE">
            <w:pPr>
              <w:pStyle w:val="TableParagraph"/>
              <w:tabs>
                <w:tab w:val="left" w:pos="1022"/>
                <w:tab w:val="left" w:pos="1478"/>
                <w:tab w:val="left" w:pos="2735"/>
                <w:tab w:val="left" w:pos="3191"/>
              </w:tabs>
              <w:spacing w:line="250" w:lineRule="exact"/>
              <w:ind w:left="177" w:right="64"/>
              <w:jc w:val="both"/>
            </w:pPr>
            <w:r>
              <w:t>moneda extranjera” del capítulo V del Manual</w:t>
            </w:r>
            <w:r>
              <w:tab/>
              <w:t>de</w:t>
            </w:r>
            <w:r>
              <w:tab/>
              <w:t>Contabilidad</w:t>
            </w:r>
            <w:r>
              <w:tab/>
              <w:t>de</w:t>
            </w:r>
            <w:r>
              <w:tab/>
            </w:r>
            <w:r>
              <w:rPr>
                <w:spacing w:val="-7"/>
              </w:rPr>
              <w:t>las</w:t>
            </w:r>
          </w:p>
        </w:tc>
        <w:tc>
          <w:tcPr>
            <w:tcW w:w="8162" w:type="dxa"/>
          </w:tcPr>
          <w:p w14:paraId="40FE1CC5" w14:textId="77777777" w:rsidR="008C20EB" w:rsidRDefault="008D25BE">
            <w:pPr>
              <w:pStyle w:val="TableParagraph"/>
              <w:numPr>
                <w:ilvl w:val="0"/>
                <w:numId w:val="147"/>
              </w:numPr>
              <w:tabs>
                <w:tab w:val="left" w:pos="361"/>
              </w:tabs>
              <w:spacing w:line="235" w:lineRule="auto"/>
              <w:ind w:right="68"/>
              <w:jc w:val="both"/>
            </w:pPr>
            <w:r>
              <w:t>Se deja sin efecto el Anexo Nº 21 “Obligaciones sujetas a encaje en moneda nacional y moneda extranjera” del capítulo V del Manual de</w:t>
            </w:r>
            <w:r>
              <w:rPr>
                <w:spacing w:val="-17"/>
              </w:rPr>
              <w:t xml:space="preserve"> </w:t>
            </w:r>
            <w:r>
              <w:t>Contabilidad.</w:t>
            </w:r>
          </w:p>
        </w:tc>
      </w:tr>
    </w:tbl>
    <w:p w14:paraId="40FE1CC7" w14:textId="77777777" w:rsidR="008C20EB" w:rsidRDefault="008C20EB">
      <w:pPr>
        <w:spacing w:line="235" w:lineRule="auto"/>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CCC" w14:textId="77777777">
        <w:trPr>
          <w:trHeight w:val="254"/>
        </w:trPr>
        <w:tc>
          <w:tcPr>
            <w:tcW w:w="1445" w:type="dxa"/>
            <w:vAlign w:val="bottom"/>
          </w:tcPr>
          <w:p w14:paraId="40FE1CC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CC9" w14:textId="77777777" w:rsidR="008C20EB" w:rsidRDefault="008D25BE">
            <w:pPr>
              <w:pStyle w:val="TableParagraph"/>
              <w:spacing w:line="234" w:lineRule="exact"/>
              <w:ind w:left="556"/>
              <w:jc w:val="both"/>
              <w:rPr>
                <w:b/>
              </w:rPr>
            </w:pPr>
            <w:r>
              <w:rPr>
                <w:b/>
              </w:rPr>
              <w:t>FECHA</w:t>
            </w:r>
          </w:p>
        </w:tc>
        <w:tc>
          <w:tcPr>
            <w:tcW w:w="3500" w:type="dxa"/>
            <w:vAlign w:val="bottom"/>
          </w:tcPr>
          <w:p w14:paraId="40FE1CC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CCB" w14:textId="77777777" w:rsidR="008C20EB" w:rsidRDefault="008D25BE">
            <w:pPr>
              <w:pStyle w:val="TableParagraph"/>
              <w:spacing w:line="234" w:lineRule="exact"/>
              <w:ind w:left="3271" w:right="3265"/>
              <w:jc w:val="both"/>
              <w:rPr>
                <w:b/>
              </w:rPr>
            </w:pPr>
            <w:r>
              <w:rPr>
                <w:b/>
              </w:rPr>
              <w:t>MODIFICATORIAS</w:t>
            </w:r>
          </w:p>
        </w:tc>
      </w:tr>
      <w:tr w:rsidR="008C20EB" w14:paraId="40FE1CD2" w14:textId="77777777">
        <w:trPr>
          <w:trHeight w:val="503"/>
        </w:trPr>
        <w:tc>
          <w:tcPr>
            <w:tcW w:w="1445" w:type="dxa"/>
          </w:tcPr>
          <w:p w14:paraId="40FE1CCD" w14:textId="77777777" w:rsidR="008C20EB" w:rsidRDefault="008D25BE">
            <w:pPr>
              <w:pStyle w:val="TableParagraph"/>
              <w:spacing w:line="240" w:lineRule="exact"/>
              <w:ind w:left="71"/>
              <w:jc w:val="both"/>
              <w:rPr>
                <w:b/>
              </w:rPr>
            </w:pPr>
            <w:r>
              <w:rPr>
                <w:b/>
              </w:rPr>
              <w:t>2008, CR-228-</w:t>
            </w:r>
          </w:p>
          <w:p w14:paraId="40FE1CCE" w14:textId="77777777" w:rsidR="008C20EB" w:rsidRDefault="008D25BE">
            <w:pPr>
              <w:pStyle w:val="TableParagraph"/>
              <w:spacing w:line="243" w:lineRule="exact"/>
              <w:ind w:left="71"/>
              <w:jc w:val="both"/>
              <w:rPr>
                <w:b/>
              </w:rPr>
            </w:pPr>
            <w:r>
              <w:rPr>
                <w:b/>
              </w:rPr>
              <w:t>2008</w:t>
            </w:r>
          </w:p>
        </w:tc>
        <w:tc>
          <w:tcPr>
            <w:tcW w:w="1733" w:type="dxa"/>
          </w:tcPr>
          <w:p w14:paraId="40FE1CCF" w14:textId="77777777" w:rsidR="008C20EB" w:rsidRDefault="008C20EB">
            <w:pPr>
              <w:pStyle w:val="TableParagraph"/>
              <w:jc w:val="both"/>
              <w:rPr>
                <w:rFonts w:ascii="Times New Roman"/>
              </w:rPr>
            </w:pPr>
          </w:p>
        </w:tc>
        <w:tc>
          <w:tcPr>
            <w:tcW w:w="3500" w:type="dxa"/>
          </w:tcPr>
          <w:p w14:paraId="40FE1CD0" w14:textId="77777777" w:rsidR="008C20EB" w:rsidRDefault="008D25BE">
            <w:pPr>
              <w:pStyle w:val="TableParagraph"/>
              <w:spacing w:line="242" w:lineRule="exact"/>
              <w:ind w:left="177"/>
              <w:jc w:val="both"/>
            </w:pPr>
            <w:r>
              <w:t>empresas del sistema financiero.</w:t>
            </w:r>
          </w:p>
        </w:tc>
        <w:tc>
          <w:tcPr>
            <w:tcW w:w="8162" w:type="dxa"/>
          </w:tcPr>
          <w:p w14:paraId="40FE1CD1" w14:textId="77777777" w:rsidR="008C20EB" w:rsidRDefault="008C20EB">
            <w:pPr>
              <w:pStyle w:val="TableParagraph"/>
              <w:jc w:val="both"/>
              <w:rPr>
                <w:rFonts w:ascii="Times New Roman"/>
              </w:rPr>
            </w:pPr>
          </w:p>
        </w:tc>
      </w:tr>
      <w:tr w:rsidR="008C20EB" w14:paraId="40FE1CE3" w14:textId="77777777">
        <w:trPr>
          <w:trHeight w:val="2900"/>
        </w:trPr>
        <w:tc>
          <w:tcPr>
            <w:tcW w:w="1445" w:type="dxa"/>
          </w:tcPr>
          <w:p w14:paraId="40FE1CD3" w14:textId="77777777" w:rsidR="008C20EB" w:rsidRDefault="008C20EB">
            <w:pPr>
              <w:pStyle w:val="TableParagraph"/>
              <w:spacing w:before="4"/>
              <w:jc w:val="both"/>
              <w:rPr>
                <w:rFonts w:ascii="Arial"/>
                <w:b/>
                <w:sz w:val="21"/>
              </w:rPr>
            </w:pPr>
          </w:p>
          <w:p w14:paraId="40FE1CD4" w14:textId="77777777" w:rsidR="008C20EB" w:rsidRDefault="008D25BE">
            <w:pPr>
              <w:pStyle w:val="TableParagraph"/>
              <w:spacing w:before="1" w:line="237" w:lineRule="auto"/>
              <w:ind w:left="71" w:right="42"/>
              <w:jc w:val="both"/>
              <w:rPr>
                <w:b/>
              </w:rPr>
            </w:pPr>
            <w:r>
              <w:rPr>
                <w:b/>
              </w:rPr>
              <w:t>Resolución SBS Nº 1349-</w:t>
            </w:r>
          </w:p>
          <w:p w14:paraId="40FE1CD5" w14:textId="77777777" w:rsidR="008C20EB" w:rsidRDefault="008D25BE">
            <w:pPr>
              <w:pStyle w:val="TableParagraph"/>
              <w:spacing w:before="2"/>
              <w:ind w:left="71"/>
              <w:jc w:val="both"/>
              <w:rPr>
                <w:b/>
              </w:rPr>
            </w:pPr>
            <w:r>
              <w:rPr>
                <w:b/>
              </w:rPr>
              <w:t>2008</w:t>
            </w:r>
          </w:p>
        </w:tc>
        <w:tc>
          <w:tcPr>
            <w:tcW w:w="1733" w:type="dxa"/>
          </w:tcPr>
          <w:p w14:paraId="40FE1CD6" w14:textId="77777777" w:rsidR="008C20EB" w:rsidRDefault="008C20EB">
            <w:pPr>
              <w:pStyle w:val="TableParagraph"/>
              <w:spacing w:before="2"/>
              <w:jc w:val="both"/>
              <w:rPr>
                <w:rFonts w:ascii="Arial"/>
                <w:b/>
                <w:sz w:val="21"/>
              </w:rPr>
            </w:pPr>
          </w:p>
          <w:p w14:paraId="40FE1CD7" w14:textId="77777777" w:rsidR="008C20EB" w:rsidRDefault="008D25BE">
            <w:pPr>
              <w:pStyle w:val="TableParagraph"/>
              <w:tabs>
                <w:tab w:val="left" w:pos="1607"/>
              </w:tabs>
              <w:spacing w:line="251" w:lineRule="exact"/>
              <w:jc w:val="both"/>
              <w:rPr>
                <w:b/>
              </w:rPr>
            </w:pPr>
            <w:r>
              <w:rPr>
                <w:b/>
              </w:rPr>
              <w:t xml:space="preserve">(Pr.  </w:t>
            </w:r>
            <w:r>
              <w:rPr>
                <w:b/>
                <w:spacing w:val="45"/>
              </w:rPr>
              <w:t xml:space="preserve"> </w:t>
            </w:r>
            <w:r>
              <w:rPr>
                <w:b/>
              </w:rPr>
              <w:t>06.05.2008</w:t>
            </w:r>
            <w:r>
              <w:rPr>
                <w:b/>
              </w:rPr>
              <w:tab/>
              <w:t>/</w:t>
            </w:r>
          </w:p>
          <w:p w14:paraId="40FE1CD8" w14:textId="77777777" w:rsidR="008C20EB" w:rsidRDefault="008D25BE">
            <w:pPr>
              <w:pStyle w:val="TableParagraph"/>
              <w:spacing w:line="251" w:lineRule="exact"/>
              <w:jc w:val="both"/>
              <w:rPr>
                <w:b/>
              </w:rPr>
            </w:pPr>
            <w:r>
              <w:rPr>
                <w:b/>
              </w:rPr>
              <w:t>Pub. 08.05.2008)</w:t>
            </w:r>
          </w:p>
        </w:tc>
        <w:tc>
          <w:tcPr>
            <w:tcW w:w="3500" w:type="dxa"/>
          </w:tcPr>
          <w:p w14:paraId="40FE1CD9" w14:textId="77777777" w:rsidR="008C20EB" w:rsidRDefault="008C20EB">
            <w:pPr>
              <w:pStyle w:val="TableParagraph"/>
              <w:spacing w:before="2"/>
              <w:jc w:val="both"/>
              <w:rPr>
                <w:rFonts w:ascii="Arial"/>
                <w:b/>
                <w:sz w:val="21"/>
              </w:rPr>
            </w:pPr>
          </w:p>
          <w:p w14:paraId="40FE1CDA" w14:textId="77777777" w:rsidR="008C20EB" w:rsidRDefault="008D25BE">
            <w:pPr>
              <w:pStyle w:val="TableParagraph"/>
              <w:ind w:left="177" w:right="63"/>
              <w:jc w:val="both"/>
            </w:pPr>
            <w:r>
              <w:t>Modificación de los capítulos I, II, III, IV y V del Manual de Contabilidad para las empresas del sistema financiero, los cuales entrarán en vigencia a partir de la información correspondiente al mes de julio de</w:t>
            </w:r>
            <w:r>
              <w:rPr>
                <w:spacing w:val="-5"/>
              </w:rPr>
              <w:t xml:space="preserve"> </w:t>
            </w:r>
            <w:r>
              <w:t>2008.</w:t>
            </w:r>
          </w:p>
        </w:tc>
        <w:tc>
          <w:tcPr>
            <w:tcW w:w="8162" w:type="dxa"/>
          </w:tcPr>
          <w:p w14:paraId="40FE1CDB" w14:textId="77777777" w:rsidR="008C20EB" w:rsidRDefault="008D25BE">
            <w:pPr>
              <w:pStyle w:val="TableParagraph"/>
              <w:numPr>
                <w:ilvl w:val="0"/>
                <w:numId w:val="148"/>
              </w:numPr>
              <w:tabs>
                <w:tab w:val="left" w:pos="361"/>
              </w:tabs>
              <w:ind w:right="63"/>
              <w:jc w:val="both"/>
            </w:pPr>
            <w:r>
              <w:t>Se modifican cuentas referidas a productos financieros derivados, así como la descripción de las cuentas y su</w:t>
            </w:r>
            <w:r>
              <w:rPr>
                <w:spacing w:val="-10"/>
              </w:rPr>
              <w:t xml:space="preserve"> </w:t>
            </w:r>
            <w:r>
              <w:t>dinámica.</w:t>
            </w:r>
          </w:p>
          <w:p w14:paraId="40FE1CDC" w14:textId="77777777" w:rsidR="008C20EB" w:rsidRDefault="008D25BE">
            <w:pPr>
              <w:pStyle w:val="TableParagraph"/>
              <w:numPr>
                <w:ilvl w:val="0"/>
                <w:numId w:val="148"/>
              </w:numPr>
              <w:tabs>
                <w:tab w:val="left" w:pos="361"/>
              </w:tabs>
              <w:ind w:right="64"/>
              <w:jc w:val="both"/>
            </w:pPr>
            <w:r>
              <w:t>Se modifican las disposiciones generales a efectos de actualizar las tablas de códigos de empresas.</w:t>
            </w:r>
          </w:p>
          <w:p w14:paraId="40FE1CDD" w14:textId="77777777" w:rsidR="008C20EB" w:rsidRDefault="008D25BE">
            <w:pPr>
              <w:pStyle w:val="TableParagraph"/>
              <w:numPr>
                <w:ilvl w:val="0"/>
                <w:numId w:val="148"/>
              </w:numPr>
              <w:tabs>
                <w:tab w:val="left" w:pos="361"/>
              </w:tabs>
              <w:spacing w:line="267" w:lineRule="exact"/>
              <w:ind w:hanging="289"/>
              <w:jc w:val="both"/>
            </w:pPr>
            <w:r>
              <w:t>Se</w:t>
            </w:r>
            <w:r>
              <w:rPr>
                <w:spacing w:val="-5"/>
              </w:rPr>
              <w:t xml:space="preserve"> </w:t>
            </w:r>
            <w:r>
              <w:t>modifica</w:t>
            </w:r>
            <w:r>
              <w:rPr>
                <w:spacing w:val="-4"/>
              </w:rPr>
              <w:t xml:space="preserve"> </w:t>
            </w:r>
            <w:r>
              <w:t>la</w:t>
            </w:r>
            <w:r>
              <w:rPr>
                <w:spacing w:val="-4"/>
              </w:rPr>
              <w:t xml:space="preserve"> </w:t>
            </w:r>
            <w:r>
              <w:t>nota</w:t>
            </w:r>
            <w:r>
              <w:rPr>
                <w:spacing w:val="-4"/>
              </w:rPr>
              <w:t xml:space="preserve"> </w:t>
            </w:r>
            <w:r>
              <w:t>a</w:t>
            </w:r>
            <w:r>
              <w:rPr>
                <w:spacing w:val="1"/>
              </w:rPr>
              <w:t xml:space="preserve"> </w:t>
            </w:r>
            <w:r>
              <w:t>los</w:t>
            </w:r>
            <w:r>
              <w:rPr>
                <w:spacing w:val="-3"/>
              </w:rPr>
              <w:t xml:space="preserve"> </w:t>
            </w:r>
            <w:r>
              <w:t>estados</w:t>
            </w:r>
            <w:r>
              <w:rPr>
                <w:spacing w:val="-3"/>
              </w:rPr>
              <w:t xml:space="preserve"> </w:t>
            </w:r>
            <w:r>
              <w:t>financieros</w:t>
            </w:r>
            <w:r>
              <w:rPr>
                <w:spacing w:val="-3"/>
              </w:rPr>
              <w:t xml:space="preserve"> </w:t>
            </w:r>
            <w:r>
              <w:t>referida</w:t>
            </w:r>
            <w:r>
              <w:rPr>
                <w:spacing w:val="-4"/>
              </w:rPr>
              <w:t xml:space="preserve"> </w:t>
            </w:r>
            <w:r>
              <w:t>a</w:t>
            </w:r>
            <w:r>
              <w:rPr>
                <w:spacing w:val="-4"/>
              </w:rPr>
              <w:t xml:space="preserve"> </w:t>
            </w:r>
            <w:r>
              <w:t>productos</w:t>
            </w:r>
            <w:r>
              <w:rPr>
                <w:spacing w:val="-3"/>
              </w:rPr>
              <w:t xml:space="preserve"> </w:t>
            </w:r>
            <w:r>
              <w:t>financieros</w:t>
            </w:r>
            <w:r>
              <w:rPr>
                <w:spacing w:val="-3"/>
              </w:rPr>
              <w:t xml:space="preserve"> </w:t>
            </w:r>
            <w:r>
              <w:t>derivados.</w:t>
            </w:r>
          </w:p>
          <w:p w14:paraId="40FE1CDE" w14:textId="77777777" w:rsidR="008C20EB" w:rsidRDefault="008D25BE">
            <w:pPr>
              <w:pStyle w:val="TableParagraph"/>
              <w:numPr>
                <w:ilvl w:val="0"/>
                <w:numId w:val="148"/>
              </w:numPr>
              <w:tabs>
                <w:tab w:val="left" w:pos="361"/>
              </w:tabs>
              <w:spacing w:line="267" w:lineRule="exact"/>
              <w:ind w:hanging="289"/>
              <w:jc w:val="both"/>
            </w:pPr>
            <w:r>
              <w:t>Se modifican los estados financieros, Formas A, B, C y</w:t>
            </w:r>
            <w:r>
              <w:rPr>
                <w:spacing w:val="-19"/>
              </w:rPr>
              <w:t xml:space="preserve"> </w:t>
            </w:r>
            <w:r>
              <w:t>D.</w:t>
            </w:r>
          </w:p>
          <w:p w14:paraId="40FE1CDF" w14:textId="77777777" w:rsidR="008C20EB" w:rsidRDefault="008D25BE">
            <w:pPr>
              <w:pStyle w:val="TableParagraph"/>
              <w:numPr>
                <w:ilvl w:val="0"/>
                <w:numId w:val="148"/>
              </w:numPr>
              <w:tabs>
                <w:tab w:val="left" w:pos="361"/>
              </w:tabs>
              <w:ind w:right="63"/>
              <w:jc w:val="both"/>
            </w:pPr>
            <w:r>
              <w:t>Se modifica el Anexo Nº 8 “Posiciones en Instrumentos Financieros Derivados”, así como las notas</w:t>
            </w:r>
            <w:r>
              <w:rPr>
                <w:spacing w:val="-3"/>
              </w:rPr>
              <w:t xml:space="preserve"> </w:t>
            </w:r>
            <w:r>
              <w:t>metodológicas.</w:t>
            </w:r>
          </w:p>
          <w:p w14:paraId="40FE1CE0" w14:textId="77777777" w:rsidR="008C20EB" w:rsidRDefault="008D25BE">
            <w:pPr>
              <w:pStyle w:val="TableParagraph"/>
              <w:numPr>
                <w:ilvl w:val="0"/>
                <w:numId w:val="148"/>
              </w:numPr>
              <w:tabs>
                <w:tab w:val="left" w:pos="361"/>
              </w:tabs>
              <w:spacing w:line="266" w:lineRule="exact"/>
              <w:ind w:hanging="289"/>
              <w:jc w:val="both"/>
            </w:pPr>
            <w:r>
              <w:t>Se modifica el Anexo Nº 6 – RCD, referido a las cuentas</w:t>
            </w:r>
            <w:r>
              <w:rPr>
                <w:spacing w:val="-21"/>
              </w:rPr>
              <w:t xml:space="preserve"> </w:t>
            </w:r>
            <w:r>
              <w:t>contables.</w:t>
            </w:r>
          </w:p>
          <w:p w14:paraId="40FE1CE1" w14:textId="77777777" w:rsidR="008C20EB" w:rsidRDefault="008D25BE">
            <w:pPr>
              <w:pStyle w:val="TableParagraph"/>
              <w:numPr>
                <w:ilvl w:val="0"/>
                <w:numId w:val="148"/>
              </w:numPr>
              <w:tabs>
                <w:tab w:val="left" w:pos="361"/>
              </w:tabs>
              <w:spacing w:line="269" w:lineRule="exact"/>
              <w:ind w:hanging="289"/>
              <w:jc w:val="both"/>
            </w:pPr>
            <w:r>
              <w:t>Se modifica la Forma</w:t>
            </w:r>
            <w:r>
              <w:rPr>
                <w:spacing w:val="-8"/>
              </w:rPr>
              <w:t xml:space="preserve"> </w:t>
            </w:r>
            <w:r>
              <w:t>E.</w:t>
            </w:r>
          </w:p>
          <w:p w14:paraId="40FE1CE2" w14:textId="77777777" w:rsidR="008C20EB" w:rsidRDefault="008D25BE">
            <w:pPr>
              <w:pStyle w:val="TableParagraph"/>
              <w:numPr>
                <w:ilvl w:val="0"/>
                <w:numId w:val="148"/>
              </w:numPr>
              <w:tabs>
                <w:tab w:val="left" w:pos="361"/>
              </w:tabs>
              <w:spacing w:line="260" w:lineRule="exact"/>
              <w:ind w:hanging="289"/>
              <w:jc w:val="both"/>
            </w:pPr>
            <w:r>
              <w:t>Se modifica el Reporte</w:t>
            </w:r>
            <w:r>
              <w:rPr>
                <w:spacing w:val="-10"/>
              </w:rPr>
              <w:t xml:space="preserve"> </w:t>
            </w:r>
            <w:r>
              <w:t>2-A.</w:t>
            </w:r>
          </w:p>
        </w:tc>
      </w:tr>
      <w:tr w:rsidR="008C20EB" w14:paraId="40FE1CEF" w14:textId="77777777">
        <w:trPr>
          <w:trHeight w:val="2270"/>
        </w:trPr>
        <w:tc>
          <w:tcPr>
            <w:tcW w:w="1445" w:type="dxa"/>
          </w:tcPr>
          <w:p w14:paraId="40FE1CE4" w14:textId="77777777" w:rsidR="008C20EB" w:rsidRDefault="008D25BE">
            <w:pPr>
              <w:pStyle w:val="TableParagraph"/>
              <w:tabs>
                <w:tab w:val="left" w:pos="723"/>
                <w:tab w:val="left" w:pos="1002"/>
              </w:tabs>
              <w:spacing w:line="237" w:lineRule="auto"/>
              <w:ind w:left="71" w:right="53"/>
              <w:jc w:val="both"/>
              <w:rPr>
                <w:b/>
                <w:lang w:val="en-US"/>
              </w:rPr>
            </w:pPr>
            <w:r>
              <w:rPr>
                <w:b/>
                <w:lang w:val="en-US"/>
              </w:rPr>
              <w:t>Circular</w:t>
            </w:r>
            <w:r>
              <w:rPr>
                <w:b/>
                <w:lang w:val="en-US"/>
              </w:rPr>
              <w:tab/>
              <w:t>SBS Nº</w:t>
            </w:r>
            <w:r>
              <w:rPr>
                <w:b/>
                <w:lang w:val="en-US"/>
              </w:rPr>
              <w:tab/>
            </w:r>
            <w:r>
              <w:rPr>
                <w:b/>
                <w:spacing w:val="-3"/>
                <w:lang w:val="en-US"/>
              </w:rPr>
              <w:t>B-2171-</w:t>
            </w:r>
          </w:p>
          <w:p w14:paraId="40FE1CE5" w14:textId="77777777" w:rsidR="008C20EB" w:rsidRDefault="008D25BE">
            <w:pPr>
              <w:pStyle w:val="TableParagraph"/>
              <w:tabs>
                <w:tab w:val="left" w:pos="844"/>
              </w:tabs>
              <w:spacing w:line="251" w:lineRule="exact"/>
              <w:ind w:left="71"/>
              <w:jc w:val="both"/>
              <w:rPr>
                <w:b/>
                <w:lang w:val="en-US"/>
              </w:rPr>
            </w:pPr>
            <w:r>
              <w:rPr>
                <w:b/>
                <w:lang w:val="en-US"/>
              </w:rPr>
              <w:t>2008,</w:t>
            </w:r>
            <w:r>
              <w:rPr>
                <w:b/>
                <w:lang w:val="en-US"/>
              </w:rPr>
              <w:tab/>
              <w:t>F-511-</w:t>
            </w:r>
          </w:p>
          <w:p w14:paraId="40FE1CE6" w14:textId="77777777" w:rsidR="008C20EB" w:rsidRDefault="008D25BE">
            <w:pPr>
              <w:pStyle w:val="TableParagraph"/>
              <w:spacing w:line="251" w:lineRule="exact"/>
              <w:ind w:left="71"/>
              <w:jc w:val="both"/>
              <w:rPr>
                <w:b/>
                <w:lang w:val="en-US"/>
              </w:rPr>
            </w:pPr>
            <w:r>
              <w:rPr>
                <w:b/>
                <w:lang w:val="en-US"/>
              </w:rPr>
              <w:t xml:space="preserve">2008, </w:t>
            </w:r>
            <w:r>
              <w:rPr>
                <w:b/>
                <w:spacing w:val="44"/>
                <w:lang w:val="en-US"/>
              </w:rPr>
              <w:t xml:space="preserve"> </w:t>
            </w:r>
            <w:r>
              <w:rPr>
                <w:b/>
                <w:lang w:val="en-US"/>
              </w:rPr>
              <w:t>CM-358-</w:t>
            </w:r>
          </w:p>
          <w:p w14:paraId="40FE1CE7" w14:textId="77777777" w:rsidR="008C20EB" w:rsidRDefault="008D25BE">
            <w:pPr>
              <w:pStyle w:val="TableParagraph"/>
              <w:ind w:left="71"/>
              <w:jc w:val="both"/>
              <w:rPr>
                <w:b/>
                <w:lang w:val="en-US"/>
              </w:rPr>
            </w:pPr>
            <w:r>
              <w:rPr>
                <w:b/>
                <w:lang w:val="en-US"/>
              </w:rPr>
              <w:t xml:space="preserve">2008,  </w:t>
            </w:r>
            <w:r>
              <w:rPr>
                <w:b/>
                <w:spacing w:val="22"/>
                <w:lang w:val="en-US"/>
              </w:rPr>
              <w:t xml:space="preserve"> </w:t>
            </w:r>
            <w:r>
              <w:rPr>
                <w:b/>
                <w:lang w:val="en-US"/>
              </w:rPr>
              <w:t>CR-227-</w:t>
            </w:r>
          </w:p>
          <w:p w14:paraId="40FE1CE8" w14:textId="77777777" w:rsidR="008C20EB" w:rsidRDefault="008D25BE">
            <w:pPr>
              <w:pStyle w:val="TableParagraph"/>
              <w:spacing w:line="237" w:lineRule="auto"/>
              <w:ind w:left="71" w:right="177"/>
              <w:jc w:val="both"/>
              <w:rPr>
                <w:b/>
                <w:lang w:val="en-US"/>
              </w:rPr>
            </w:pPr>
            <w:r>
              <w:rPr>
                <w:b/>
                <w:lang w:val="en-US"/>
              </w:rPr>
              <w:t>2008, EDPYME-128-</w:t>
            </w:r>
          </w:p>
          <w:p w14:paraId="40FE1CE9" w14:textId="77777777" w:rsidR="008C20EB" w:rsidRDefault="008D25BE">
            <w:pPr>
              <w:pStyle w:val="TableParagraph"/>
              <w:spacing w:before="2" w:line="251" w:lineRule="exact"/>
              <w:ind w:left="71"/>
              <w:jc w:val="both"/>
              <w:rPr>
                <w:b/>
              </w:rPr>
            </w:pPr>
            <w:r>
              <w:rPr>
                <w:b/>
              </w:rPr>
              <w:t>2008, FOGAPI-</w:t>
            </w:r>
          </w:p>
          <w:p w14:paraId="40FE1CEA" w14:textId="77777777" w:rsidR="008C20EB" w:rsidRDefault="008D25BE">
            <w:pPr>
              <w:pStyle w:val="TableParagraph"/>
              <w:spacing w:line="243" w:lineRule="exact"/>
              <w:ind w:left="71"/>
              <w:jc w:val="both"/>
              <w:rPr>
                <w:b/>
              </w:rPr>
            </w:pPr>
            <w:r>
              <w:rPr>
                <w:b/>
              </w:rPr>
              <w:t>30-2008</w:t>
            </w:r>
          </w:p>
        </w:tc>
        <w:tc>
          <w:tcPr>
            <w:tcW w:w="1733" w:type="dxa"/>
          </w:tcPr>
          <w:p w14:paraId="40FE1CEB" w14:textId="77777777" w:rsidR="008C20EB" w:rsidRDefault="008D25BE">
            <w:pPr>
              <w:pStyle w:val="TableParagraph"/>
              <w:tabs>
                <w:tab w:val="left" w:pos="1607"/>
              </w:tabs>
              <w:spacing w:line="240" w:lineRule="exact"/>
              <w:jc w:val="both"/>
              <w:rPr>
                <w:b/>
              </w:rPr>
            </w:pPr>
            <w:r>
              <w:rPr>
                <w:b/>
              </w:rPr>
              <w:t xml:space="preserve">(Pr.  </w:t>
            </w:r>
            <w:r>
              <w:rPr>
                <w:b/>
                <w:spacing w:val="45"/>
              </w:rPr>
              <w:t xml:space="preserve"> </w:t>
            </w:r>
            <w:r>
              <w:rPr>
                <w:b/>
              </w:rPr>
              <w:t>05.05.2008</w:t>
            </w:r>
            <w:r>
              <w:rPr>
                <w:b/>
              </w:rPr>
              <w:tab/>
              <w:t>/</w:t>
            </w:r>
          </w:p>
          <w:p w14:paraId="40FE1CEC" w14:textId="77777777" w:rsidR="008C20EB" w:rsidRDefault="008D25BE">
            <w:pPr>
              <w:pStyle w:val="TableParagraph"/>
              <w:spacing w:line="251" w:lineRule="exact"/>
              <w:jc w:val="both"/>
              <w:rPr>
                <w:b/>
              </w:rPr>
            </w:pPr>
            <w:r>
              <w:rPr>
                <w:b/>
              </w:rPr>
              <w:t>Pub. 07.05.2008)</w:t>
            </w:r>
          </w:p>
        </w:tc>
        <w:tc>
          <w:tcPr>
            <w:tcW w:w="3500" w:type="dxa"/>
          </w:tcPr>
          <w:p w14:paraId="40FE1CED" w14:textId="77777777" w:rsidR="008C20EB" w:rsidRDefault="008D25BE">
            <w:pPr>
              <w:pStyle w:val="TableParagraph"/>
              <w:ind w:left="177" w:right="59"/>
              <w:jc w:val="both"/>
            </w:pPr>
            <w:r>
              <w:t>Se modifica el Reporte 2-A “Activos y Créditos Contingentes Ponderados por Riesgo” del capítulo V del Manual de Contabilidad de las empresas del sistema financiero, el cual entrará en vigencia a partir de la información correspondiente al día siguiente de su publicación.</w:t>
            </w:r>
          </w:p>
        </w:tc>
        <w:tc>
          <w:tcPr>
            <w:tcW w:w="8162" w:type="dxa"/>
          </w:tcPr>
          <w:p w14:paraId="40FE1CEE" w14:textId="77777777" w:rsidR="008C20EB" w:rsidRDefault="008D25BE">
            <w:pPr>
              <w:pStyle w:val="TableParagraph"/>
              <w:numPr>
                <w:ilvl w:val="0"/>
                <w:numId w:val="149"/>
              </w:numPr>
              <w:tabs>
                <w:tab w:val="left" w:pos="778"/>
                <w:tab w:val="left" w:pos="779"/>
              </w:tabs>
              <w:spacing w:line="237" w:lineRule="auto"/>
              <w:ind w:right="52" w:hanging="720"/>
              <w:jc w:val="both"/>
            </w:pPr>
            <w:r>
              <w:t>A efectos de incorporar las disposiciones establecidas en la norma sobre exposición equivalente a riesgo crediticio de las operaciones con instrumentos financieros derivados, se modifica el Reporte 2-A “Activos y Créditos Contingentes Ponderados por Riesgo” del capítulo V del Manual de Contabilidad de las empresas del sistema</w:t>
            </w:r>
            <w:r>
              <w:rPr>
                <w:spacing w:val="-31"/>
              </w:rPr>
              <w:t xml:space="preserve"> </w:t>
            </w:r>
            <w:r>
              <w:t>financiero.</w:t>
            </w:r>
          </w:p>
        </w:tc>
      </w:tr>
      <w:tr w:rsidR="008C20EB" w14:paraId="40FE1CF8" w14:textId="77777777">
        <w:trPr>
          <w:trHeight w:val="1517"/>
        </w:trPr>
        <w:tc>
          <w:tcPr>
            <w:tcW w:w="1445" w:type="dxa"/>
          </w:tcPr>
          <w:p w14:paraId="40FE1CF0" w14:textId="77777777" w:rsidR="008C20EB" w:rsidRDefault="008C20EB">
            <w:pPr>
              <w:pStyle w:val="TableParagraph"/>
              <w:spacing w:before="4"/>
              <w:jc w:val="both"/>
              <w:rPr>
                <w:rFonts w:ascii="Arial"/>
                <w:b/>
                <w:sz w:val="21"/>
              </w:rPr>
            </w:pPr>
          </w:p>
          <w:p w14:paraId="40FE1CF1" w14:textId="77777777" w:rsidR="008C20EB" w:rsidRDefault="008D25BE">
            <w:pPr>
              <w:pStyle w:val="TableParagraph"/>
              <w:spacing w:line="237" w:lineRule="auto"/>
              <w:ind w:left="71" w:right="42"/>
              <w:jc w:val="both"/>
              <w:rPr>
                <w:b/>
              </w:rPr>
            </w:pPr>
            <w:r>
              <w:rPr>
                <w:b/>
              </w:rPr>
              <w:t>Resolución SBS Nº 775-</w:t>
            </w:r>
          </w:p>
          <w:p w14:paraId="40FE1CF2" w14:textId="77777777" w:rsidR="008C20EB" w:rsidRDefault="008D25BE">
            <w:pPr>
              <w:pStyle w:val="TableParagraph"/>
              <w:spacing w:before="2"/>
              <w:ind w:left="71"/>
              <w:jc w:val="both"/>
              <w:rPr>
                <w:b/>
              </w:rPr>
            </w:pPr>
            <w:r>
              <w:rPr>
                <w:b/>
              </w:rPr>
              <w:t>2008</w:t>
            </w:r>
          </w:p>
        </w:tc>
        <w:tc>
          <w:tcPr>
            <w:tcW w:w="1733" w:type="dxa"/>
          </w:tcPr>
          <w:p w14:paraId="40FE1CF3" w14:textId="77777777" w:rsidR="008C20EB" w:rsidRDefault="008C20EB">
            <w:pPr>
              <w:pStyle w:val="TableParagraph"/>
              <w:spacing w:before="2"/>
              <w:jc w:val="both"/>
              <w:rPr>
                <w:rFonts w:ascii="Arial"/>
                <w:b/>
                <w:sz w:val="21"/>
              </w:rPr>
            </w:pPr>
          </w:p>
          <w:p w14:paraId="40FE1CF4" w14:textId="77777777" w:rsidR="008C20EB" w:rsidRDefault="008D25BE">
            <w:pPr>
              <w:pStyle w:val="TableParagraph"/>
              <w:tabs>
                <w:tab w:val="left" w:pos="1607"/>
              </w:tabs>
              <w:spacing w:line="251" w:lineRule="exact"/>
              <w:jc w:val="both"/>
              <w:rPr>
                <w:b/>
              </w:rPr>
            </w:pPr>
            <w:r>
              <w:rPr>
                <w:b/>
              </w:rPr>
              <w:t xml:space="preserve">(Pr.  </w:t>
            </w:r>
            <w:r>
              <w:rPr>
                <w:b/>
                <w:spacing w:val="45"/>
              </w:rPr>
              <w:t xml:space="preserve"> </w:t>
            </w:r>
            <w:r>
              <w:rPr>
                <w:b/>
              </w:rPr>
              <w:t>26.03.2008</w:t>
            </w:r>
            <w:r>
              <w:rPr>
                <w:b/>
              </w:rPr>
              <w:tab/>
              <w:t>/</w:t>
            </w:r>
          </w:p>
          <w:p w14:paraId="40FE1CF5" w14:textId="77777777" w:rsidR="008C20EB" w:rsidRDefault="008D25BE">
            <w:pPr>
              <w:pStyle w:val="TableParagraph"/>
              <w:spacing w:line="251" w:lineRule="exact"/>
              <w:jc w:val="both"/>
              <w:rPr>
                <w:b/>
              </w:rPr>
            </w:pPr>
            <w:r>
              <w:rPr>
                <w:b/>
              </w:rPr>
              <w:t>Pub. 28.03.2008)</w:t>
            </w:r>
          </w:p>
        </w:tc>
        <w:tc>
          <w:tcPr>
            <w:tcW w:w="3500" w:type="dxa"/>
          </w:tcPr>
          <w:p w14:paraId="40FE1CF6" w14:textId="77777777" w:rsidR="008C20EB" w:rsidRDefault="008D25BE">
            <w:pPr>
              <w:pStyle w:val="TableParagraph"/>
              <w:ind w:left="177" w:right="61"/>
              <w:jc w:val="both"/>
            </w:pPr>
            <w:r>
              <w:t>Modifíquese el Capítulo V del Manual de Contabilidad de las empresas del sistema financiero, el cual entrará en vigencia al día siguiente de su publicación.</w:t>
            </w:r>
          </w:p>
        </w:tc>
        <w:tc>
          <w:tcPr>
            <w:tcW w:w="8162" w:type="dxa"/>
          </w:tcPr>
          <w:p w14:paraId="40FE1CF7" w14:textId="77777777" w:rsidR="008C20EB" w:rsidRDefault="008D25BE">
            <w:pPr>
              <w:pStyle w:val="TableParagraph"/>
              <w:numPr>
                <w:ilvl w:val="0"/>
                <w:numId w:val="150"/>
              </w:numPr>
              <w:tabs>
                <w:tab w:val="left" w:pos="778"/>
                <w:tab w:val="left" w:pos="779"/>
              </w:tabs>
              <w:ind w:right="57" w:hanging="720"/>
              <w:jc w:val="both"/>
            </w:pPr>
            <w:r>
              <w:t>Modifíquese la instrucción 1 del Anexo 10 “Depósitos, Colocaciones y Personal por Oficinas” del Capítulo V del Manual de Contabilidad de las Empresas del Sistema Financiero, con el fin de adecuarla a lo dispuesto en el reglamento que se aprueba en la presente Resolución con respecto a la modalidad del “Local</w:t>
            </w:r>
            <w:r>
              <w:rPr>
                <w:spacing w:val="-24"/>
              </w:rPr>
              <w:t xml:space="preserve"> </w:t>
            </w:r>
            <w:r>
              <w:t>Compartido”.</w:t>
            </w:r>
          </w:p>
        </w:tc>
      </w:tr>
      <w:tr w:rsidR="008C20EB" w14:paraId="40FE1D06" w14:textId="77777777">
        <w:trPr>
          <w:trHeight w:val="1766"/>
        </w:trPr>
        <w:tc>
          <w:tcPr>
            <w:tcW w:w="1445" w:type="dxa"/>
          </w:tcPr>
          <w:p w14:paraId="40FE1CF9" w14:textId="77777777" w:rsidR="008C20EB" w:rsidRDefault="008C20EB">
            <w:pPr>
              <w:pStyle w:val="TableParagraph"/>
              <w:spacing w:before="8"/>
              <w:jc w:val="both"/>
              <w:rPr>
                <w:rFonts w:ascii="Arial"/>
                <w:b/>
                <w:sz w:val="20"/>
              </w:rPr>
            </w:pPr>
          </w:p>
          <w:p w14:paraId="40FE1CFA" w14:textId="77777777" w:rsidR="008C20EB" w:rsidRDefault="008D25BE">
            <w:pPr>
              <w:pStyle w:val="TableParagraph"/>
              <w:spacing w:before="1"/>
              <w:ind w:left="71" w:right="42"/>
              <w:jc w:val="both"/>
              <w:rPr>
                <w:b/>
              </w:rPr>
            </w:pPr>
            <w:r>
              <w:rPr>
                <w:b/>
              </w:rPr>
              <w:t>Resolución SBS Nº 1272-</w:t>
            </w:r>
          </w:p>
          <w:p w14:paraId="40FE1CFB" w14:textId="77777777" w:rsidR="008C20EB" w:rsidRDefault="008D25BE">
            <w:pPr>
              <w:pStyle w:val="TableParagraph"/>
              <w:spacing w:line="252" w:lineRule="exact"/>
              <w:ind w:left="71"/>
              <w:jc w:val="both"/>
              <w:rPr>
                <w:b/>
              </w:rPr>
            </w:pPr>
            <w:r>
              <w:rPr>
                <w:b/>
              </w:rPr>
              <w:t>2007</w:t>
            </w:r>
          </w:p>
        </w:tc>
        <w:tc>
          <w:tcPr>
            <w:tcW w:w="1733" w:type="dxa"/>
          </w:tcPr>
          <w:p w14:paraId="40FE1CFC" w14:textId="77777777" w:rsidR="008C20EB" w:rsidRDefault="008C20EB">
            <w:pPr>
              <w:pStyle w:val="TableParagraph"/>
              <w:spacing w:before="8"/>
              <w:jc w:val="both"/>
              <w:rPr>
                <w:rFonts w:ascii="Arial"/>
                <w:b/>
                <w:sz w:val="20"/>
              </w:rPr>
            </w:pPr>
          </w:p>
          <w:p w14:paraId="40FE1CFD" w14:textId="77777777" w:rsidR="008C20EB" w:rsidRDefault="008D25BE">
            <w:pPr>
              <w:pStyle w:val="TableParagraph"/>
              <w:tabs>
                <w:tab w:val="left" w:pos="1607"/>
              </w:tabs>
              <w:spacing w:before="1"/>
              <w:jc w:val="both"/>
              <w:rPr>
                <w:b/>
              </w:rPr>
            </w:pPr>
            <w:r>
              <w:rPr>
                <w:b/>
              </w:rPr>
              <w:t xml:space="preserve">(Pr.  </w:t>
            </w:r>
            <w:r>
              <w:rPr>
                <w:b/>
                <w:spacing w:val="45"/>
              </w:rPr>
              <w:t xml:space="preserve"> </w:t>
            </w:r>
            <w:r>
              <w:rPr>
                <w:b/>
              </w:rPr>
              <w:t>21.09.2007</w:t>
            </w:r>
            <w:r>
              <w:rPr>
                <w:b/>
              </w:rPr>
              <w:tab/>
              <w:t>/</w:t>
            </w:r>
          </w:p>
          <w:p w14:paraId="40FE1CFE" w14:textId="77777777" w:rsidR="008C20EB" w:rsidRDefault="008D25BE">
            <w:pPr>
              <w:pStyle w:val="TableParagraph"/>
              <w:spacing w:before="2"/>
              <w:jc w:val="both"/>
              <w:rPr>
                <w:b/>
              </w:rPr>
            </w:pPr>
            <w:r>
              <w:rPr>
                <w:b/>
              </w:rPr>
              <w:t>(Pub. 22.09.2007)</w:t>
            </w:r>
          </w:p>
        </w:tc>
        <w:tc>
          <w:tcPr>
            <w:tcW w:w="3500" w:type="dxa"/>
          </w:tcPr>
          <w:p w14:paraId="40FE1CFF" w14:textId="77777777" w:rsidR="008C20EB" w:rsidRDefault="008C20EB">
            <w:pPr>
              <w:pStyle w:val="TableParagraph"/>
              <w:spacing w:before="8"/>
              <w:jc w:val="both"/>
              <w:rPr>
                <w:rFonts w:ascii="Arial"/>
                <w:b/>
                <w:sz w:val="20"/>
              </w:rPr>
            </w:pPr>
          </w:p>
          <w:p w14:paraId="40FE1D00" w14:textId="77777777" w:rsidR="008C20EB" w:rsidRDefault="008D25BE">
            <w:pPr>
              <w:pStyle w:val="TableParagraph"/>
              <w:spacing w:before="1"/>
              <w:ind w:left="177" w:right="66"/>
              <w:jc w:val="both"/>
            </w:pPr>
            <w:r>
              <w:t>Modificación del capítulo I, II, III, IV y V del Manual de Contabilidad para las empresas del sistema financiero, los cuales entrarán en  vigencia a  partir  de</w:t>
            </w:r>
          </w:p>
          <w:p w14:paraId="40FE1D01" w14:textId="77777777" w:rsidR="008C20EB" w:rsidRDefault="008D25BE">
            <w:pPr>
              <w:pStyle w:val="TableParagraph"/>
              <w:spacing w:before="9" w:line="250" w:lineRule="exact"/>
              <w:ind w:left="177" w:right="65"/>
              <w:jc w:val="both"/>
            </w:pPr>
            <w:r>
              <w:t xml:space="preserve">la información correspondiente al mes de    septiembre    de    2007,    salvo </w:t>
            </w:r>
            <w:r>
              <w:rPr>
                <w:spacing w:val="17"/>
              </w:rPr>
              <w:t xml:space="preserve"> </w:t>
            </w:r>
            <w:r>
              <w:t>lo</w:t>
            </w:r>
          </w:p>
        </w:tc>
        <w:tc>
          <w:tcPr>
            <w:tcW w:w="8162" w:type="dxa"/>
          </w:tcPr>
          <w:p w14:paraId="40FE1D02" w14:textId="77777777" w:rsidR="008C20EB" w:rsidRDefault="008C20EB">
            <w:pPr>
              <w:pStyle w:val="TableParagraph"/>
              <w:spacing w:before="8"/>
              <w:jc w:val="both"/>
              <w:rPr>
                <w:rFonts w:ascii="Arial"/>
                <w:b/>
                <w:sz w:val="20"/>
              </w:rPr>
            </w:pPr>
          </w:p>
          <w:p w14:paraId="40FE1D03" w14:textId="77777777" w:rsidR="008C20EB" w:rsidRDefault="008D25BE">
            <w:pPr>
              <w:pStyle w:val="TableParagraph"/>
              <w:numPr>
                <w:ilvl w:val="0"/>
                <w:numId w:val="151"/>
              </w:numPr>
              <w:tabs>
                <w:tab w:val="left" w:pos="361"/>
              </w:tabs>
              <w:ind w:right="68"/>
              <w:jc w:val="both"/>
            </w:pPr>
            <w:r>
              <w:t>Se modifica la periodicidad de la Forma E y del reporte Nº 25, los cuales ahora se darán de forma quincenal y trimestral</w:t>
            </w:r>
            <w:r>
              <w:rPr>
                <w:spacing w:val="-12"/>
              </w:rPr>
              <w:t xml:space="preserve"> </w:t>
            </w:r>
            <w:r>
              <w:t>respectivamente.</w:t>
            </w:r>
          </w:p>
          <w:p w14:paraId="40FE1D04" w14:textId="77777777" w:rsidR="008C20EB" w:rsidRDefault="008D25BE">
            <w:pPr>
              <w:pStyle w:val="TableParagraph"/>
              <w:numPr>
                <w:ilvl w:val="0"/>
                <w:numId w:val="151"/>
              </w:numPr>
              <w:tabs>
                <w:tab w:val="left" w:pos="361"/>
              </w:tabs>
              <w:spacing w:before="6" w:line="235" w:lineRule="auto"/>
              <w:ind w:right="66"/>
              <w:jc w:val="both"/>
            </w:pPr>
            <w:r>
              <w:t xml:space="preserve">Se elimina el anexo Nº 4 de la forma E “Información adelantada de ingresos y gastos” y el reporte Nº 27 </w:t>
            </w:r>
            <w:r>
              <w:rPr>
                <w:spacing w:val="-3"/>
              </w:rPr>
              <w:t xml:space="preserve">“Costos </w:t>
            </w:r>
            <w:r>
              <w:t>por transferencias de fondos” del capítulo V del</w:t>
            </w:r>
            <w:r>
              <w:rPr>
                <w:spacing w:val="-29"/>
              </w:rPr>
              <w:t xml:space="preserve"> </w:t>
            </w:r>
            <w:r>
              <w:t>manual.</w:t>
            </w:r>
          </w:p>
          <w:p w14:paraId="40FE1D05" w14:textId="77777777" w:rsidR="008C20EB" w:rsidRDefault="008D25BE">
            <w:pPr>
              <w:pStyle w:val="TableParagraph"/>
              <w:numPr>
                <w:ilvl w:val="0"/>
                <w:numId w:val="151"/>
              </w:numPr>
              <w:tabs>
                <w:tab w:val="left" w:pos="361"/>
              </w:tabs>
              <w:spacing w:before="2"/>
              <w:ind w:hanging="289"/>
              <w:jc w:val="both"/>
            </w:pPr>
            <w:r>
              <w:t>Se</w:t>
            </w:r>
            <w:r>
              <w:rPr>
                <w:spacing w:val="-6"/>
              </w:rPr>
              <w:t xml:space="preserve"> </w:t>
            </w:r>
            <w:r>
              <w:t>modifican</w:t>
            </w:r>
            <w:r>
              <w:rPr>
                <w:spacing w:val="-5"/>
              </w:rPr>
              <w:t xml:space="preserve"> </w:t>
            </w:r>
            <w:r>
              <w:t>los</w:t>
            </w:r>
            <w:r>
              <w:rPr>
                <w:spacing w:val="-4"/>
              </w:rPr>
              <w:t xml:space="preserve"> </w:t>
            </w:r>
            <w:r>
              <w:t>códigos</w:t>
            </w:r>
            <w:r>
              <w:rPr>
                <w:spacing w:val="-4"/>
              </w:rPr>
              <w:t xml:space="preserve"> </w:t>
            </w:r>
            <w:r>
              <w:t>de</w:t>
            </w:r>
            <w:r>
              <w:rPr>
                <w:spacing w:val="-1"/>
              </w:rPr>
              <w:t xml:space="preserve"> </w:t>
            </w:r>
            <w:r>
              <w:t>las</w:t>
            </w:r>
            <w:r>
              <w:rPr>
                <w:spacing w:val="-4"/>
              </w:rPr>
              <w:t xml:space="preserve"> </w:t>
            </w:r>
            <w:r>
              <w:t>empresas</w:t>
            </w:r>
            <w:r>
              <w:rPr>
                <w:spacing w:val="-4"/>
              </w:rPr>
              <w:t xml:space="preserve"> </w:t>
            </w:r>
            <w:r>
              <w:t>señalados</w:t>
            </w:r>
            <w:r>
              <w:rPr>
                <w:spacing w:val="-4"/>
              </w:rPr>
              <w:t xml:space="preserve"> </w:t>
            </w:r>
            <w:r>
              <w:t>en</w:t>
            </w:r>
            <w:r>
              <w:rPr>
                <w:spacing w:val="-5"/>
              </w:rPr>
              <w:t xml:space="preserve"> </w:t>
            </w:r>
            <w:r>
              <w:t>el</w:t>
            </w:r>
            <w:r>
              <w:rPr>
                <w:spacing w:val="-7"/>
              </w:rPr>
              <w:t xml:space="preserve"> </w:t>
            </w:r>
            <w:r>
              <w:t>capítulo</w:t>
            </w:r>
            <w:r>
              <w:rPr>
                <w:spacing w:val="-1"/>
              </w:rPr>
              <w:t xml:space="preserve"> </w:t>
            </w:r>
            <w:r>
              <w:t>I</w:t>
            </w:r>
            <w:r>
              <w:rPr>
                <w:spacing w:val="-3"/>
              </w:rPr>
              <w:t xml:space="preserve"> </w:t>
            </w:r>
            <w:r>
              <w:t>“Disposiciones</w:t>
            </w:r>
            <w:r>
              <w:rPr>
                <w:spacing w:val="-4"/>
              </w:rPr>
              <w:t xml:space="preserve"> </w:t>
            </w:r>
            <w:r>
              <w:t>Generales”.</w:t>
            </w:r>
          </w:p>
        </w:tc>
      </w:tr>
    </w:tbl>
    <w:p w14:paraId="40FE1D07"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D0C" w14:textId="77777777">
        <w:trPr>
          <w:trHeight w:val="254"/>
        </w:trPr>
        <w:tc>
          <w:tcPr>
            <w:tcW w:w="1445" w:type="dxa"/>
            <w:vAlign w:val="bottom"/>
          </w:tcPr>
          <w:p w14:paraId="40FE1D08"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D09" w14:textId="77777777" w:rsidR="008C20EB" w:rsidRDefault="008D25BE">
            <w:pPr>
              <w:pStyle w:val="TableParagraph"/>
              <w:spacing w:line="234" w:lineRule="exact"/>
              <w:ind w:left="556"/>
              <w:jc w:val="both"/>
              <w:rPr>
                <w:b/>
              </w:rPr>
            </w:pPr>
            <w:r>
              <w:rPr>
                <w:b/>
              </w:rPr>
              <w:t>FECHA</w:t>
            </w:r>
          </w:p>
        </w:tc>
        <w:tc>
          <w:tcPr>
            <w:tcW w:w="3500" w:type="dxa"/>
            <w:vAlign w:val="bottom"/>
          </w:tcPr>
          <w:p w14:paraId="40FE1D0A"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D0B" w14:textId="77777777" w:rsidR="008C20EB" w:rsidRDefault="008D25BE">
            <w:pPr>
              <w:pStyle w:val="TableParagraph"/>
              <w:spacing w:line="234" w:lineRule="exact"/>
              <w:ind w:left="3271" w:right="3265"/>
              <w:jc w:val="both"/>
              <w:rPr>
                <w:b/>
              </w:rPr>
            </w:pPr>
            <w:r>
              <w:rPr>
                <w:b/>
              </w:rPr>
              <w:t>MODIFICATORIAS</w:t>
            </w:r>
          </w:p>
        </w:tc>
      </w:tr>
      <w:tr w:rsidR="008C20EB" w14:paraId="40FE1D15" w14:textId="77777777">
        <w:trPr>
          <w:trHeight w:val="2851"/>
        </w:trPr>
        <w:tc>
          <w:tcPr>
            <w:tcW w:w="1445" w:type="dxa"/>
          </w:tcPr>
          <w:p w14:paraId="40FE1D0D" w14:textId="77777777" w:rsidR="008C20EB" w:rsidRDefault="008C20EB">
            <w:pPr>
              <w:pStyle w:val="TableParagraph"/>
              <w:jc w:val="both"/>
              <w:rPr>
                <w:rFonts w:ascii="Times New Roman"/>
              </w:rPr>
            </w:pPr>
          </w:p>
        </w:tc>
        <w:tc>
          <w:tcPr>
            <w:tcW w:w="1733" w:type="dxa"/>
          </w:tcPr>
          <w:p w14:paraId="40FE1D0E" w14:textId="77777777" w:rsidR="008C20EB" w:rsidRDefault="008C20EB">
            <w:pPr>
              <w:pStyle w:val="TableParagraph"/>
              <w:jc w:val="both"/>
              <w:rPr>
                <w:rFonts w:ascii="Times New Roman"/>
              </w:rPr>
            </w:pPr>
          </w:p>
        </w:tc>
        <w:tc>
          <w:tcPr>
            <w:tcW w:w="3500" w:type="dxa"/>
          </w:tcPr>
          <w:p w14:paraId="40FE1D0F" w14:textId="77777777" w:rsidR="008C20EB" w:rsidRDefault="008D25BE">
            <w:pPr>
              <w:pStyle w:val="TableParagraph"/>
              <w:ind w:left="177" w:right="60"/>
              <w:jc w:val="both"/>
            </w:pPr>
            <w:r>
              <w:t>dispuesto en el artículo primero de la norma, que entrará en vigencia a partir de la información correspondiente al mes de octubre de</w:t>
            </w:r>
            <w:r>
              <w:rPr>
                <w:spacing w:val="-13"/>
              </w:rPr>
              <w:t xml:space="preserve"> </w:t>
            </w:r>
            <w:r>
              <w:t>2007.</w:t>
            </w:r>
          </w:p>
        </w:tc>
        <w:tc>
          <w:tcPr>
            <w:tcW w:w="8162" w:type="dxa"/>
          </w:tcPr>
          <w:p w14:paraId="40FE1D10" w14:textId="77777777" w:rsidR="008C20EB" w:rsidRDefault="008D25BE">
            <w:pPr>
              <w:pStyle w:val="TableParagraph"/>
              <w:numPr>
                <w:ilvl w:val="0"/>
                <w:numId w:val="152"/>
              </w:numPr>
              <w:tabs>
                <w:tab w:val="left" w:pos="361"/>
              </w:tabs>
              <w:ind w:right="64"/>
              <w:jc w:val="both"/>
            </w:pPr>
            <w:r>
              <w:t>Se incorpora en el capítulo II, en los rubros “Otros ingresos financieros” y “Otros gastos financieros”, ubicados dentro de la Forma B “Estado de Ganancias y Pérdidas”, las subcuentas 5109.21 y 4109.21</w:t>
            </w:r>
            <w:r>
              <w:rPr>
                <w:spacing w:val="-9"/>
              </w:rPr>
              <w:t xml:space="preserve"> </w:t>
            </w:r>
            <w:r>
              <w:t>respectivamente.</w:t>
            </w:r>
          </w:p>
          <w:p w14:paraId="40FE1D11" w14:textId="77777777" w:rsidR="008C20EB" w:rsidRDefault="008D25BE">
            <w:pPr>
              <w:pStyle w:val="TableParagraph"/>
              <w:numPr>
                <w:ilvl w:val="0"/>
                <w:numId w:val="152"/>
              </w:numPr>
              <w:tabs>
                <w:tab w:val="left" w:pos="361"/>
              </w:tabs>
              <w:spacing w:line="235" w:lineRule="auto"/>
              <w:ind w:right="58"/>
              <w:jc w:val="both"/>
            </w:pPr>
            <w:r>
              <w:t>Se elimina la cuenta 1407 “Créditos reprogramados Sismo”, así como las subcuentas 1407.01, 1407.03, 1407.04 y</w:t>
            </w:r>
            <w:r>
              <w:rPr>
                <w:spacing w:val="-11"/>
              </w:rPr>
              <w:t xml:space="preserve"> </w:t>
            </w:r>
            <w:r>
              <w:t>1407.05.</w:t>
            </w:r>
          </w:p>
          <w:p w14:paraId="40FE1D12" w14:textId="77777777" w:rsidR="008C20EB" w:rsidRDefault="008D25BE">
            <w:pPr>
              <w:pStyle w:val="TableParagraph"/>
              <w:numPr>
                <w:ilvl w:val="0"/>
                <w:numId w:val="152"/>
              </w:numPr>
              <w:tabs>
                <w:tab w:val="left" w:pos="361"/>
              </w:tabs>
              <w:ind w:right="68"/>
              <w:jc w:val="both"/>
            </w:pPr>
            <w:r>
              <w:t>Se incorpora segundo párrafo en la descripción de la subcuenta 8109.26 “Créditos Reprogramados</w:t>
            </w:r>
            <w:r>
              <w:rPr>
                <w:spacing w:val="-3"/>
              </w:rPr>
              <w:t xml:space="preserve"> </w:t>
            </w:r>
            <w:r>
              <w:t>Sismo”.</w:t>
            </w:r>
          </w:p>
          <w:p w14:paraId="40FE1D13" w14:textId="77777777" w:rsidR="008C20EB" w:rsidRDefault="008D25BE">
            <w:pPr>
              <w:pStyle w:val="TableParagraph"/>
              <w:numPr>
                <w:ilvl w:val="0"/>
                <w:numId w:val="152"/>
              </w:numPr>
              <w:tabs>
                <w:tab w:val="left" w:pos="361"/>
              </w:tabs>
              <w:ind w:right="63"/>
              <w:jc w:val="both"/>
            </w:pPr>
            <w:r>
              <w:t>Se incorpora cuentas analíticas en el rubro “Otros Créditos”, ubicado en la forma E del capítulo V del</w:t>
            </w:r>
            <w:r>
              <w:rPr>
                <w:spacing w:val="-9"/>
              </w:rPr>
              <w:t xml:space="preserve"> </w:t>
            </w:r>
            <w:r>
              <w:t>manual.</w:t>
            </w:r>
          </w:p>
          <w:p w14:paraId="40FE1D14" w14:textId="77777777" w:rsidR="008C20EB" w:rsidRDefault="008D25BE">
            <w:pPr>
              <w:pStyle w:val="TableParagraph"/>
              <w:numPr>
                <w:ilvl w:val="0"/>
                <w:numId w:val="152"/>
              </w:numPr>
              <w:tabs>
                <w:tab w:val="left" w:pos="361"/>
              </w:tabs>
              <w:spacing w:before="13" w:line="250" w:lineRule="exact"/>
              <w:ind w:right="61"/>
              <w:jc w:val="both"/>
            </w:pPr>
            <w:r>
              <w:t>Se incorpora en el anexo Nº 6 “Reporte Crediticio de Deudores- RCD” la subcuenta 8109.26 “Créditos Reprogramados</w:t>
            </w:r>
            <w:r>
              <w:rPr>
                <w:spacing w:val="-5"/>
              </w:rPr>
              <w:t xml:space="preserve"> </w:t>
            </w:r>
            <w:r>
              <w:t>Sismo”.</w:t>
            </w:r>
          </w:p>
        </w:tc>
      </w:tr>
      <w:tr w:rsidR="008C20EB" w14:paraId="40FE1D1F" w14:textId="77777777">
        <w:trPr>
          <w:trHeight w:val="1767"/>
        </w:trPr>
        <w:tc>
          <w:tcPr>
            <w:tcW w:w="1445" w:type="dxa"/>
          </w:tcPr>
          <w:p w14:paraId="40FE1D16" w14:textId="77777777" w:rsidR="008C20EB" w:rsidRDefault="008D25BE">
            <w:pPr>
              <w:pStyle w:val="TableParagraph"/>
              <w:spacing w:line="237" w:lineRule="auto"/>
              <w:ind w:left="71" w:right="42"/>
              <w:jc w:val="both"/>
              <w:rPr>
                <w:b/>
              </w:rPr>
            </w:pPr>
            <w:r>
              <w:rPr>
                <w:b/>
              </w:rPr>
              <w:t>Resolución SBS Nº 1169-</w:t>
            </w:r>
          </w:p>
          <w:p w14:paraId="40FE1D17" w14:textId="77777777" w:rsidR="008C20EB" w:rsidRDefault="008D25BE">
            <w:pPr>
              <w:pStyle w:val="TableParagraph"/>
              <w:ind w:left="71"/>
              <w:jc w:val="both"/>
              <w:rPr>
                <w:b/>
              </w:rPr>
            </w:pPr>
            <w:r>
              <w:rPr>
                <w:b/>
              </w:rPr>
              <w:t>2007</w:t>
            </w:r>
          </w:p>
        </w:tc>
        <w:tc>
          <w:tcPr>
            <w:tcW w:w="1733" w:type="dxa"/>
          </w:tcPr>
          <w:p w14:paraId="40FE1D18" w14:textId="77777777" w:rsidR="008C20EB" w:rsidRDefault="008D25BE">
            <w:pPr>
              <w:pStyle w:val="TableParagraph"/>
              <w:tabs>
                <w:tab w:val="left" w:pos="1606"/>
              </w:tabs>
              <w:spacing w:line="241" w:lineRule="exact"/>
              <w:jc w:val="both"/>
              <w:rPr>
                <w:b/>
              </w:rPr>
            </w:pPr>
            <w:r>
              <w:rPr>
                <w:b/>
              </w:rPr>
              <w:t xml:space="preserve">(Pr.  </w:t>
            </w:r>
            <w:r>
              <w:rPr>
                <w:b/>
                <w:spacing w:val="44"/>
              </w:rPr>
              <w:t xml:space="preserve"> </w:t>
            </w:r>
            <w:r>
              <w:rPr>
                <w:b/>
              </w:rPr>
              <w:t>22.08.2007</w:t>
            </w:r>
            <w:r>
              <w:rPr>
                <w:b/>
              </w:rPr>
              <w:tab/>
              <w:t>/</w:t>
            </w:r>
          </w:p>
          <w:p w14:paraId="40FE1D19" w14:textId="77777777" w:rsidR="008C20EB" w:rsidRDefault="008D25BE">
            <w:pPr>
              <w:pStyle w:val="TableParagraph"/>
              <w:spacing w:line="251" w:lineRule="exact"/>
              <w:jc w:val="both"/>
              <w:rPr>
                <w:b/>
              </w:rPr>
            </w:pPr>
            <w:r>
              <w:rPr>
                <w:b/>
              </w:rPr>
              <w:t>Pub. 23.08.2007)</w:t>
            </w:r>
          </w:p>
        </w:tc>
        <w:tc>
          <w:tcPr>
            <w:tcW w:w="3500" w:type="dxa"/>
          </w:tcPr>
          <w:p w14:paraId="40FE1D1A" w14:textId="77777777" w:rsidR="008C20EB" w:rsidRDefault="008D25BE">
            <w:pPr>
              <w:pStyle w:val="TableParagraph"/>
              <w:ind w:left="177" w:right="59"/>
              <w:jc w:val="both"/>
            </w:pPr>
            <w:r>
              <w:t>Modifica los capítulos III y IV del Manual de Contabilidad para las empresas del Sistema Financiero, los cuales entrarán en vigencia a partir de la información correspondiente al mes de septiembre de 2007.</w:t>
            </w:r>
          </w:p>
        </w:tc>
        <w:tc>
          <w:tcPr>
            <w:tcW w:w="8162" w:type="dxa"/>
          </w:tcPr>
          <w:p w14:paraId="40FE1D1B" w14:textId="77777777" w:rsidR="008C20EB" w:rsidRDefault="008D25BE">
            <w:pPr>
              <w:pStyle w:val="TableParagraph"/>
              <w:numPr>
                <w:ilvl w:val="0"/>
                <w:numId w:val="153"/>
              </w:numPr>
              <w:tabs>
                <w:tab w:val="left" w:pos="361"/>
              </w:tabs>
              <w:ind w:right="61"/>
              <w:jc w:val="both"/>
            </w:pPr>
            <w:r>
              <w:t>Se incorpora en la cuenta 14 “Créditos” las cuentas desde la 1407 hasta la 1407.05, debiendo incorporar cuentas analíticas a mayor detalle para identificar los tipos de</w:t>
            </w:r>
            <w:r>
              <w:rPr>
                <w:spacing w:val="-27"/>
              </w:rPr>
              <w:t xml:space="preserve"> </w:t>
            </w:r>
            <w:r>
              <w:t>créditos.</w:t>
            </w:r>
          </w:p>
          <w:p w14:paraId="40FE1D1C" w14:textId="77777777" w:rsidR="008C20EB" w:rsidRDefault="008D25BE">
            <w:pPr>
              <w:pStyle w:val="TableParagraph"/>
              <w:numPr>
                <w:ilvl w:val="0"/>
                <w:numId w:val="153"/>
              </w:numPr>
              <w:tabs>
                <w:tab w:val="left" w:pos="361"/>
              </w:tabs>
              <w:spacing w:line="266" w:lineRule="exact"/>
              <w:ind w:hanging="289"/>
              <w:jc w:val="both"/>
            </w:pPr>
            <w:r>
              <w:t>Se incorpora descripción de la cuenta 1407 “Créditos Reprogramados</w:t>
            </w:r>
            <w:r>
              <w:rPr>
                <w:spacing w:val="-28"/>
              </w:rPr>
              <w:t xml:space="preserve"> </w:t>
            </w:r>
            <w:r>
              <w:t>Sismo”.</w:t>
            </w:r>
          </w:p>
          <w:p w14:paraId="40FE1D1D" w14:textId="77777777" w:rsidR="008C20EB" w:rsidRDefault="008D25BE">
            <w:pPr>
              <w:pStyle w:val="TableParagraph"/>
              <w:numPr>
                <w:ilvl w:val="0"/>
                <w:numId w:val="153"/>
              </w:numPr>
              <w:tabs>
                <w:tab w:val="left" w:pos="361"/>
              </w:tabs>
              <w:ind w:right="60"/>
              <w:jc w:val="both"/>
            </w:pPr>
            <w:r>
              <w:t xml:space="preserve">Se incorpora en la cuenta 8109 </w:t>
            </w:r>
            <w:r>
              <w:rPr>
                <w:spacing w:val="-2"/>
              </w:rPr>
              <w:t xml:space="preserve">“Otras </w:t>
            </w:r>
            <w:r>
              <w:t>Cuentas de Orden Deudoras”, la subcuenta 8109.26 “Créditos Reprogramados</w:t>
            </w:r>
            <w:r>
              <w:rPr>
                <w:spacing w:val="-5"/>
              </w:rPr>
              <w:t xml:space="preserve"> </w:t>
            </w:r>
            <w:r>
              <w:t>Sismo”.</w:t>
            </w:r>
          </w:p>
          <w:p w14:paraId="40FE1D1E" w14:textId="77777777" w:rsidR="008C20EB" w:rsidRDefault="008D25BE">
            <w:pPr>
              <w:pStyle w:val="TableParagraph"/>
              <w:numPr>
                <w:ilvl w:val="0"/>
                <w:numId w:val="153"/>
              </w:numPr>
              <w:tabs>
                <w:tab w:val="left" w:pos="361"/>
              </w:tabs>
              <w:spacing w:line="266" w:lineRule="exact"/>
              <w:ind w:hanging="289"/>
              <w:jc w:val="both"/>
            </w:pPr>
            <w:r>
              <w:t>Se incorpora descripción de la subcuenta 8109.26 “Créditos Reprogramados</w:t>
            </w:r>
            <w:r>
              <w:rPr>
                <w:spacing w:val="-28"/>
              </w:rPr>
              <w:t xml:space="preserve"> </w:t>
            </w:r>
            <w:r>
              <w:t>Sismo”.</w:t>
            </w:r>
          </w:p>
        </w:tc>
      </w:tr>
      <w:tr w:rsidR="008C20EB" w14:paraId="40FE1D2B" w14:textId="77777777">
        <w:trPr>
          <w:trHeight w:val="2275"/>
        </w:trPr>
        <w:tc>
          <w:tcPr>
            <w:tcW w:w="1445" w:type="dxa"/>
          </w:tcPr>
          <w:p w14:paraId="40FE1D20" w14:textId="77777777" w:rsidR="008C20EB" w:rsidRDefault="008D25BE">
            <w:pPr>
              <w:pStyle w:val="TableParagraph"/>
              <w:ind w:left="71" w:right="48"/>
              <w:jc w:val="both"/>
              <w:rPr>
                <w:b/>
                <w:lang w:val="en-US"/>
              </w:rPr>
            </w:pPr>
            <w:r>
              <w:rPr>
                <w:b/>
                <w:lang w:val="en-US"/>
              </w:rPr>
              <w:t>Circular SBS NºB-2165-2007, F-0505-2007, CM- 0352-2007,</w:t>
            </w:r>
          </w:p>
          <w:p w14:paraId="40FE1D21" w14:textId="77777777" w:rsidR="008C20EB" w:rsidRDefault="008D25BE">
            <w:pPr>
              <w:pStyle w:val="TableParagraph"/>
              <w:ind w:left="71" w:right="48"/>
              <w:jc w:val="both"/>
              <w:rPr>
                <w:b/>
                <w:lang w:val="en-US"/>
              </w:rPr>
            </w:pPr>
            <w:r>
              <w:rPr>
                <w:b/>
                <w:lang w:val="en-US"/>
              </w:rPr>
              <w:t>CR- 0221-2007, EDPYME-</w:t>
            </w:r>
          </w:p>
          <w:p w14:paraId="40FE1D22" w14:textId="77777777" w:rsidR="008C20EB" w:rsidRDefault="008D25BE">
            <w:pPr>
              <w:pStyle w:val="TableParagraph"/>
              <w:spacing w:line="251" w:lineRule="exact"/>
              <w:ind w:left="71"/>
              <w:jc w:val="both"/>
              <w:rPr>
                <w:b/>
              </w:rPr>
            </w:pPr>
            <w:r>
              <w:rPr>
                <w:b/>
              </w:rPr>
              <w:t>0126-2007,</w:t>
            </w:r>
          </w:p>
          <w:p w14:paraId="40FE1D23" w14:textId="77777777" w:rsidR="008C20EB" w:rsidRDefault="008D25BE">
            <w:pPr>
              <w:pStyle w:val="TableParagraph"/>
              <w:spacing w:line="251" w:lineRule="exact"/>
              <w:ind w:left="71"/>
              <w:jc w:val="both"/>
              <w:rPr>
                <w:b/>
              </w:rPr>
            </w:pPr>
            <w:r>
              <w:rPr>
                <w:b/>
              </w:rPr>
              <w:t>EAH 0001-2007</w:t>
            </w:r>
          </w:p>
        </w:tc>
        <w:tc>
          <w:tcPr>
            <w:tcW w:w="1733" w:type="dxa"/>
          </w:tcPr>
          <w:p w14:paraId="40FE1D24" w14:textId="77777777" w:rsidR="008C20EB" w:rsidRDefault="008D25BE">
            <w:pPr>
              <w:pStyle w:val="TableParagraph"/>
              <w:tabs>
                <w:tab w:val="left" w:pos="1607"/>
              </w:tabs>
              <w:spacing w:line="242" w:lineRule="exact"/>
              <w:jc w:val="both"/>
              <w:rPr>
                <w:b/>
              </w:rPr>
            </w:pPr>
            <w:r>
              <w:rPr>
                <w:b/>
              </w:rPr>
              <w:t xml:space="preserve">(Pr.  </w:t>
            </w:r>
            <w:r>
              <w:rPr>
                <w:b/>
                <w:spacing w:val="45"/>
              </w:rPr>
              <w:t xml:space="preserve"> </w:t>
            </w:r>
            <w:r>
              <w:rPr>
                <w:b/>
              </w:rPr>
              <w:t>20.07.2007</w:t>
            </w:r>
            <w:r>
              <w:rPr>
                <w:b/>
              </w:rPr>
              <w:tab/>
              <w:t>/</w:t>
            </w:r>
          </w:p>
          <w:p w14:paraId="40FE1D25" w14:textId="77777777" w:rsidR="008C20EB" w:rsidRDefault="008D25BE">
            <w:pPr>
              <w:pStyle w:val="TableParagraph"/>
              <w:spacing w:before="2"/>
              <w:jc w:val="both"/>
              <w:rPr>
                <w:b/>
              </w:rPr>
            </w:pPr>
            <w:r>
              <w:rPr>
                <w:b/>
              </w:rPr>
              <w:t>Pub. 23.07.2007)</w:t>
            </w:r>
          </w:p>
        </w:tc>
        <w:tc>
          <w:tcPr>
            <w:tcW w:w="3500" w:type="dxa"/>
          </w:tcPr>
          <w:p w14:paraId="40FE1D26" w14:textId="77777777" w:rsidR="008C20EB" w:rsidRDefault="008D25BE">
            <w:pPr>
              <w:pStyle w:val="TableParagraph"/>
              <w:spacing w:line="242" w:lineRule="auto"/>
              <w:ind w:left="177" w:right="58"/>
              <w:jc w:val="both"/>
            </w:pPr>
            <w:r>
              <w:t>Modificación de los formatos de los Reportes 6-A, 6-B, 6-C, 6-D y 6-E</w:t>
            </w:r>
          </w:p>
          <w:p w14:paraId="40FE1D27" w14:textId="77777777" w:rsidR="008C20EB" w:rsidRDefault="008D25BE">
            <w:pPr>
              <w:pStyle w:val="TableParagraph"/>
              <w:ind w:left="177" w:right="65"/>
              <w:jc w:val="both"/>
            </w:pPr>
            <w:r>
              <w:t>referidas a las Tasas de Interés en Moneda Nacional y Extranjera, los cuales entrarán en vigencia a partir de la información correspondiente al 1 de octubre de</w:t>
            </w:r>
            <w:r>
              <w:rPr>
                <w:spacing w:val="-7"/>
              </w:rPr>
              <w:t xml:space="preserve"> </w:t>
            </w:r>
            <w:r>
              <w:t>2007</w:t>
            </w:r>
          </w:p>
        </w:tc>
        <w:tc>
          <w:tcPr>
            <w:tcW w:w="8162" w:type="dxa"/>
          </w:tcPr>
          <w:p w14:paraId="40FE1D28" w14:textId="77777777" w:rsidR="008C20EB" w:rsidRDefault="008D25BE">
            <w:pPr>
              <w:pStyle w:val="TableParagraph"/>
              <w:numPr>
                <w:ilvl w:val="0"/>
                <w:numId w:val="154"/>
              </w:numPr>
              <w:tabs>
                <w:tab w:val="left" w:pos="361"/>
              </w:tabs>
              <w:ind w:right="62"/>
              <w:jc w:val="both"/>
            </w:pPr>
            <w:r>
              <w:t>Menciona qué información debe tenerse en cuenta para la determinación de las tasas de interés señalados en dichos</w:t>
            </w:r>
            <w:r>
              <w:rPr>
                <w:spacing w:val="-8"/>
              </w:rPr>
              <w:t xml:space="preserve"> </w:t>
            </w:r>
            <w:r>
              <w:t>reportes.</w:t>
            </w:r>
          </w:p>
          <w:p w14:paraId="40FE1D29" w14:textId="77777777" w:rsidR="008C20EB" w:rsidRDefault="008D25BE">
            <w:pPr>
              <w:pStyle w:val="TableParagraph"/>
              <w:numPr>
                <w:ilvl w:val="0"/>
                <w:numId w:val="154"/>
              </w:numPr>
              <w:tabs>
                <w:tab w:val="left" w:pos="361"/>
              </w:tabs>
              <w:spacing w:line="235" w:lineRule="auto"/>
              <w:ind w:right="57"/>
              <w:jc w:val="both"/>
            </w:pPr>
            <w:r>
              <w:t xml:space="preserve">Precisa a los responsables de la elaboración y remisión para cada uno de los reportes Nº </w:t>
            </w:r>
            <w:r>
              <w:rPr>
                <w:spacing w:val="2"/>
              </w:rPr>
              <w:t xml:space="preserve">6-A, </w:t>
            </w:r>
            <w:r>
              <w:t>6-A, 6-A, 6-D y</w:t>
            </w:r>
            <w:r>
              <w:rPr>
                <w:spacing w:val="-16"/>
              </w:rPr>
              <w:t xml:space="preserve"> </w:t>
            </w:r>
            <w:r>
              <w:t>6-E.</w:t>
            </w:r>
          </w:p>
          <w:p w14:paraId="40FE1D2A" w14:textId="77777777" w:rsidR="008C20EB" w:rsidRDefault="008D25BE">
            <w:pPr>
              <w:pStyle w:val="TableParagraph"/>
              <w:numPr>
                <w:ilvl w:val="0"/>
                <w:numId w:val="154"/>
              </w:numPr>
              <w:tabs>
                <w:tab w:val="left" w:pos="361"/>
              </w:tabs>
              <w:spacing w:before="1" w:line="235" w:lineRule="auto"/>
              <w:ind w:right="61"/>
              <w:jc w:val="both"/>
            </w:pPr>
            <w:r>
              <w:t>Las empresas deberán remitir diariamente dichos reportes a través del Submódulo de Captura  y Validación Externa</w:t>
            </w:r>
            <w:r>
              <w:rPr>
                <w:spacing w:val="39"/>
              </w:rPr>
              <w:t xml:space="preserve"> </w:t>
            </w:r>
            <w:r>
              <w:t>(SUCAVE).</w:t>
            </w:r>
          </w:p>
        </w:tc>
      </w:tr>
      <w:tr w:rsidR="008C20EB" w14:paraId="40FE1D34" w14:textId="77777777">
        <w:trPr>
          <w:trHeight w:val="1056"/>
        </w:trPr>
        <w:tc>
          <w:tcPr>
            <w:tcW w:w="1445" w:type="dxa"/>
          </w:tcPr>
          <w:p w14:paraId="40FE1D2C" w14:textId="77777777" w:rsidR="008C20EB" w:rsidRDefault="008D25BE">
            <w:pPr>
              <w:pStyle w:val="TableParagraph"/>
              <w:spacing w:line="237" w:lineRule="auto"/>
              <w:ind w:left="71" w:right="42"/>
              <w:jc w:val="both"/>
              <w:rPr>
                <w:b/>
              </w:rPr>
            </w:pPr>
            <w:r>
              <w:rPr>
                <w:b/>
              </w:rPr>
              <w:t>Resolución SBS Nº 213-</w:t>
            </w:r>
          </w:p>
          <w:p w14:paraId="40FE1D2D" w14:textId="77777777" w:rsidR="008C20EB" w:rsidRDefault="008D25BE">
            <w:pPr>
              <w:pStyle w:val="TableParagraph"/>
              <w:ind w:left="71"/>
              <w:jc w:val="both"/>
              <w:rPr>
                <w:b/>
              </w:rPr>
            </w:pPr>
            <w:r>
              <w:rPr>
                <w:b/>
              </w:rPr>
              <w:t>2007</w:t>
            </w:r>
          </w:p>
        </w:tc>
        <w:tc>
          <w:tcPr>
            <w:tcW w:w="1733" w:type="dxa"/>
          </w:tcPr>
          <w:p w14:paraId="40FE1D2E" w14:textId="77777777" w:rsidR="008C20EB" w:rsidRDefault="008D25BE">
            <w:pPr>
              <w:pStyle w:val="TableParagraph"/>
              <w:spacing w:line="241" w:lineRule="exact"/>
              <w:jc w:val="both"/>
              <w:rPr>
                <w:b/>
              </w:rPr>
            </w:pPr>
            <w:r>
              <w:rPr>
                <w:b/>
              </w:rPr>
              <w:t>(Pr</w:t>
            </w:r>
            <w:r>
              <w:rPr>
                <w:b/>
                <w:position w:val="6"/>
                <w:sz w:val="14"/>
              </w:rPr>
              <w:t>1</w:t>
            </w:r>
            <w:r>
              <w:rPr>
                <w:b/>
              </w:rPr>
              <w:t>. 27.02.2007 /</w:t>
            </w:r>
          </w:p>
          <w:p w14:paraId="40FE1D2F" w14:textId="77777777" w:rsidR="008C20EB" w:rsidRDefault="008D25BE">
            <w:pPr>
              <w:pStyle w:val="TableParagraph"/>
              <w:spacing w:line="251" w:lineRule="exact"/>
              <w:jc w:val="both"/>
              <w:rPr>
                <w:b/>
              </w:rPr>
            </w:pPr>
            <w:r>
              <w:rPr>
                <w:b/>
              </w:rPr>
              <w:t>Pub</w:t>
            </w:r>
            <w:r>
              <w:rPr>
                <w:b/>
                <w:position w:val="6"/>
                <w:sz w:val="14"/>
              </w:rPr>
              <w:t xml:space="preserve">2 </w:t>
            </w:r>
            <w:r>
              <w:rPr>
                <w:b/>
              </w:rPr>
              <w:t>28.02.2007 )</w:t>
            </w:r>
          </w:p>
        </w:tc>
        <w:tc>
          <w:tcPr>
            <w:tcW w:w="3500" w:type="dxa"/>
          </w:tcPr>
          <w:p w14:paraId="40FE1D30" w14:textId="77777777" w:rsidR="008C20EB" w:rsidRDefault="008D25BE">
            <w:pPr>
              <w:pStyle w:val="TableParagraph"/>
              <w:ind w:left="67" w:right="64"/>
              <w:jc w:val="both"/>
            </w:pPr>
            <w:r>
              <w:t>Modifican el Capítulo I “Disposiciones Generales”, capítulo III “Catálogo de Cuentas” y el capítulo IV “Descripción y Dinámica de Cuentas” del Manual de</w:t>
            </w:r>
          </w:p>
        </w:tc>
        <w:tc>
          <w:tcPr>
            <w:tcW w:w="8162" w:type="dxa"/>
          </w:tcPr>
          <w:p w14:paraId="40FE1D31" w14:textId="77777777" w:rsidR="008C20EB" w:rsidRDefault="008D25BE">
            <w:pPr>
              <w:pStyle w:val="TableParagraph"/>
              <w:numPr>
                <w:ilvl w:val="0"/>
                <w:numId w:val="155"/>
              </w:numPr>
              <w:tabs>
                <w:tab w:val="left" w:pos="408"/>
                <w:tab w:val="left" w:pos="409"/>
              </w:tabs>
              <w:spacing w:line="256" w:lineRule="exact"/>
              <w:ind w:left="408" w:hanging="337"/>
              <w:jc w:val="both"/>
            </w:pPr>
            <w:r>
              <w:t>Se reemplaza el segundo párrafo del numeral 1 del literal</w:t>
            </w:r>
            <w:r>
              <w:rPr>
                <w:spacing w:val="-25"/>
              </w:rPr>
              <w:t xml:space="preserve"> </w:t>
            </w:r>
            <w:r>
              <w:t>B.</w:t>
            </w:r>
          </w:p>
          <w:p w14:paraId="40FE1D32" w14:textId="77777777" w:rsidR="008C20EB" w:rsidRDefault="008D25BE">
            <w:pPr>
              <w:pStyle w:val="TableParagraph"/>
              <w:numPr>
                <w:ilvl w:val="0"/>
                <w:numId w:val="155"/>
              </w:numPr>
              <w:tabs>
                <w:tab w:val="left" w:pos="408"/>
                <w:tab w:val="left" w:pos="409"/>
              </w:tabs>
              <w:ind w:right="70" w:hanging="288"/>
              <w:jc w:val="both"/>
            </w:pPr>
            <w:r>
              <w:tab/>
              <w:t>Se incorpora en el rubro 14 “Créditos”, las cuentas y subcuentas analíticas referidas a los rubros 1401, 1403, 1404, 1405 y 1406 con descripción “Créditos</w:t>
            </w:r>
            <w:r>
              <w:rPr>
                <w:spacing w:val="-34"/>
              </w:rPr>
              <w:t xml:space="preserve"> </w:t>
            </w:r>
            <w:r>
              <w:t>Inmobiliarios”.</w:t>
            </w:r>
          </w:p>
          <w:p w14:paraId="40FE1D33" w14:textId="77777777" w:rsidR="008C20EB" w:rsidRDefault="008D25BE">
            <w:pPr>
              <w:pStyle w:val="TableParagraph"/>
              <w:numPr>
                <w:ilvl w:val="0"/>
                <w:numId w:val="155"/>
              </w:numPr>
              <w:tabs>
                <w:tab w:val="left" w:pos="361"/>
              </w:tabs>
              <w:spacing w:line="260" w:lineRule="exact"/>
              <w:ind w:hanging="289"/>
              <w:jc w:val="both"/>
            </w:pPr>
            <w:r>
              <w:t>Se incorpora descripción en la cuenta analítica 1401.01.27 “Créditos</w:t>
            </w:r>
            <w:r>
              <w:rPr>
                <w:spacing w:val="-30"/>
              </w:rPr>
              <w:t xml:space="preserve"> </w:t>
            </w:r>
            <w:r>
              <w:t>Inmobiliarios”.</w:t>
            </w:r>
          </w:p>
        </w:tc>
      </w:tr>
    </w:tbl>
    <w:p w14:paraId="40FE1D35" w14:textId="77777777" w:rsidR="008C20EB" w:rsidRDefault="008D25BE">
      <w:pPr>
        <w:pStyle w:val="Textoindependiente"/>
        <w:spacing w:before="3"/>
        <w:jc w:val="both"/>
        <w:rPr>
          <w:rFonts w:ascii="Arial"/>
          <w:b/>
          <w:sz w:val="17"/>
        </w:rPr>
      </w:pPr>
      <w:r>
        <w:rPr>
          <w:noProof/>
          <w:lang w:val="es-PE" w:eastAsia="es-PE" w:bidi="ar-SA"/>
        </w:rPr>
        <mc:AlternateContent>
          <mc:Choice Requires="wps">
            <w:drawing>
              <wp:anchor distT="0" distB="0" distL="0" distR="0" simplePos="0" relativeHeight="251657216" behindDoc="1" locked="0" layoutInCell="1" allowOverlap="1" wp14:anchorId="40FE1D48" wp14:editId="40FE1D49">
                <wp:simplePos x="0" y="0"/>
                <wp:positionH relativeFrom="page">
                  <wp:posOffset>899160</wp:posOffset>
                </wp:positionH>
                <wp:positionV relativeFrom="paragraph">
                  <wp:posOffset>154940</wp:posOffset>
                </wp:positionV>
                <wp:extent cx="1829435" cy="0"/>
                <wp:effectExtent l="0" t="0" r="0" b="0"/>
                <wp:wrapTopAndBottom/>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401">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pt;margin-top:12.2pt;height:0pt;width:144.05pt;mso-position-horizontal-relative:page;mso-wrap-distance-bottom:0pt;mso-wrap-distance-top:0pt;z-index:-251657216;mso-width-relative:page;mso-height-relative:page;" filled="f" stroked="t" coordsize="21600,21600" o:gfxdata="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DLAbNMAAAAJAQAADwAAAAAAAAABACAAAAAiAAAAZHJz&#10;L2Rvd25yZXYueG1sUEsBAhQAFAAAAAgAh07iQOUX28bQAQAAqQMAAA4AAAAAAAAAAQAgAAAAIgEA&#10;AGRycy9lMm9Eb2MueG1sUEsFBgAAAAAGAAYAWQEAAGQFAAAAAA==&#10;">
                <v:fill on="f" focussize="0,0"/>
                <v:stroke weight="0.504015748031496pt" color="#000000" joinstyle="round"/>
                <v:imagedata o:title=""/>
                <o:lock v:ext="edit" aspectratio="f"/>
                <w10:wrap type="topAndBottom"/>
              </v:line>
            </w:pict>
          </mc:Fallback>
        </mc:AlternateContent>
      </w:r>
    </w:p>
    <w:p w14:paraId="40FE1D36" w14:textId="77777777" w:rsidR="008C20EB" w:rsidRDefault="008D25BE">
      <w:pPr>
        <w:pStyle w:val="Textoindependiente"/>
        <w:spacing w:before="70"/>
        <w:ind w:left="496"/>
        <w:jc w:val="both"/>
      </w:pPr>
      <w:r>
        <w:rPr>
          <w:position w:val="5"/>
          <w:sz w:val="13"/>
        </w:rPr>
        <w:t xml:space="preserve">1 </w:t>
      </w:r>
      <w:r>
        <w:t>Pr.: Fecha de promulgación de la resolución.</w:t>
      </w:r>
    </w:p>
    <w:p w14:paraId="40FE1D37" w14:textId="77777777" w:rsidR="008C20EB" w:rsidRDefault="008D25BE">
      <w:pPr>
        <w:pStyle w:val="Textoindependiente"/>
        <w:spacing w:before="1"/>
        <w:ind w:left="496"/>
        <w:jc w:val="both"/>
      </w:pPr>
      <w:r>
        <w:rPr>
          <w:position w:val="5"/>
          <w:sz w:val="13"/>
        </w:rPr>
        <w:t xml:space="preserve">2 </w:t>
      </w:r>
      <w:r>
        <w:t>Pub.: Fecha de publicación en el Diario Oficial El Peruano.</w:t>
      </w:r>
    </w:p>
    <w:p w14:paraId="40FE1D38" w14:textId="77777777" w:rsidR="008C20EB" w:rsidRDefault="008C20EB">
      <w:pPr>
        <w:jc w:val="both"/>
        <w:sectPr w:rsidR="008C20EB">
          <w:pgSz w:w="16840" w:h="11910" w:orient="landscape"/>
          <w:pgMar w:top="900" w:right="840" w:bottom="1120" w:left="920" w:header="0" w:footer="924"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33"/>
        <w:gridCol w:w="3500"/>
        <w:gridCol w:w="8162"/>
      </w:tblGrid>
      <w:tr w:rsidR="008C20EB" w14:paraId="40FE1D3D" w14:textId="77777777">
        <w:trPr>
          <w:trHeight w:val="254"/>
        </w:trPr>
        <w:tc>
          <w:tcPr>
            <w:tcW w:w="1445" w:type="dxa"/>
            <w:vAlign w:val="bottom"/>
          </w:tcPr>
          <w:p w14:paraId="40FE1D39" w14:textId="77777777" w:rsidR="008C20EB" w:rsidRDefault="008D25BE">
            <w:pPr>
              <w:pStyle w:val="TableParagraph"/>
              <w:spacing w:line="234" w:lineRule="exact"/>
              <w:ind w:left="383"/>
              <w:jc w:val="both"/>
              <w:rPr>
                <w:b/>
              </w:rPr>
            </w:pPr>
            <w:r>
              <w:rPr>
                <w:b/>
              </w:rPr>
              <w:lastRenderedPageBreak/>
              <w:t>NORMA</w:t>
            </w:r>
          </w:p>
        </w:tc>
        <w:tc>
          <w:tcPr>
            <w:tcW w:w="1733" w:type="dxa"/>
            <w:vAlign w:val="bottom"/>
          </w:tcPr>
          <w:p w14:paraId="40FE1D3A" w14:textId="77777777" w:rsidR="008C20EB" w:rsidRDefault="008D25BE">
            <w:pPr>
              <w:pStyle w:val="TableParagraph"/>
              <w:spacing w:line="234" w:lineRule="exact"/>
              <w:ind w:left="556"/>
              <w:jc w:val="both"/>
              <w:rPr>
                <w:b/>
              </w:rPr>
            </w:pPr>
            <w:r>
              <w:rPr>
                <w:b/>
              </w:rPr>
              <w:t>FECHA</w:t>
            </w:r>
          </w:p>
        </w:tc>
        <w:tc>
          <w:tcPr>
            <w:tcW w:w="3500" w:type="dxa"/>
            <w:vAlign w:val="bottom"/>
          </w:tcPr>
          <w:p w14:paraId="40FE1D3B" w14:textId="77777777" w:rsidR="008C20EB" w:rsidRDefault="008D25BE">
            <w:pPr>
              <w:pStyle w:val="TableParagraph"/>
              <w:spacing w:line="234" w:lineRule="exact"/>
              <w:ind w:left="1118"/>
              <w:jc w:val="both"/>
              <w:rPr>
                <w:b/>
              </w:rPr>
            </w:pPr>
            <w:r>
              <w:rPr>
                <w:b/>
              </w:rPr>
              <w:t>DESCRIPCIÓN</w:t>
            </w:r>
          </w:p>
        </w:tc>
        <w:tc>
          <w:tcPr>
            <w:tcW w:w="8162" w:type="dxa"/>
            <w:vAlign w:val="bottom"/>
          </w:tcPr>
          <w:p w14:paraId="40FE1D3C" w14:textId="77777777" w:rsidR="008C20EB" w:rsidRDefault="008D25BE">
            <w:pPr>
              <w:pStyle w:val="TableParagraph"/>
              <w:spacing w:line="234" w:lineRule="exact"/>
              <w:ind w:left="3271" w:right="3265"/>
              <w:jc w:val="both"/>
              <w:rPr>
                <w:b/>
              </w:rPr>
            </w:pPr>
            <w:r>
              <w:rPr>
                <w:b/>
              </w:rPr>
              <w:t>MODIFICATORIAS</w:t>
            </w:r>
          </w:p>
        </w:tc>
      </w:tr>
      <w:tr w:rsidR="008C20EB" w14:paraId="40FE1D44" w14:textId="77777777">
        <w:trPr>
          <w:trHeight w:val="1262"/>
        </w:trPr>
        <w:tc>
          <w:tcPr>
            <w:tcW w:w="1445" w:type="dxa"/>
          </w:tcPr>
          <w:p w14:paraId="40FE1D3E" w14:textId="77777777" w:rsidR="008C20EB" w:rsidRDefault="008C20EB">
            <w:pPr>
              <w:pStyle w:val="TableParagraph"/>
              <w:jc w:val="both"/>
              <w:rPr>
                <w:rFonts w:ascii="Times New Roman"/>
              </w:rPr>
            </w:pPr>
          </w:p>
        </w:tc>
        <w:tc>
          <w:tcPr>
            <w:tcW w:w="1733" w:type="dxa"/>
          </w:tcPr>
          <w:p w14:paraId="40FE1D3F" w14:textId="77777777" w:rsidR="008C20EB" w:rsidRDefault="008C20EB">
            <w:pPr>
              <w:pStyle w:val="TableParagraph"/>
              <w:jc w:val="both"/>
              <w:rPr>
                <w:rFonts w:ascii="Times New Roman"/>
              </w:rPr>
            </w:pPr>
          </w:p>
        </w:tc>
        <w:tc>
          <w:tcPr>
            <w:tcW w:w="3500" w:type="dxa"/>
          </w:tcPr>
          <w:p w14:paraId="40FE1D40" w14:textId="77777777" w:rsidR="008C20EB" w:rsidRDefault="008D25BE">
            <w:pPr>
              <w:pStyle w:val="TableParagraph"/>
              <w:ind w:left="67" w:right="60"/>
              <w:jc w:val="both"/>
            </w:pPr>
            <w:r>
              <w:t>Contabilidad para las empresas del Sistema Financiero, los cuales entrarán en vigencia a partir de la información correspondiente al mes de marzo de</w:t>
            </w:r>
          </w:p>
          <w:p w14:paraId="40FE1D41" w14:textId="77777777" w:rsidR="008C20EB" w:rsidRDefault="008D25BE">
            <w:pPr>
              <w:pStyle w:val="TableParagraph"/>
              <w:spacing w:line="244" w:lineRule="exact"/>
              <w:ind w:left="67"/>
              <w:jc w:val="both"/>
            </w:pPr>
            <w:r>
              <w:t>2007.</w:t>
            </w:r>
          </w:p>
        </w:tc>
        <w:tc>
          <w:tcPr>
            <w:tcW w:w="8162" w:type="dxa"/>
          </w:tcPr>
          <w:p w14:paraId="40FE1D42" w14:textId="77777777" w:rsidR="008C20EB" w:rsidRDefault="008D25BE">
            <w:pPr>
              <w:pStyle w:val="TableParagraph"/>
              <w:numPr>
                <w:ilvl w:val="0"/>
                <w:numId w:val="156"/>
              </w:numPr>
              <w:tabs>
                <w:tab w:val="left" w:pos="408"/>
                <w:tab w:val="left" w:pos="409"/>
              </w:tabs>
              <w:spacing w:line="258" w:lineRule="exact"/>
              <w:ind w:left="408" w:hanging="337"/>
              <w:jc w:val="both"/>
            </w:pPr>
            <w:r>
              <w:t>Se</w:t>
            </w:r>
            <w:r>
              <w:rPr>
                <w:spacing w:val="-5"/>
              </w:rPr>
              <w:t xml:space="preserve"> </w:t>
            </w:r>
            <w:r>
              <w:t>reemplaza</w:t>
            </w:r>
            <w:r>
              <w:rPr>
                <w:spacing w:val="-5"/>
              </w:rPr>
              <w:t xml:space="preserve"> </w:t>
            </w:r>
            <w:r>
              <w:t>la</w:t>
            </w:r>
            <w:r>
              <w:rPr>
                <w:spacing w:val="-5"/>
              </w:rPr>
              <w:t xml:space="preserve"> </w:t>
            </w:r>
            <w:r>
              <w:t>descripción</w:t>
            </w:r>
            <w:r>
              <w:rPr>
                <w:spacing w:val="-5"/>
              </w:rPr>
              <w:t xml:space="preserve"> </w:t>
            </w:r>
            <w:r>
              <w:t>de la</w:t>
            </w:r>
            <w:r>
              <w:rPr>
                <w:spacing w:val="-5"/>
              </w:rPr>
              <w:t xml:space="preserve"> </w:t>
            </w:r>
            <w:r>
              <w:t>subcuenta</w:t>
            </w:r>
            <w:r>
              <w:rPr>
                <w:spacing w:val="-5"/>
              </w:rPr>
              <w:t xml:space="preserve"> </w:t>
            </w:r>
            <w:r>
              <w:t>1401.04 “Créditos</w:t>
            </w:r>
            <w:r>
              <w:rPr>
                <w:spacing w:val="-4"/>
              </w:rPr>
              <w:t xml:space="preserve"> </w:t>
            </w:r>
            <w:r>
              <w:t>Hipotecarios</w:t>
            </w:r>
            <w:r>
              <w:rPr>
                <w:spacing w:val="-4"/>
              </w:rPr>
              <w:t xml:space="preserve"> </w:t>
            </w:r>
            <w:r>
              <w:t>para</w:t>
            </w:r>
            <w:r>
              <w:rPr>
                <w:spacing w:val="-4"/>
              </w:rPr>
              <w:t xml:space="preserve"> </w:t>
            </w:r>
            <w:r>
              <w:t>Vivienda”.</w:t>
            </w:r>
          </w:p>
          <w:p w14:paraId="40FE1D43" w14:textId="77777777" w:rsidR="008C20EB" w:rsidRDefault="008D25BE">
            <w:pPr>
              <w:pStyle w:val="TableParagraph"/>
              <w:numPr>
                <w:ilvl w:val="0"/>
                <w:numId w:val="156"/>
              </w:numPr>
              <w:tabs>
                <w:tab w:val="left" w:pos="408"/>
                <w:tab w:val="left" w:pos="409"/>
              </w:tabs>
              <w:spacing w:before="4" w:line="235" w:lineRule="auto"/>
              <w:ind w:right="67" w:hanging="288"/>
              <w:jc w:val="both"/>
            </w:pPr>
            <w:r>
              <w:tab/>
            </w:r>
            <w:r>
              <w:t>Se incorpora en la cuenta 5104 “Intereses por Créditos” las subcuentas analíticas desde la 5104.01.01.27 hasta la</w:t>
            </w:r>
            <w:r>
              <w:rPr>
                <w:spacing w:val="-5"/>
              </w:rPr>
              <w:t xml:space="preserve"> </w:t>
            </w:r>
            <w:r>
              <w:t>5104.01.03.27.</w:t>
            </w:r>
          </w:p>
        </w:tc>
      </w:tr>
    </w:tbl>
    <w:p w14:paraId="40FE1D45" w14:textId="77777777" w:rsidR="008C20EB" w:rsidRDefault="008C20EB">
      <w:pPr>
        <w:jc w:val="both"/>
      </w:pPr>
    </w:p>
    <w:sectPr w:rsidR="008C20EB">
      <w:pgSz w:w="16840" w:h="11910" w:orient="landscape"/>
      <w:pgMar w:top="900" w:right="840" w:bottom="1120" w:left="92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1D4F" w14:textId="77777777" w:rsidR="008D25BE" w:rsidRDefault="008D25BE">
      <w:r>
        <w:separator/>
      </w:r>
    </w:p>
  </w:endnote>
  <w:endnote w:type="continuationSeparator" w:id="0">
    <w:p w14:paraId="40FE1D51" w14:textId="77777777" w:rsidR="008D25BE" w:rsidRDefault="008D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sig w:usb0="00000000" w:usb1="00000000" w:usb2="00000000" w:usb3="00000000" w:csb0="00000001" w:csb1="00000000"/>
  </w:font>
  <w:font w:name="ArialNarrow-Bold">
    <w:altName w:val="Arial"/>
    <w:charset w:val="00"/>
    <w:family w:val="swiss"/>
    <w:pitch w:val="default"/>
    <w:sig w:usb0="00000000" w:usb1="00000000" w:usb2="00000000" w:usb3="00000000" w:csb0="00000001" w:csb1="00000000"/>
  </w:font>
  <w:font w:name="ArialNarrow">
    <w:altName w:val="Segoe Print"/>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1D4A" w14:textId="77777777" w:rsidR="008C20EB" w:rsidRDefault="008D25BE">
    <w:pPr>
      <w:pStyle w:val="Textoindependiente"/>
      <w:spacing w:line="14" w:lineRule="auto"/>
    </w:pPr>
    <w:r>
      <w:rPr>
        <w:noProof/>
        <w:lang w:val="es-PE" w:eastAsia="es-PE" w:bidi="ar-SA"/>
      </w:rPr>
      <mc:AlternateContent>
        <mc:Choice Requires="wps">
          <w:drawing>
            <wp:anchor distT="0" distB="0" distL="114300" distR="114300" simplePos="0" relativeHeight="251659264" behindDoc="1" locked="0" layoutInCell="1" allowOverlap="1" wp14:anchorId="40FE1D4B" wp14:editId="40FE1D4C">
              <wp:simplePos x="0" y="0"/>
              <wp:positionH relativeFrom="page">
                <wp:posOffset>9611995</wp:posOffset>
              </wp:positionH>
              <wp:positionV relativeFrom="page">
                <wp:posOffset>6781800</wp:posOffset>
              </wp:positionV>
              <wp:extent cx="209550" cy="18224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2245"/>
                      </a:xfrm>
                      <a:prstGeom prst="rect">
                        <a:avLst/>
                      </a:prstGeom>
                      <a:noFill/>
                      <a:ln>
                        <a:noFill/>
                      </a:ln>
                    </wps:spPr>
                    <wps:txbx>
                      <w:txbxContent>
                        <w:p w14:paraId="40FE1D66" w14:textId="77777777" w:rsidR="008C20EB" w:rsidRDefault="008D25BE">
                          <w:pPr>
                            <w:spacing w:before="13"/>
                            <w:ind w:left="40"/>
                            <w:rPr>
                              <w:rFonts w:ascii="Arial"/>
                            </w:rPr>
                          </w:pPr>
                          <w:r>
                            <w:fldChar w:fldCharType="begin"/>
                          </w:r>
                          <w:r>
                            <w:rPr>
                              <w:rFonts w:ascii="Arial"/>
                            </w:rPr>
                            <w:instrText xml:space="preserve"> PAGE </w:instrText>
                          </w:r>
                          <w:r>
                            <w:fldChar w:fldCharType="separate"/>
                          </w:r>
                          <w:r>
                            <w:rPr>
                              <w:rFonts w:ascii="Arial"/>
                            </w:rPr>
                            <w:t>1</w:t>
                          </w:r>
                          <w:r>
                            <w:fldChar w:fldCharType="end"/>
                          </w:r>
                        </w:p>
                      </w:txbxContent>
                    </wps:txbx>
                    <wps:bodyPr rot="0" vert="horz" wrap="square" lIns="0" tIns="0" rIns="0" bIns="0" anchor="t" anchorCtr="0" upright="1">
                      <a:noAutofit/>
                    </wps:bodyPr>
                  </wps:wsp>
                </a:graphicData>
              </a:graphic>
            </wp:anchor>
          </w:drawing>
        </mc:Choice>
        <mc:Fallback>
          <w:pict>
            <v:shapetype w14:anchorId="40FE1D4B" id="_x0000_t202" coordsize="21600,21600" o:spt="202" path="m,l,21600r21600,l21600,xe">
              <v:stroke joinstyle="miter"/>
              <v:path gradientshapeok="t" o:connecttype="rect"/>
            </v:shapetype>
            <v:shape id="Cuadro de texto 1" o:spid="_x0000_s1027" type="#_x0000_t202" style="position:absolute;margin-left:756.85pt;margin-top:534pt;width:16.5pt;height:14.3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" filled="f" stroked="f">
              <v:textbox inset="0,0,0,0">
                <w:txbxContent>
                  <w:p w14:paraId="40FE1D66" w14:textId="77777777" w:rsidR="008C20EB" w:rsidRDefault="008D25BE">
                    <w:pPr>
                      <w:spacing w:before="13"/>
                      <w:ind w:left="40"/>
                      <w:rPr>
                        <w:rFonts w:ascii="Arial"/>
                      </w:rPr>
                    </w:pPr>
                    <w:r>
                      <w:fldChar w:fldCharType="begin"/>
                    </w:r>
                    <w:r>
                      <w:rPr>
                        <w:rFonts w:ascii="Arial"/>
                      </w:rPr>
                      <w:instrText xml:space="preserve"> PAGE </w:instrText>
                    </w:r>
                    <w:r>
                      <w:fldChar w:fldCharType="separate"/>
                    </w:r>
                    <w:r>
                      <w:rPr>
                        <w:rFonts w:ascii="Arial"/>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1D4B" w14:textId="77777777" w:rsidR="008D25BE" w:rsidRDefault="008D25BE">
      <w:r>
        <w:separator/>
      </w:r>
    </w:p>
  </w:footnote>
  <w:footnote w:type="continuationSeparator" w:id="0">
    <w:p w14:paraId="40FE1D4D" w14:textId="77777777" w:rsidR="008D25BE" w:rsidRDefault="008D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762"/>
    <w:multiLevelType w:val="multilevel"/>
    <w:tmpl w:val="01F6576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 w15:restartNumberingAfterBreak="0">
    <w:nsid w:val="02C31C11"/>
    <w:multiLevelType w:val="multilevel"/>
    <w:tmpl w:val="02C31C11"/>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2" w15:restartNumberingAfterBreak="0">
    <w:nsid w:val="02E07D0D"/>
    <w:multiLevelType w:val="multilevel"/>
    <w:tmpl w:val="02E07D0D"/>
    <w:lvl w:ilvl="0">
      <w:numFmt w:val="bullet"/>
      <w:lvlText w:val=""/>
      <w:lvlJc w:val="left"/>
      <w:pPr>
        <w:ind w:left="360" w:hanging="288"/>
      </w:pPr>
      <w:rPr>
        <w:rFonts w:ascii="Symbol" w:eastAsia="Symbol" w:hAnsi="Symbol" w:cs="Symbol" w:hint="default"/>
        <w:w w:val="100"/>
        <w:sz w:val="22"/>
        <w:szCs w:val="22"/>
        <w:lang w:val="es-ES" w:eastAsia="es-ES" w:bidi="es-ES"/>
      </w:rPr>
    </w:lvl>
    <w:lvl w:ilvl="1">
      <w:start w:val="1"/>
      <w:numFmt w:val="decimal"/>
      <w:lvlText w:val="%2."/>
      <w:lvlJc w:val="left"/>
      <w:pPr>
        <w:ind w:left="811" w:hanging="308"/>
      </w:pPr>
      <w:rPr>
        <w:rFonts w:ascii="Arial Narrow" w:eastAsia="Arial Narrow" w:hAnsi="Arial Narrow" w:cs="Arial Narrow" w:hint="default"/>
        <w:w w:val="100"/>
        <w:sz w:val="22"/>
        <w:szCs w:val="22"/>
        <w:lang w:val="es-ES" w:eastAsia="es-ES" w:bidi="es-ES"/>
      </w:rPr>
    </w:lvl>
    <w:lvl w:ilvl="2">
      <w:numFmt w:val="bullet"/>
      <w:lvlText w:val="•"/>
      <w:lvlJc w:val="left"/>
      <w:pPr>
        <w:ind w:left="1634" w:hanging="308"/>
      </w:pPr>
      <w:rPr>
        <w:rFonts w:hint="default"/>
        <w:lang w:val="es-ES" w:eastAsia="es-ES" w:bidi="es-ES"/>
      </w:rPr>
    </w:lvl>
    <w:lvl w:ilvl="3">
      <w:numFmt w:val="bullet"/>
      <w:lvlText w:val="•"/>
      <w:lvlJc w:val="left"/>
      <w:pPr>
        <w:ind w:left="2449" w:hanging="308"/>
      </w:pPr>
      <w:rPr>
        <w:rFonts w:hint="default"/>
        <w:lang w:val="es-ES" w:eastAsia="es-ES" w:bidi="es-ES"/>
      </w:rPr>
    </w:lvl>
    <w:lvl w:ilvl="4">
      <w:numFmt w:val="bullet"/>
      <w:lvlText w:val="•"/>
      <w:lvlJc w:val="left"/>
      <w:pPr>
        <w:ind w:left="3264" w:hanging="308"/>
      </w:pPr>
      <w:rPr>
        <w:rFonts w:hint="default"/>
        <w:lang w:val="es-ES" w:eastAsia="es-ES" w:bidi="es-ES"/>
      </w:rPr>
    </w:lvl>
    <w:lvl w:ilvl="5">
      <w:numFmt w:val="bullet"/>
      <w:lvlText w:val="•"/>
      <w:lvlJc w:val="left"/>
      <w:pPr>
        <w:ind w:left="4078" w:hanging="308"/>
      </w:pPr>
      <w:rPr>
        <w:rFonts w:hint="default"/>
        <w:lang w:val="es-ES" w:eastAsia="es-ES" w:bidi="es-ES"/>
      </w:rPr>
    </w:lvl>
    <w:lvl w:ilvl="6">
      <w:numFmt w:val="bullet"/>
      <w:lvlText w:val="•"/>
      <w:lvlJc w:val="left"/>
      <w:pPr>
        <w:ind w:left="4893" w:hanging="308"/>
      </w:pPr>
      <w:rPr>
        <w:rFonts w:hint="default"/>
        <w:lang w:val="es-ES" w:eastAsia="es-ES" w:bidi="es-ES"/>
      </w:rPr>
    </w:lvl>
    <w:lvl w:ilvl="7">
      <w:numFmt w:val="bullet"/>
      <w:lvlText w:val="•"/>
      <w:lvlJc w:val="left"/>
      <w:pPr>
        <w:ind w:left="5708" w:hanging="308"/>
      </w:pPr>
      <w:rPr>
        <w:rFonts w:hint="default"/>
        <w:lang w:val="es-ES" w:eastAsia="es-ES" w:bidi="es-ES"/>
      </w:rPr>
    </w:lvl>
    <w:lvl w:ilvl="8">
      <w:numFmt w:val="bullet"/>
      <w:lvlText w:val="•"/>
      <w:lvlJc w:val="left"/>
      <w:pPr>
        <w:ind w:left="6522" w:hanging="308"/>
      </w:pPr>
      <w:rPr>
        <w:rFonts w:hint="default"/>
        <w:lang w:val="es-ES" w:eastAsia="es-ES" w:bidi="es-ES"/>
      </w:rPr>
    </w:lvl>
  </w:abstractNum>
  <w:abstractNum w:abstractNumId="3" w15:restartNumberingAfterBreak="0">
    <w:nsid w:val="04706E4E"/>
    <w:multiLevelType w:val="multilevel"/>
    <w:tmpl w:val="04706E4E"/>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4" w15:restartNumberingAfterBreak="0">
    <w:nsid w:val="05926576"/>
    <w:multiLevelType w:val="multilevel"/>
    <w:tmpl w:val="05926576"/>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5" w15:restartNumberingAfterBreak="0">
    <w:nsid w:val="07102772"/>
    <w:multiLevelType w:val="multilevel"/>
    <w:tmpl w:val="0710277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6" w15:restartNumberingAfterBreak="0">
    <w:nsid w:val="07B54FBB"/>
    <w:multiLevelType w:val="multilevel"/>
    <w:tmpl w:val="07B54FBB"/>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75202A"/>
    <w:multiLevelType w:val="multilevel"/>
    <w:tmpl w:val="0875202A"/>
    <w:lvl w:ilvl="0">
      <w:numFmt w:val="bullet"/>
      <w:lvlText w:val=""/>
      <w:lvlJc w:val="left"/>
      <w:pPr>
        <w:ind w:left="359"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8" w15:restartNumberingAfterBreak="0">
    <w:nsid w:val="087C1ED0"/>
    <w:multiLevelType w:val="multilevel"/>
    <w:tmpl w:val="087C1ED0"/>
    <w:lvl w:ilvl="0">
      <w:numFmt w:val="bullet"/>
      <w:lvlText w:val=""/>
      <w:lvlJc w:val="left"/>
      <w:pPr>
        <w:ind w:left="360" w:hanging="288"/>
      </w:pPr>
      <w:rPr>
        <w:rFonts w:ascii="Symbol" w:eastAsia="Symbol" w:hAnsi="Symbol" w:cs="Symbol" w:hint="default"/>
        <w:w w:val="100"/>
        <w:sz w:val="22"/>
        <w:szCs w:val="22"/>
        <w:lang w:val="es-ES" w:eastAsia="es-ES" w:bidi="es-ES"/>
      </w:rPr>
    </w:lvl>
    <w:lvl w:ilvl="1">
      <w:start w:val="11"/>
      <w:numFmt w:val="decimal"/>
      <w:lvlText w:val="%2"/>
      <w:lvlJc w:val="left"/>
      <w:pPr>
        <w:ind w:left="778" w:hanging="418"/>
      </w:pPr>
      <w:rPr>
        <w:rFonts w:ascii="Arial Narrow" w:eastAsia="Arial Narrow" w:hAnsi="Arial Narrow" w:cs="Arial Narrow" w:hint="default"/>
        <w:w w:val="100"/>
        <w:sz w:val="22"/>
        <w:szCs w:val="22"/>
        <w:lang w:val="es-ES" w:eastAsia="es-ES" w:bidi="es-ES"/>
      </w:rPr>
    </w:lvl>
    <w:lvl w:ilvl="2">
      <w:numFmt w:val="bullet"/>
      <w:lvlText w:val="•"/>
      <w:lvlJc w:val="left"/>
      <w:pPr>
        <w:ind w:left="1599" w:hanging="418"/>
      </w:pPr>
      <w:rPr>
        <w:rFonts w:hint="default"/>
        <w:lang w:val="es-ES" w:eastAsia="es-ES" w:bidi="es-ES"/>
      </w:rPr>
    </w:lvl>
    <w:lvl w:ilvl="3">
      <w:numFmt w:val="bullet"/>
      <w:lvlText w:val="•"/>
      <w:lvlJc w:val="left"/>
      <w:pPr>
        <w:ind w:left="2418" w:hanging="418"/>
      </w:pPr>
      <w:rPr>
        <w:rFonts w:hint="default"/>
        <w:lang w:val="es-ES" w:eastAsia="es-ES" w:bidi="es-ES"/>
      </w:rPr>
    </w:lvl>
    <w:lvl w:ilvl="4">
      <w:numFmt w:val="bullet"/>
      <w:lvlText w:val="•"/>
      <w:lvlJc w:val="left"/>
      <w:pPr>
        <w:ind w:left="3237" w:hanging="418"/>
      </w:pPr>
      <w:rPr>
        <w:rFonts w:hint="default"/>
        <w:lang w:val="es-ES" w:eastAsia="es-ES" w:bidi="es-ES"/>
      </w:rPr>
    </w:lvl>
    <w:lvl w:ilvl="5">
      <w:numFmt w:val="bullet"/>
      <w:lvlText w:val="•"/>
      <w:lvlJc w:val="left"/>
      <w:pPr>
        <w:ind w:left="4056" w:hanging="418"/>
      </w:pPr>
      <w:rPr>
        <w:rFonts w:hint="default"/>
        <w:lang w:val="es-ES" w:eastAsia="es-ES" w:bidi="es-ES"/>
      </w:rPr>
    </w:lvl>
    <w:lvl w:ilvl="6">
      <w:numFmt w:val="bullet"/>
      <w:lvlText w:val="•"/>
      <w:lvlJc w:val="left"/>
      <w:pPr>
        <w:ind w:left="4875" w:hanging="418"/>
      </w:pPr>
      <w:rPr>
        <w:rFonts w:hint="default"/>
        <w:lang w:val="es-ES" w:eastAsia="es-ES" w:bidi="es-ES"/>
      </w:rPr>
    </w:lvl>
    <w:lvl w:ilvl="7">
      <w:numFmt w:val="bullet"/>
      <w:lvlText w:val="•"/>
      <w:lvlJc w:val="left"/>
      <w:pPr>
        <w:ind w:left="5694" w:hanging="418"/>
      </w:pPr>
      <w:rPr>
        <w:rFonts w:hint="default"/>
        <w:lang w:val="es-ES" w:eastAsia="es-ES" w:bidi="es-ES"/>
      </w:rPr>
    </w:lvl>
    <w:lvl w:ilvl="8">
      <w:numFmt w:val="bullet"/>
      <w:lvlText w:val="•"/>
      <w:lvlJc w:val="left"/>
      <w:pPr>
        <w:ind w:left="6513" w:hanging="418"/>
      </w:pPr>
      <w:rPr>
        <w:rFonts w:hint="default"/>
        <w:lang w:val="es-ES" w:eastAsia="es-ES" w:bidi="es-ES"/>
      </w:rPr>
    </w:lvl>
  </w:abstractNum>
  <w:abstractNum w:abstractNumId="9" w15:restartNumberingAfterBreak="0">
    <w:nsid w:val="08CE7D91"/>
    <w:multiLevelType w:val="multilevel"/>
    <w:tmpl w:val="08CE7D91"/>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10" w15:restartNumberingAfterBreak="0">
    <w:nsid w:val="094D08E2"/>
    <w:multiLevelType w:val="multilevel"/>
    <w:tmpl w:val="094D08E2"/>
    <w:lvl w:ilvl="0">
      <w:numFmt w:val="bullet"/>
      <w:lvlText w:val=""/>
      <w:lvlJc w:val="left"/>
      <w:pPr>
        <w:ind w:left="370" w:hanging="341"/>
      </w:pPr>
      <w:rPr>
        <w:rFonts w:ascii="Symbol" w:eastAsia="Symbol" w:hAnsi="Symbol" w:cs="Symbol" w:hint="default"/>
        <w:w w:val="100"/>
        <w:sz w:val="22"/>
        <w:szCs w:val="22"/>
        <w:lang w:val="es-ES" w:eastAsia="es-ES" w:bidi="es-ES"/>
      </w:rPr>
    </w:lvl>
    <w:lvl w:ilvl="1">
      <w:numFmt w:val="bullet"/>
      <w:lvlText w:val=""/>
      <w:lvlJc w:val="left"/>
      <w:pPr>
        <w:ind w:left="1488" w:hanging="696"/>
      </w:pPr>
      <w:rPr>
        <w:rFonts w:ascii="Symbol" w:eastAsia="Symbol" w:hAnsi="Symbol" w:cs="Symbol" w:hint="default"/>
        <w:w w:val="100"/>
        <w:sz w:val="22"/>
        <w:szCs w:val="22"/>
        <w:lang w:val="es-ES" w:eastAsia="es-ES" w:bidi="es-ES"/>
      </w:rPr>
    </w:lvl>
    <w:lvl w:ilvl="2">
      <w:numFmt w:val="bullet"/>
      <w:lvlText w:val="•"/>
      <w:lvlJc w:val="left"/>
      <w:pPr>
        <w:ind w:left="2221" w:hanging="696"/>
      </w:pPr>
      <w:rPr>
        <w:rFonts w:hint="default"/>
        <w:lang w:val="es-ES" w:eastAsia="es-ES" w:bidi="es-ES"/>
      </w:rPr>
    </w:lvl>
    <w:lvl w:ilvl="3">
      <w:numFmt w:val="bullet"/>
      <w:lvlText w:val="•"/>
      <w:lvlJc w:val="left"/>
      <w:pPr>
        <w:ind w:left="2962" w:hanging="696"/>
      </w:pPr>
      <w:rPr>
        <w:rFonts w:hint="default"/>
        <w:lang w:val="es-ES" w:eastAsia="es-ES" w:bidi="es-ES"/>
      </w:rPr>
    </w:lvl>
    <w:lvl w:ilvl="4">
      <w:numFmt w:val="bullet"/>
      <w:lvlText w:val="•"/>
      <w:lvlJc w:val="left"/>
      <w:pPr>
        <w:ind w:left="3704" w:hanging="696"/>
      </w:pPr>
      <w:rPr>
        <w:rFonts w:hint="default"/>
        <w:lang w:val="es-ES" w:eastAsia="es-ES" w:bidi="es-ES"/>
      </w:rPr>
    </w:lvl>
    <w:lvl w:ilvl="5">
      <w:numFmt w:val="bullet"/>
      <w:lvlText w:val="•"/>
      <w:lvlJc w:val="left"/>
      <w:pPr>
        <w:ind w:left="4445" w:hanging="696"/>
      </w:pPr>
      <w:rPr>
        <w:rFonts w:hint="default"/>
        <w:lang w:val="es-ES" w:eastAsia="es-ES" w:bidi="es-ES"/>
      </w:rPr>
    </w:lvl>
    <w:lvl w:ilvl="6">
      <w:numFmt w:val="bullet"/>
      <w:lvlText w:val="•"/>
      <w:lvlJc w:val="left"/>
      <w:pPr>
        <w:ind w:left="5186" w:hanging="696"/>
      </w:pPr>
      <w:rPr>
        <w:rFonts w:hint="default"/>
        <w:lang w:val="es-ES" w:eastAsia="es-ES" w:bidi="es-ES"/>
      </w:rPr>
    </w:lvl>
    <w:lvl w:ilvl="7">
      <w:numFmt w:val="bullet"/>
      <w:lvlText w:val="•"/>
      <w:lvlJc w:val="left"/>
      <w:pPr>
        <w:ind w:left="5928" w:hanging="696"/>
      </w:pPr>
      <w:rPr>
        <w:rFonts w:hint="default"/>
        <w:lang w:val="es-ES" w:eastAsia="es-ES" w:bidi="es-ES"/>
      </w:rPr>
    </w:lvl>
    <w:lvl w:ilvl="8">
      <w:numFmt w:val="bullet"/>
      <w:lvlText w:val="•"/>
      <w:lvlJc w:val="left"/>
      <w:pPr>
        <w:ind w:left="6669" w:hanging="696"/>
      </w:pPr>
      <w:rPr>
        <w:rFonts w:hint="default"/>
        <w:lang w:val="es-ES" w:eastAsia="es-ES" w:bidi="es-ES"/>
      </w:rPr>
    </w:lvl>
  </w:abstractNum>
  <w:abstractNum w:abstractNumId="11" w15:restartNumberingAfterBreak="0">
    <w:nsid w:val="0AB14F62"/>
    <w:multiLevelType w:val="multilevel"/>
    <w:tmpl w:val="0AB14F62"/>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B56B92"/>
    <w:multiLevelType w:val="multilevel"/>
    <w:tmpl w:val="0AB56B9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3" w15:restartNumberingAfterBreak="0">
    <w:nsid w:val="0B8A4F91"/>
    <w:multiLevelType w:val="multilevel"/>
    <w:tmpl w:val="0B8A4F91"/>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4" w15:restartNumberingAfterBreak="0">
    <w:nsid w:val="0BAF7C1B"/>
    <w:multiLevelType w:val="multilevel"/>
    <w:tmpl w:val="0BAF7C1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5" w15:restartNumberingAfterBreak="0">
    <w:nsid w:val="0BBF4A79"/>
    <w:multiLevelType w:val="multilevel"/>
    <w:tmpl w:val="0BBF4A79"/>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o"/>
      <w:lvlJc w:val="left"/>
      <w:pPr>
        <w:ind w:left="1488" w:hanging="336"/>
      </w:pPr>
      <w:rPr>
        <w:rFonts w:ascii="Courier New" w:eastAsia="Courier New" w:hAnsi="Courier New" w:cs="Courier New" w:hint="default"/>
        <w:w w:val="100"/>
        <w:sz w:val="22"/>
        <w:szCs w:val="22"/>
        <w:lang w:val="es-ES" w:eastAsia="es-ES" w:bidi="es-ES"/>
      </w:rPr>
    </w:lvl>
    <w:lvl w:ilvl="2">
      <w:numFmt w:val="bullet"/>
      <w:lvlText w:val="•"/>
      <w:lvlJc w:val="left"/>
      <w:pPr>
        <w:ind w:left="2221" w:hanging="336"/>
      </w:pPr>
      <w:rPr>
        <w:rFonts w:hint="default"/>
        <w:lang w:val="es-ES" w:eastAsia="es-ES" w:bidi="es-ES"/>
      </w:rPr>
    </w:lvl>
    <w:lvl w:ilvl="3">
      <w:numFmt w:val="bullet"/>
      <w:lvlText w:val="•"/>
      <w:lvlJc w:val="left"/>
      <w:pPr>
        <w:ind w:left="2962" w:hanging="336"/>
      </w:pPr>
      <w:rPr>
        <w:rFonts w:hint="default"/>
        <w:lang w:val="es-ES" w:eastAsia="es-ES" w:bidi="es-ES"/>
      </w:rPr>
    </w:lvl>
    <w:lvl w:ilvl="4">
      <w:numFmt w:val="bullet"/>
      <w:lvlText w:val="•"/>
      <w:lvlJc w:val="left"/>
      <w:pPr>
        <w:ind w:left="3704" w:hanging="336"/>
      </w:pPr>
      <w:rPr>
        <w:rFonts w:hint="default"/>
        <w:lang w:val="es-ES" w:eastAsia="es-ES" w:bidi="es-ES"/>
      </w:rPr>
    </w:lvl>
    <w:lvl w:ilvl="5">
      <w:numFmt w:val="bullet"/>
      <w:lvlText w:val="•"/>
      <w:lvlJc w:val="left"/>
      <w:pPr>
        <w:ind w:left="4445" w:hanging="336"/>
      </w:pPr>
      <w:rPr>
        <w:rFonts w:hint="default"/>
        <w:lang w:val="es-ES" w:eastAsia="es-ES" w:bidi="es-ES"/>
      </w:rPr>
    </w:lvl>
    <w:lvl w:ilvl="6">
      <w:numFmt w:val="bullet"/>
      <w:lvlText w:val="•"/>
      <w:lvlJc w:val="left"/>
      <w:pPr>
        <w:ind w:left="5186" w:hanging="336"/>
      </w:pPr>
      <w:rPr>
        <w:rFonts w:hint="default"/>
        <w:lang w:val="es-ES" w:eastAsia="es-ES" w:bidi="es-ES"/>
      </w:rPr>
    </w:lvl>
    <w:lvl w:ilvl="7">
      <w:numFmt w:val="bullet"/>
      <w:lvlText w:val="•"/>
      <w:lvlJc w:val="left"/>
      <w:pPr>
        <w:ind w:left="5928" w:hanging="336"/>
      </w:pPr>
      <w:rPr>
        <w:rFonts w:hint="default"/>
        <w:lang w:val="es-ES" w:eastAsia="es-ES" w:bidi="es-ES"/>
      </w:rPr>
    </w:lvl>
    <w:lvl w:ilvl="8">
      <w:numFmt w:val="bullet"/>
      <w:lvlText w:val="•"/>
      <w:lvlJc w:val="left"/>
      <w:pPr>
        <w:ind w:left="6669" w:hanging="336"/>
      </w:pPr>
      <w:rPr>
        <w:rFonts w:hint="default"/>
        <w:lang w:val="es-ES" w:eastAsia="es-ES" w:bidi="es-ES"/>
      </w:rPr>
    </w:lvl>
  </w:abstractNum>
  <w:abstractNum w:abstractNumId="16" w15:restartNumberingAfterBreak="0">
    <w:nsid w:val="0C392ADA"/>
    <w:multiLevelType w:val="multilevel"/>
    <w:tmpl w:val="0C392ADA"/>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7" w15:restartNumberingAfterBreak="0">
    <w:nsid w:val="0C8C77A1"/>
    <w:multiLevelType w:val="multilevel"/>
    <w:tmpl w:val="0C8C77A1"/>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8" w15:restartNumberingAfterBreak="0">
    <w:nsid w:val="0F112E77"/>
    <w:multiLevelType w:val="multilevel"/>
    <w:tmpl w:val="0F112E77"/>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9" w15:restartNumberingAfterBreak="0">
    <w:nsid w:val="0F1D7D22"/>
    <w:multiLevelType w:val="multilevel"/>
    <w:tmpl w:val="0F1D7D22"/>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o"/>
      <w:lvlJc w:val="left"/>
      <w:pPr>
        <w:ind w:left="1512" w:hanging="336"/>
      </w:pPr>
      <w:rPr>
        <w:rFonts w:ascii="Courier New" w:eastAsia="Courier New" w:hAnsi="Courier New" w:cs="Courier New" w:hint="default"/>
        <w:w w:val="100"/>
        <w:sz w:val="22"/>
        <w:szCs w:val="22"/>
        <w:lang w:val="es-ES" w:eastAsia="es-ES" w:bidi="es-ES"/>
      </w:rPr>
    </w:lvl>
    <w:lvl w:ilvl="2">
      <w:numFmt w:val="bullet"/>
      <w:lvlText w:val="•"/>
      <w:lvlJc w:val="left"/>
      <w:pPr>
        <w:ind w:left="2256" w:hanging="336"/>
      </w:pPr>
      <w:rPr>
        <w:rFonts w:hint="default"/>
        <w:lang w:val="es-ES" w:eastAsia="es-ES" w:bidi="es-ES"/>
      </w:rPr>
    </w:lvl>
    <w:lvl w:ilvl="3">
      <w:numFmt w:val="bullet"/>
      <w:lvlText w:val="•"/>
      <w:lvlJc w:val="left"/>
      <w:pPr>
        <w:ind w:left="2993" w:hanging="336"/>
      </w:pPr>
      <w:rPr>
        <w:rFonts w:hint="default"/>
        <w:lang w:val="es-ES" w:eastAsia="es-ES" w:bidi="es-ES"/>
      </w:rPr>
    </w:lvl>
    <w:lvl w:ilvl="4">
      <w:numFmt w:val="bullet"/>
      <w:lvlText w:val="•"/>
      <w:lvlJc w:val="left"/>
      <w:pPr>
        <w:ind w:left="3730" w:hanging="336"/>
      </w:pPr>
      <w:rPr>
        <w:rFonts w:hint="default"/>
        <w:lang w:val="es-ES" w:eastAsia="es-ES" w:bidi="es-ES"/>
      </w:rPr>
    </w:lvl>
    <w:lvl w:ilvl="5">
      <w:numFmt w:val="bullet"/>
      <w:lvlText w:val="•"/>
      <w:lvlJc w:val="left"/>
      <w:pPr>
        <w:ind w:left="4467" w:hanging="336"/>
      </w:pPr>
      <w:rPr>
        <w:rFonts w:hint="default"/>
        <w:lang w:val="es-ES" w:eastAsia="es-ES" w:bidi="es-ES"/>
      </w:rPr>
    </w:lvl>
    <w:lvl w:ilvl="6">
      <w:numFmt w:val="bullet"/>
      <w:lvlText w:val="•"/>
      <w:lvlJc w:val="left"/>
      <w:pPr>
        <w:ind w:left="5204" w:hanging="336"/>
      </w:pPr>
      <w:rPr>
        <w:rFonts w:hint="default"/>
        <w:lang w:val="es-ES" w:eastAsia="es-ES" w:bidi="es-ES"/>
      </w:rPr>
    </w:lvl>
    <w:lvl w:ilvl="7">
      <w:numFmt w:val="bullet"/>
      <w:lvlText w:val="•"/>
      <w:lvlJc w:val="left"/>
      <w:pPr>
        <w:ind w:left="5941" w:hanging="336"/>
      </w:pPr>
      <w:rPr>
        <w:rFonts w:hint="default"/>
        <w:lang w:val="es-ES" w:eastAsia="es-ES" w:bidi="es-ES"/>
      </w:rPr>
    </w:lvl>
    <w:lvl w:ilvl="8">
      <w:numFmt w:val="bullet"/>
      <w:lvlText w:val="•"/>
      <w:lvlJc w:val="left"/>
      <w:pPr>
        <w:ind w:left="6678" w:hanging="336"/>
      </w:pPr>
      <w:rPr>
        <w:rFonts w:hint="default"/>
        <w:lang w:val="es-ES" w:eastAsia="es-ES" w:bidi="es-ES"/>
      </w:rPr>
    </w:lvl>
  </w:abstractNum>
  <w:abstractNum w:abstractNumId="20" w15:restartNumberingAfterBreak="0">
    <w:nsid w:val="10386559"/>
    <w:multiLevelType w:val="multilevel"/>
    <w:tmpl w:val="10386559"/>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21" w15:restartNumberingAfterBreak="0">
    <w:nsid w:val="10AC58A9"/>
    <w:multiLevelType w:val="multilevel"/>
    <w:tmpl w:val="10AC58A9"/>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22" w15:restartNumberingAfterBreak="0">
    <w:nsid w:val="123D715B"/>
    <w:multiLevelType w:val="multilevel"/>
    <w:tmpl w:val="123D715B"/>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23" w15:restartNumberingAfterBreak="0">
    <w:nsid w:val="135023A3"/>
    <w:multiLevelType w:val="multilevel"/>
    <w:tmpl w:val="135023A3"/>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24" w15:restartNumberingAfterBreak="0">
    <w:nsid w:val="13C22F4B"/>
    <w:multiLevelType w:val="multilevel"/>
    <w:tmpl w:val="13C22F4B"/>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C366F1"/>
    <w:multiLevelType w:val="multilevel"/>
    <w:tmpl w:val="13C366F1"/>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26" w15:restartNumberingAfterBreak="0">
    <w:nsid w:val="15DA7AEA"/>
    <w:multiLevelType w:val="multilevel"/>
    <w:tmpl w:val="15DA7AEA"/>
    <w:lvl w:ilvl="0">
      <w:numFmt w:val="bullet"/>
      <w:lvlText w:val=""/>
      <w:lvlJc w:val="left"/>
      <w:pPr>
        <w:ind w:left="360" w:hanging="288"/>
      </w:pPr>
      <w:rPr>
        <w:rFonts w:ascii="Symbol" w:eastAsia="Symbol" w:hAnsi="Symbol" w:cs="Symbol" w:hint="default"/>
        <w:w w:val="100"/>
        <w:sz w:val="22"/>
        <w:szCs w:val="22"/>
        <w:lang w:val="es-ES" w:eastAsia="es-ES" w:bidi="es-ES"/>
      </w:rPr>
    </w:lvl>
    <w:lvl w:ilvl="1">
      <w:start w:val="1"/>
      <w:numFmt w:val="decimal"/>
      <w:lvlText w:val="%2."/>
      <w:lvlJc w:val="left"/>
      <w:pPr>
        <w:ind w:left="720" w:hanging="284"/>
      </w:pPr>
      <w:rPr>
        <w:rFonts w:ascii="Arial Narrow" w:eastAsia="Arial Narrow" w:hAnsi="Arial Narrow" w:cs="Arial Narrow" w:hint="default"/>
        <w:w w:val="100"/>
        <w:sz w:val="22"/>
        <w:szCs w:val="22"/>
        <w:lang w:val="es-ES" w:eastAsia="es-ES" w:bidi="es-ES"/>
      </w:rPr>
    </w:lvl>
    <w:lvl w:ilvl="2">
      <w:numFmt w:val="bullet"/>
      <w:lvlText w:val="•"/>
      <w:lvlJc w:val="left"/>
      <w:pPr>
        <w:ind w:left="1545" w:hanging="284"/>
      </w:pPr>
      <w:rPr>
        <w:rFonts w:hint="default"/>
        <w:lang w:val="es-ES" w:eastAsia="es-ES" w:bidi="es-ES"/>
      </w:rPr>
    </w:lvl>
    <w:lvl w:ilvl="3">
      <w:numFmt w:val="bullet"/>
      <w:lvlText w:val="•"/>
      <w:lvlJc w:val="left"/>
      <w:pPr>
        <w:ind w:left="2371" w:hanging="284"/>
      </w:pPr>
      <w:rPr>
        <w:rFonts w:hint="default"/>
        <w:lang w:val="es-ES" w:eastAsia="es-ES" w:bidi="es-ES"/>
      </w:rPr>
    </w:lvl>
    <w:lvl w:ilvl="4">
      <w:numFmt w:val="bullet"/>
      <w:lvlText w:val="•"/>
      <w:lvlJc w:val="left"/>
      <w:pPr>
        <w:ind w:left="3197" w:hanging="284"/>
      </w:pPr>
      <w:rPr>
        <w:rFonts w:hint="default"/>
        <w:lang w:val="es-ES" w:eastAsia="es-ES" w:bidi="es-ES"/>
      </w:rPr>
    </w:lvl>
    <w:lvl w:ilvl="5">
      <w:numFmt w:val="bullet"/>
      <w:lvlText w:val="•"/>
      <w:lvlJc w:val="left"/>
      <w:pPr>
        <w:ind w:left="4023" w:hanging="284"/>
      </w:pPr>
      <w:rPr>
        <w:rFonts w:hint="default"/>
        <w:lang w:val="es-ES" w:eastAsia="es-ES" w:bidi="es-ES"/>
      </w:rPr>
    </w:lvl>
    <w:lvl w:ilvl="6">
      <w:numFmt w:val="bullet"/>
      <w:lvlText w:val="•"/>
      <w:lvlJc w:val="left"/>
      <w:pPr>
        <w:ind w:left="4848" w:hanging="284"/>
      </w:pPr>
      <w:rPr>
        <w:rFonts w:hint="default"/>
        <w:lang w:val="es-ES" w:eastAsia="es-ES" w:bidi="es-ES"/>
      </w:rPr>
    </w:lvl>
    <w:lvl w:ilvl="7">
      <w:numFmt w:val="bullet"/>
      <w:lvlText w:val="•"/>
      <w:lvlJc w:val="left"/>
      <w:pPr>
        <w:ind w:left="5674" w:hanging="284"/>
      </w:pPr>
      <w:rPr>
        <w:rFonts w:hint="default"/>
        <w:lang w:val="es-ES" w:eastAsia="es-ES" w:bidi="es-ES"/>
      </w:rPr>
    </w:lvl>
    <w:lvl w:ilvl="8">
      <w:numFmt w:val="bullet"/>
      <w:lvlText w:val="•"/>
      <w:lvlJc w:val="left"/>
      <w:pPr>
        <w:ind w:left="6500" w:hanging="284"/>
      </w:pPr>
      <w:rPr>
        <w:rFonts w:hint="default"/>
        <w:lang w:val="es-ES" w:eastAsia="es-ES" w:bidi="es-ES"/>
      </w:rPr>
    </w:lvl>
  </w:abstractNum>
  <w:abstractNum w:abstractNumId="27" w15:restartNumberingAfterBreak="0">
    <w:nsid w:val="191856BA"/>
    <w:multiLevelType w:val="multilevel"/>
    <w:tmpl w:val="191856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191A368F"/>
    <w:multiLevelType w:val="multilevel"/>
    <w:tmpl w:val="191A368F"/>
    <w:lvl w:ilvl="0">
      <w:numFmt w:val="bullet"/>
      <w:lvlText w:val=""/>
      <w:lvlJc w:val="left"/>
      <w:pPr>
        <w:ind w:left="360" w:hanging="111"/>
      </w:pPr>
      <w:rPr>
        <w:rFonts w:ascii="Symbol" w:eastAsia="Symbol" w:hAnsi="Symbol" w:cs="Symbol" w:hint="default"/>
        <w:spacing w:val="8"/>
        <w:w w:val="100"/>
        <w:sz w:val="20"/>
        <w:szCs w:val="20"/>
        <w:lang w:val="es-ES" w:eastAsia="es-ES" w:bidi="es-ES"/>
      </w:rPr>
    </w:lvl>
    <w:lvl w:ilvl="1">
      <w:numFmt w:val="bullet"/>
      <w:lvlText w:val="•"/>
      <w:lvlJc w:val="left"/>
      <w:pPr>
        <w:ind w:left="1520" w:hanging="111"/>
      </w:pPr>
      <w:rPr>
        <w:rFonts w:hint="default"/>
        <w:lang w:val="es-ES" w:eastAsia="es-ES" w:bidi="es-ES"/>
      </w:rPr>
    </w:lvl>
    <w:lvl w:ilvl="2">
      <w:numFmt w:val="bullet"/>
      <w:lvlText w:val="•"/>
      <w:lvlJc w:val="left"/>
      <w:pPr>
        <w:ind w:left="2256" w:hanging="111"/>
      </w:pPr>
      <w:rPr>
        <w:rFonts w:hint="default"/>
        <w:lang w:val="es-ES" w:eastAsia="es-ES" w:bidi="es-ES"/>
      </w:rPr>
    </w:lvl>
    <w:lvl w:ilvl="3">
      <w:numFmt w:val="bullet"/>
      <w:lvlText w:val="•"/>
      <w:lvlJc w:val="left"/>
      <w:pPr>
        <w:ind w:left="2993" w:hanging="111"/>
      </w:pPr>
      <w:rPr>
        <w:rFonts w:hint="default"/>
        <w:lang w:val="es-ES" w:eastAsia="es-ES" w:bidi="es-ES"/>
      </w:rPr>
    </w:lvl>
    <w:lvl w:ilvl="4">
      <w:numFmt w:val="bullet"/>
      <w:lvlText w:val="•"/>
      <w:lvlJc w:val="left"/>
      <w:pPr>
        <w:ind w:left="3730" w:hanging="111"/>
      </w:pPr>
      <w:rPr>
        <w:rFonts w:hint="default"/>
        <w:lang w:val="es-ES" w:eastAsia="es-ES" w:bidi="es-ES"/>
      </w:rPr>
    </w:lvl>
    <w:lvl w:ilvl="5">
      <w:numFmt w:val="bullet"/>
      <w:lvlText w:val="•"/>
      <w:lvlJc w:val="left"/>
      <w:pPr>
        <w:ind w:left="4467" w:hanging="111"/>
      </w:pPr>
      <w:rPr>
        <w:rFonts w:hint="default"/>
        <w:lang w:val="es-ES" w:eastAsia="es-ES" w:bidi="es-ES"/>
      </w:rPr>
    </w:lvl>
    <w:lvl w:ilvl="6">
      <w:numFmt w:val="bullet"/>
      <w:lvlText w:val="•"/>
      <w:lvlJc w:val="left"/>
      <w:pPr>
        <w:ind w:left="5204" w:hanging="111"/>
      </w:pPr>
      <w:rPr>
        <w:rFonts w:hint="default"/>
        <w:lang w:val="es-ES" w:eastAsia="es-ES" w:bidi="es-ES"/>
      </w:rPr>
    </w:lvl>
    <w:lvl w:ilvl="7">
      <w:numFmt w:val="bullet"/>
      <w:lvlText w:val="•"/>
      <w:lvlJc w:val="left"/>
      <w:pPr>
        <w:ind w:left="5941" w:hanging="111"/>
      </w:pPr>
      <w:rPr>
        <w:rFonts w:hint="default"/>
        <w:lang w:val="es-ES" w:eastAsia="es-ES" w:bidi="es-ES"/>
      </w:rPr>
    </w:lvl>
    <w:lvl w:ilvl="8">
      <w:numFmt w:val="bullet"/>
      <w:lvlText w:val="•"/>
      <w:lvlJc w:val="left"/>
      <w:pPr>
        <w:ind w:left="6678" w:hanging="111"/>
      </w:pPr>
      <w:rPr>
        <w:rFonts w:hint="default"/>
        <w:lang w:val="es-ES" w:eastAsia="es-ES" w:bidi="es-ES"/>
      </w:rPr>
    </w:lvl>
  </w:abstractNum>
  <w:abstractNum w:abstractNumId="29" w15:restartNumberingAfterBreak="0">
    <w:nsid w:val="19382417"/>
    <w:multiLevelType w:val="multilevel"/>
    <w:tmpl w:val="19382417"/>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404F6B"/>
    <w:multiLevelType w:val="multilevel"/>
    <w:tmpl w:val="19404F6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31" w15:restartNumberingAfterBreak="0">
    <w:nsid w:val="19BE4D01"/>
    <w:multiLevelType w:val="multilevel"/>
    <w:tmpl w:val="19BE4D01"/>
    <w:lvl w:ilvl="0">
      <w:start w:val="1"/>
      <w:numFmt w:val="lowerRoman"/>
      <w:lvlText w:val="%1)"/>
      <w:lvlJc w:val="left"/>
      <w:pPr>
        <w:ind w:left="360" w:hanging="360"/>
      </w:pPr>
      <w:rPr>
        <w:rFonts w:ascii="Arial Narrow" w:eastAsia="Arial Narrow" w:hAnsi="Arial Narrow" w:cs="Arial Narro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A0E4B84"/>
    <w:multiLevelType w:val="multilevel"/>
    <w:tmpl w:val="1A0E4B84"/>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33" w15:restartNumberingAfterBreak="0">
    <w:nsid w:val="1A961EB7"/>
    <w:multiLevelType w:val="multilevel"/>
    <w:tmpl w:val="1A961EB7"/>
    <w:lvl w:ilvl="0">
      <w:start w:val="17"/>
      <w:numFmt w:val="bullet"/>
      <w:lvlText w:val="-"/>
      <w:lvlJc w:val="left"/>
      <w:pPr>
        <w:ind w:left="720" w:hanging="360"/>
      </w:pPr>
      <w:rPr>
        <w:rFonts w:ascii="Arial Narrow" w:eastAsia="Arial Narrow" w:hAnsi="Arial Narrow" w:cs="Arial Narro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8334B9"/>
    <w:multiLevelType w:val="multilevel"/>
    <w:tmpl w:val="1B8334B9"/>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35" w15:restartNumberingAfterBreak="0">
    <w:nsid w:val="1B955886"/>
    <w:multiLevelType w:val="multilevel"/>
    <w:tmpl w:val="1B955886"/>
    <w:lvl w:ilvl="0">
      <w:numFmt w:val="bullet"/>
      <w:lvlText w:val="-"/>
      <w:lvlJc w:val="left"/>
      <w:pPr>
        <w:ind w:left="720" w:hanging="360"/>
      </w:pPr>
      <w:rPr>
        <w:rFonts w:ascii="Arial Narrow" w:eastAsia="Arial Narrow" w:hAnsi="Arial Narrow" w:cs="Arial Narrow" w:hint="default"/>
        <w:w w:val="100"/>
        <w:sz w:val="22"/>
        <w:szCs w:val="22"/>
        <w:lang w:val="es-ES" w:eastAsia="es-ES" w:bidi="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837BF5"/>
    <w:multiLevelType w:val="multilevel"/>
    <w:tmpl w:val="1C837BF5"/>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37" w15:restartNumberingAfterBreak="0">
    <w:nsid w:val="1C8C63AB"/>
    <w:multiLevelType w:val="multilevel"/>
    <w:tmpl w:val="1C8C63A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38" w15:restartNumberingAfterBreak="0">
    <w:nsid w:val="1DB30E61"/>
    <w:multiLevelType w:val="multilevel"/>
    <w:tmpl w:val="1DB30E61"/>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39" w15:restartNumberingAfterBreak="0">
    <w:nsid w:val="1FDB3FB4"/>
    <w:multiLevelType w:val="multilevel"/>
    <w:tmpl w:val="1FDB3FB4"/>
    <w:lvl w:ilvl="0">
      <w:numFmt w:val="bullet"/>
      <w:lvlText w:val=""/>
      <w:lvlJc w:val="left"/>
      <w:pPr>
        <w:ind w:left="778" w:hanging="692"/>
      </w:pPr>
      <w:rPr>
        <w:rFonts w:ascii="Symbol" w:eastAsia="Symbol" w:hAnsi="Symbol" w:cs="Symbol" w:hint="default"/>
        <w:w w:val="100"/>
        <w:sz w:val="22"/>
        <w:szCs w:val="22"/>
        <w:lang w:val="es-ES" w:eastAsia="es-ES" w:bidi="es-ES"/>
      </w:rPr>
    </w:lvl>
    <w:lvl w:ilvl="1">
      <w:numFmt w:val="bullet"/>
      <w:lvlText w:val="•"/>
      <w:lvlJc w:val="left"/>
      <w:pPr>
        <w:ind w:left="1520" w:hanging="692"/>
      </w:pPr>
      <w:rPr>
        <w:rFonts w:hint="default"/>
        <w:lang w:val="es-ES" w:eastAsia="es-ES" w:bidi="es-ES"/>
      </w:rPr>
    </w:lvl>
    <w:lvl w:ilvl="2">
      <w:numFmt w:val="bullet"/>
      <w:lvlText w:val="•"/>
      <w:lvlJc w:val="left"/>
      <w:pPr>
        <w:ind w:left="2256" w:hanging="692"/>
      </w:pPr>
      <w:rPr>
        <w:rFonts w:hint="default"/>
        <w:lang w:val="es-ES" w:eastAsia="es-ES" w:bidi="es-ES"/>
      </w:rPr>
    </w:lvl>
    <w:lvl w:ilvl="3">
      <w:numFmt w:val="bullet"/>
      <w:lvlText w:val="•"/>
      <w:lvlJc w:val="left"/>
      <w:pPr>
        <w:ind w:left="2993" w:hanging="692"/>
      </w:pPr>
      <w:rPr>
        <w:rFonts w:hint="default"/>
        <w:lang w:val="es-ES" w:eastAsia="es-ES" w:bidi="es-ES"/>
      </w:rPr>
    </w:lvl>
    <w:lvl w:ilvl="4">
      <w:numFmt w:val="bullet"/>
      <w:lvlText w:val="•"/>
      <w:lvlJc w:val="left"/>
      <w:pPr>
        <w:ind w:left="3730" w:hanging="692"/>
      </w:pPr>
      <w:rPr>
        <w:rFonts w:hint="default"/>
        <w:lang w:val="es-ES" w:eastAsia="es-ES" w:bidi="es-ES"/>
      </w:rPr>
    </w:lvl>
    <w:lvl w:ilvl="5">
      <w:numFmt w:val="bullet"/>
      <w:lvlText w:val="•"/>
      <w:lvlJc w:val="left"/>
      <w:pPr>
        <w:ind w:left="4467" w:hanging="692"/>
      </w:pPr>
      <w:rPr>
        <w:rFonts w:hint="default"/>
        <w:lang w:val="es-ES" w:eastAsia="es-ES" w:bidi="es-ES"/>
      </w:rPr>
    </w:lvl>
    <w:lvl w:ilvl="6">
      <w:numFmt w:val="bullet"/>
      <w:lvlText w:val="•"/>
      <w:lvlJc w:val="left"/>
      <w:pPr>
        <w:ind w:left="5204" w:hanging="692"/>
      </w:pPr>
      <w:rPr>
        <w:rFonts w:hint="default"/>
        <w:lang w:val="es-ES" w:eastAsia="es-ES" w:bidi="es-ES"/>
      </w:rPr>
    </w:lvl>
    <w:lvl w:ilvl="7">
      <w:numFmt w:val="bullet"/>
      <w:lvlText w:val="•"/>
      <w:lvlJc w:val="left"/>
      <w:pPr>
        <w:ind w:left="5941" w:hanging="692"/>
      </w:pPr>
      <w:rPr>
        <w:rFonts w:hint="default"/>
        <w:lang w:val="es-ES" w:eastAsia="es-ES" w:bidi="es-ES"/>
      </w:rPr>
    </w:lvl>
    <w:lvl w:ilvl="8">
      <w:numFmt w:val="bullet"/>
      <w:lvlText w:val="•"/>
      <w:lvlJc w:val="left"/>
      <w:pPr>
        <w:ind w:left="6678" w:hanging="692"/>
      </w:pPr>
      <w:rPr>
        <w:rFonts w:hint="default"/>
        <w:lang w:val="es-ES" w:eastAsia="es-ES" w:bidi="es-ES"/>
      </w:rPr>
    </w:lvl>
  </w:abstractNum>
  <w:abstractNum w:abstractNumId="40" w15:restartNumberingAfterBreak="0">
    <w:nsid w:val="22694A3A"/>
    <w:multiLevelType w:val="multilevel"/>
    <w:tmpl w:val="22694A3A"/>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41" w15:restartNumberingAfterBreak="0">
    <w:nsid w:val="23232DA6"/>
    <w:multiLevelType w:val="multilevel"/>
    <w:tmpl w:val="23232DA6"/>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42" w15:restartNumberingAfterBreak="0">
    <w:nsid w:val="23CF04FB"/>
    <w:multiLevelType w:val="multilevel"/>
    <w:tmpl w:val="23CF04F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43" w15:restartNumberingAfterBreak="0">
    <w:nsid w:val="26375753"/>
    <w:multiLevelType w:val="multilevel"/>
    <w:tmpl w:val="26375753"/>
    <w:lvl w:ilvl="0">
      <w:numFmt w:val="bullet"/>
      <w:lvlText w:val=""/>
      <w:lvlJc w:val="left"/>
      <w:pPr>
        <w:ind w:left="359"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44" w15:restartNumberingAfterBreak="0">
    <w:nsid w:val="271471B5"/>
    <w:multiLevelType w:val="multilevel"/>
    <w:tmpl w:val="271471B5"/>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5F12F4"/>
    <w:multiLevelType w:val="multilevel"/>
    <w:tmpl w:val="275F12F4"/>
    <w:lvl w:ilvl="0">
      <w:start w:val="3"/>
      <w:numFmt w:val="decimal"/>
      <w:lvlText w:val="%1."/>
      <w:lvlJc w:val="left"/>
      <w:pPr>
        <w:ind w:left="777" w:hanging="308"/>
      </w:pPr>
      <w:rPr>
        <w:rFonts w:ascii="Arial Narrow" w:eastAsia="Arial Narrow" w:hAnsi="Arial Narrow" w:cs="Arial Narrow" w:hint="default"/>
        <w:w w:val="100"/>
        <w:sz w:val="22"/>
        <w:szCs w:val="22"/>
        <w:lang w:val="es-ES" w:eastAsia="es-ES" w:bidi="es-ES"/>
      </w:rPr>
    </w:lvl>
    <w:lvl w:ilvl="1">
      <w:numFmt w:val="bullet"/>
      <w:lvlText w:val="•"/>
      <w:lvlJc w:val="left"/>
      <w:pPr>
        <w:ind w:left="1517" w:hanging="308"/>
      </w:pPr>
      <w:rPr>
        <w:rFonts w:hint="default"/>
        <w:lang w:val="es-ES" w:eastAsia="es-ES" w:bidi="es-ES"/>
      </w:rPr>
    </w:lvl>
    <w:lvl w:ilvl="2">
      <w:numFmt w:val="bullet"/>
      <w:lvlText w:val="•"/>
      <w:lvlJc w:val="left"/>
      <w:pPr>
        <w:ind w:left="2254" w:hanging="308"/>
      </w:pPr>
      <w:rPr>
        <w:rFonts w:hint="default"/>
        <w:lang w:val="es-ES" w:eastAsia="es-ES" w:bidi="es-ES"/>
      </w:rPr>
    </w:lvl>
    <w:lvl w:ilvl="3">
      <w:numFmt w:val="bullet"/>
      <w:lvlText w:val="•"/>
      <w:lvlJc w:val="left"/>
      <w:pPr>
        <w:ind w:left="2991" w:hanging="308"/>
      </w:pPr>
      <w:rPr>
        <w:rFonts w:hint="default"/>
        <w:lang w:val="es-ES" w:eastAsia="es-ES" w:bidi="es-ES"/>
      </w:rPr>
    </w:lvl>
    <w:lvl w:ilvl="4">
      <w:numFmt w:val="bullet"/>
      <w:lvlText w:val="•"/>
      <w:lvlJc w:val="left"/>
      <w:pPr>
        <w:ind w:left="3728" w:hanging="308"/>
      </w:pPr>
      <w:rPr>
        <w:rFonts w:hint="default"/>
        <w:lang w:val="es-ES" w:eastAsia="es-ES" w:bidi="es-ES"/>
      </w:rPr>
    </w:lvl>
    <w:lvl w:ilvl="5">
      <w:numFmt w:val="bullet"/>
      <w:lvlText w:val="•"/>
      <w:lvlJc w:val="left"/>
      <w:pPr>
        <w:ind w:left="4466" w:hanging="308"/>
      </w:pPr>
      <w:rPr>
        <w:rFonts w:hint="default"/>
        <w:lang w:val="es-ES" w:eastAsia="es-ES" w:bidi="es-ES"/>
      </w:rPr>
    </w:lvl>
    <w:lvl w:ilvl="6">
      <w:numFmt w:val="bullet"/>
      <w:lvlText w:val="•"/>
      <w:lvlJc w:val="left"/>
      <w:pPr>
        <w:ind w:left="5203" w:hanging="308"/>
      </w:pPr>
      <w:rPr>
        <w:rFonts w:hint="default"/>
        <w:lang w:val="es-ES" w:eastAsia="es-ES" w:bidi="es-ES"/>
      </w:rPr>
    </w:lvl>
    <w:lvl w:ilvl="7">
      <w:numFmt w:val="bullet"/>
      <w:lvlText w:val="•"/>
      <w:lvlJc w:val="left"/>
      <w:pPr>
        <w:ind w:left="5940" w:hanging="308"/>
      </w:pPr>
      <w:rPr>
        <w:rFonts w:hint="default"/>
        <w:lang w:val="es-ES" w:eastAsia="es-ES" w:bidi="es-ES"/>
      </w:rPr>
    </w:lvl>
    <w:lvl w:ilvl="8">
      <w:numFmt w:val="bullet"/>
      <w:lvlText w:val="•"/>
      <w:lvlJc w:val="left"/>
      <w:pPr>
        <w:ind w:left="6677" w:hanging="308"/>
      </w:pPr>
      <w:rPr>
        <w:rFonts w:hint="default"/>
        <w:lang w:val="es-ES" w:eastAsia="es-ES" w:bidi="es-ES"/>
      </w:rPr>
    </w:lvl>
  </w:abstractNum>
  <w:abstractNum w:abstractNumId="46" w15:restartNumberingAfterBreak="0">
    <w:nsid w:val="276D4954"/>
    <w:multiLevelType w:val="multilevel"/>
    <w:tmpl w:val="276D4954"/>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47" w15:restartNumberingAfterBreak="0">
    <w:nsid w:val="27912D04"/>
    <w:multiLevelType w:val="multilevel"/>
    <w:tmpl w:val="27912D04"/>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9C44C0"/>
    <w:multiLevelType w:val="multilevel"/>
    <w:tmpl w:val="279C44C0"/>
    <w:lvl w:ilvl="0">
      <w:numFmt w:val="bullet"/>
      <w:lvlText w:val=""/>
      <w:lvlJc w:val="left"/>
      <w:pPr>
        <w:ind w:left="413" w:hanging="341"/>
      </w:pPr>
      <w:rPr>
        <w:rFonts w:ascii="Symbol" w:eastAsia="Symbol" w:hAnsi="Symbol" w:cs="Symbol" w:hint="default"/>
        <w:w w:val="100"/>
        <w:sz w:val="22"/>
        <w:szCs w:val="22"/>
        <w:lang w:val="es-ES" w:eastAsia="es-ES" w:bidi="es-ES"/>
      </w:rPr>
    </w:lvl>
    <w:lvl w:ilvl="1">
      <w:numFmt w:val="bullet"/>
      <w:lvlText w:val="•"/>
      <w:lvlJc w:val="left"/>
      <w:pPr>
        <w:ind w:left="1193" w:hanging="341"/>
      </w:pPr>
      <w:rPr>
        <w:rFonts w:hint="default"/>
        <w:lang w:val="es-ES" w:eastAsia="es-ES" w:bidi="es-ES"/>
      </w:rPr>
    </w:lvl>
    <w:lvl w:ilvl="2">
      <w:numFmt w:val="bullet"/>
      <w:lvlText w:val="•"/>
      <w:lvlJc w:val="left"/>
      <w:pPr>
        <w:ind w:left="1966" w:hanging="341"/>
      </w:pPr>
      <w:rPr>
        <w:rFonts w:hint="default"/>
        <w:lang w:val="es-ES" w:eastAsia="es-ES" w:bidi="es-ES"/>
      </w:rPr>
    </w:lvl>
    <w:lvl w:ilvl="3">
      <w:numFmt w:val="bullet"/>
      <w:lvlText w:val="•"/>
      <w:lvlJc w:val="left"/>
      <w:pPr>
        <w:ind w:left="2739" w:hanging="341"/>
      </w:pPr>
      <w:rPr>
        <w:rFonts w:hint="default"/>
        <w:lang w:val="es-ES" w:eastAsia="es-ES" w:bidi="es-ES"/>
      </w:rPr>
    </w:lvl>
    <w:lvl w:ilvl="4">
      <w:numFmt w:val="bullet"/>
      <w:lvlText w:val="•"/>
      <w:lvlJc w:val="left"/>
      <w:pPr>
        <w:ind w:left="3512" w:hanging="341"/>
      </w:pPr>
      <w:rPr>
        <w:rFonts w:hint="default"/>
        <w:lang w:val="es-ES" w:eastAsia="es-ES" w:bidi="es-ES"/>
      </w:rPr>
    </w:lvl>
    <w:lvl w:ilvl="5">
      <w:numFmt w:val="bullet"/>
      <w:lvlText w:val="•"/>
      <w:lvlJc w:val="left"/>
      <w:pPr>
        <w:ind w:left="4286" w:hanging="341"/>
      </w:pPr>
      <w:rPr>
        <w:rFonts w:hint="default"/>
        <w:lang w:val="es-ES" w:eastAsia="es-ES" w:bidi="es-ES"/>
      </w:rPr>
    </w:lvl>
    <w:lvl w:ilvl="6">
      <w:numFmt w:val="bullet"/>
      <w:lvlText w:val="•"/>
      <w:lvlJc w:val="left"/>
      <w:pPr>
        <w:ind w:left="5059" w:hanging="341"/>
      </w:pPr>
      <w:rPr>
        <w:rFonts w:hint="default"/>
        <w:lang w:val="es-ES" w:eastAsia="es-ES" w:bidi="es-ES"/>
      </w:rPr>
    </w:lvl>
    <w:lvl w:ilvl="7">
      <w:numFmt w:val="bullet"/>
      <w:lvlText w:val="•"/>
      <w:lvlJc w:val="left"/>
      <w:pPr>
        <w:ind w:left="5832" w:hanging="341"/>
      </w:pPr>
      <w:rPr>
        <w:rFonts w:hint="default"/>
        <w:lang w:val="es-ES" w:eastAsia="es-ES" w:bidi="es-ES"/>
      </w:rPr>
    </w:lvl>
    <w:lvl w:ilvl="8">
      <w:numFmt w:val="bullet"/>
      <w:lvlText w:val="•"/>
      <w:lvlJc w:val="left"/>
      <w:pPr>
        <w:ind w:left="6605" w:hanging="341"/>
      </w:pPr>
      <w:rPr>
        <w:rFonts w:hint="default"/>
        <w:lang w:val="es-ES" w:eastAsia="es-ES" w:bidi="es-ES"/>
      </w:rPr>
    </w:lvl>
  </w:abstractNum>
  <w:abstractNum w:abstractNumId="49" w15:restartNumberingAfterBreak="0">
    <w:nsid w:val="27FF2067"/>
    <w:multiLevelType w:val="multilevel"/>
    <w:tmpl w:val="27FF2067"/>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50" w15:restartNumberingAfterBreak="0">
    <w:nsid w:val="285D1FA5"/>
    <w:multiLevelType w:val="multilevel"/>
    <w:tmpl w:val="285D1FA5"/>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51" w15:restartNumberingAfterBreak="0">
    <w:nsid w:val="28BC5D16"/>
    <w:multiLevelType w:val="multilevel"/>
    <w:tmpl w:val="28BC5D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2A70EF"/>
    <w:multiLevelType w:val="multilevel"/>
    <w:tmpl w:val="292A70EF"/>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53" w15:restartNumberingAfterBreak="0">
    <w:nsid w:val="2AF11283"/>
    <w:multiLevelType w:val="multilevel"/>
    <w:tmpl w:val="2AF11283"/>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54" w15:restartNumberingAfterBreak="0">
    <w:nsid w:val="2B366689"/>
    <w:multiLevelType w:val="multilevel"/>
    <w:tmpl w:val="2B366689"/>
    <w:lvl w:ilvl="0">
      <w:numFmt w:val="bullet"/>
      <w:lvlText w:val=""/>
      <w:lvlJc w:val="left"/>
      <w:pPr>
        <w:ind w:left="778" w:hanging="692"/>
      </w:pPr>
      <w:rPr>
        <w:rFonts w:ascii="Symbol" w:eastAsia="Symbol" w:hAnsi="Symbol" w:cs="Symbol" w:hint="default"/>
        <w:w w:val="100"/>
        <w:sz w:val="22"/>
        <w:szCs w:val="22"/>
        <w:lang w:val="es-ES" w:eastAsia="es-ES" w:bidi="es-ES"/>
      </w:rPr>
    </w:lvl>
    <w:lvl w:ilvl="1">
      <w:numFmt w:val="bullet"/>
      <w:lvlText w:val="•"/>
      <w:lvlJc w:val="left"/>
      <w:pPr>
        <w:ind w:left="1517" w:hanging="692"/>
      </w:pPr>
      <w:rPr>
        <w:rFonts w:hint="default"/>
        <w:lang w:val="es-ES" w:eastAsia="es-ES" w:bidi="es-ES"/>
      </w:rPr>
    </w:lvl>
    <w:lvl w:ilvl="2">
      <w:numFmt w:val="bullet"/>
      <w:lvlText w:val="•"/>
      <w:lvlJc w:val="left"/>
      <w:pPr>
        <w:ind w:left="2254" w:hanging="692"/>
      </w:pPr>
      <w:rPr>
        <w:rFonts w:hint="default"/>
        <w:lang w:val="es-ES" w:eastAsia="es-ES" w:bidi="es-ES"/>
      </w:rPr>
    </w:lvl>
    <w:lvl w:ilvl="3">
      <w:numFmt w:val="bullet"/>
      <w:lvlText w:val="•"/>
      <w:lvlJc w:val="left"/>
      <w:pPr>
        <w:ind w:left="2991" w:hanging="692"/>
      </w:pPr>
      <w:rPr>
        <w:rFonts w:hint="default"/>
        <w:lang w:val="es-ES" w:eastAsia="es-ES" w:bidi="es-ES"/>
      </w:rPr>
    </w:lvl>
    <w:lvl w:ilvl="4">
      <w:numFmt w:val="bullet"/>
      <w:lvlText w:val="•"/>
      <w:lvlJc w:val="left"/>
      <w:pPr>
        <w:ind w:left="3728" w:hanging="692"/>
      </w:pPr>
      <w:rPr>
        <w:rFonts w:hint="default"/>
        <w:lang w:val="es-ES" w:eastAsia="es-ES" w:bidi="es-ES"/>
      </w:rPr>
    </w:lvl>
    <w:lvl w:ilvl="5">
      <w:numFmt w:val="bullet"/>
      <w:lvlText w:val="•"/>
      <w:lvlJc w:val="left"/>
      <w:pPr>
        <w:ind w:left="4466" w:hanging="692"/>
      </w:pPr>
      <w:rPr>
        <w:rFonts w:hint="default"/>
        <w:lang w:val="es-ES" w:eastAsia="es-ES" w:bidi="es-ES"/>
      </w:rPr>
    </w:lvl>
    <w:lvl w:ilvl="6">
      <w:numFmt w:val="bullet"/>
      <w:lvlText w:val="•"/>
      <w:lvlJc w:val="left"/>
      <w:pPr>
        <w:ind w:left="5203" w:hanging="692"/>
      </w:pPr>
      <w:rPr>
        <w:rFonts w:hint="default"/>
        <w:lang w:val="es-ES" w:eastAsia="es-ES" w:bidi="es-ES"/>
      </w:rPr>
    </w:lvl>
    <w:lvl w:ilvl="7">
      <w:numFmt w:val="bullet"/>
      <w:lvlText w:val="•"/>
      <w:lvlJc w:val="left"/>
      <w:pPr>
        <w:ind w:left="5940" w:hanging="692"/>
      </w:pPr>
      <w:rPr>
        <w:rFonts w:hint="default"/>
        <w:lang w:val="es-ES" w:eastAsia="es-ES" w:bidi="es-ES"/>
      </w:rPr>
    </w:lvl>
    <w:lvl w:ilvl="8">
      <w:numFmt w:val="bullet"/>
      <w:lvlText w:val="•"/>
      <w:lvlJc w:val="left"/>
      <w:pPr>
        <w:ind w:left="6677" w:hanging="692"/>
      </w:pPr>
      <w:rPr>
        <w:rFonts w:hint="default"/>
        <w:lang w:val="es-ES" w:eastAsia="es-ES" w:bidi="es-ES"/>
      </w:rPr>
    </w:lvl>
  </w:abstractNum>
  <w:abstractNum w:abstractNumId="55" w15:restartNumberingAfterBreak="0">
    <w:nsid w:val="2B562BE7"/>
    <w:multiLevelType w:val="multilevel"/>
    <w:tmpl w:val="2B562BE7"/>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56" w15:restartNumberingAfterBreak="0">
    <w:nsid w:val="2B686381"/>
    <w:multiLevelType w:val="multilevel"/>
    <w:tmpl w:val="2B686381"/>
    <w:lvl w:ilvl="0">
      <w:numFmt w:val="bullet"/>
      <w:lvlText w:val=""/>
      <w:lvlJc w:val="left"/>
      <w:pPr>
        <w:ind w:left="360" w:hanging="336"/>
      </w:pPr>
      <w:rPr>
        <w:rFonts w:ascii="Symbol" w:eastAsia="Symbol" w:hAnsi="Symbol" w:cs="Symbol" w:hint="default"/>
        <w:w w:val="100"/>
        <w:sz w:val="22"/>
        <w:szCs w:val="22"/>
        <w:lang w:val="es-ES" w:eastAsia="es-ES" w:bidi="es-ES"/>
      </w:rPr>
    </w:lvl>
    <w:lvl w:ilvl="1">
      <w:numFmt w:val="bullet"/>
      <w:lvlText w:val="•"/>
      <w:lvlJc w:val="left"/>
      <w:pPr>
        <w:ind w:left="1139" w:hanging="336"/>
      </w:pPr>
      <w:rPr>
        <w:rFonts w:hint="default"/>
        <w:lang w:val="es-ES" w:eastAsia="es-ES" w:bidi="es-ES"/>
      </w:rPr>
    </w:lvl>
    <w:lvl w:ilvl="2">
      <w:numFmt w:val="bullet"/>
      <w:lvlText w:val="•"/>
      <w:lvlJc w:val="left"/>
      <w:pPr>
        <w:ind w:left="1918" w:hanging="336"/>
      </w:pPr>
      <w:rPr>
        <w:rFonts w:hint="default"/>
        <w:lang w:val="es-ES" w:eastAsia="es-ES" w:bidi="es-ES"/>
      </w:rPr>
    </w:lvl>
    <w:lvl w:ilvl="3">
      <w:numFmt w:val="bullet"/>
      <w:lvlText w:val="•"/>
      <w:lvlJc w:val="left"/>
      <w:pPr>
        <w:ind w:left="2697" w:hanging="336"/>
      </w:pPr>
      <w:rPr>
        <w:rFonts w:hint="default"/>
        <w:lang w:val="es-ES" w:eastAsia="es-ES" w:bidi="es-ES"/>
      </w:rPr>
    </w:lvl>
    <w:lvl w:ilvl="4">
      <w:numFmt w:val="bullet"/>
      <w:lvlText w:val="•"/>
      <w:lvlJc w:val="left"/>
      <w:pPr>
        <w:ind w:left="3476" w:hanging="336"/>
      </w:pPr>
      <w:rPr>
        <w:rFonts w:hint="default"/>
        <w:lang w:val="es-ES" w:eastAsia="es-ES" w:bidi="es-ES"/>
      </w:rPr>
    </w:lvl>
    <w:lvl w:ilvl="5">
      <w:numFmt w:val="bullet"/>
      <w:lvlText w:val="•"/>
      <w:lvlJc w:val="left"/>
      <w:pPr>
        <w:ind w:left="4256" w:hanging="336"/>
      </w:pPr>
      <w:rPr>
        <w:rFonts w:hint="default"/>
        <w:lang w:val="es-ES" w:eastAsia="es-ES" w:bidi="es-ES"/>
      </w:rPr>
    </w:lvl>
    <w:lvl w:ilvl="6">
      <w:numFmt w:val="bullet"/>
      <w:lvlText w:val="•"/>
      <w:lvlJc w:val="left"/>
      <w:pPr>
        <w:ind w:left="5035" w:hanging="336"/>
      </w:pPr>
      <w:rPr>
        <w:rFonts w:hint="default"/>
        <w:lang w:val="es-ES" w:eastAsia="es-ES" w:bidi="es-ES"/>
      </w:rPr>
    </w:lvl>
    <w:lvl w:ilvl="7">
      <w:numFmt w:val="bullet"/>
      <w:lvlText w:val="•"/>
      <w:lvlJc w:val="left"/>
      <w:pPr>
        <w:ind w:left="5814" w:hanging="336"/>
      </w:pPr>
      <w:rPr>
        <w:rFonts w:hint="default"/>
        <w:lang w:val="es-ES" w:eastAsia="es-ES" w:bidi="es-ES"/>
      </w:rPr>
    </w:lvl>
    <w:lvl w:ilvl="8">
      <w:numFmt w:val="bullet"/>
      <w:lvlText w:val="•"/>
      <w:lvlJc w:val="left"/>
      <w:pPr>
        <w:ind w:left="6593" w:hanging="336"/>
      </w:pPr>
      <w:rPr>
        <w:rFonts w:hint="default"/>
        <w:lang w:val="es-ES" w:eastAsia="es-ES" w:bidi="es-ES"/>
      </w:rPr>
    </w:lvl>
  </w:abstractNum>
  <w:abstractNum w:abstractNumId="57" w15:restartNumberingAfterBreak="0">
    <w:nsid w:val="2BB216B5"/>
    <w:multiLevelType w:val="multilevel"/>
    <w:tmpl w:val="2BB216B5"/>
    <w:lvl w:ilvl="0">
      <w:numFmt w:val="bullet"/>
      <w:lvlText w:val=""/>
      <w:lvlJc w:val="left"/>
      <w:pPr>
        <w:ind w:left="293" w:hanging="221"/>
      </w:pPr>
      <w:rPr>
        <w:rFonts w:ascii="Symbol" w:eastAsia="Symbol" w:hAnsi="Symbol" w:cs="Symbol" w:hint="default"/>
        <w:w w:val="100"/>
        <w:sz w:val="22"/>
        <w:szCs w:val="22"/>
        <w:lang w:val="es-ES" w:eastAsia="es-ES" w:bidi="es-ES"/>
      </w:rPr>
    </w:lvl>
    <w:lvl w:ilvl="1">
      <w:numFmt w:val="bullet"/>
      <w:lvlText w:val="•"/>
      <w:lvlJc w:val="left"/>
      <w:pPr>
        <w:ind w:left="1085" w:hanging="221"/>
      </w:pPr>
      <w:rPr>
        <w:rFonts w:hint="default"/>
        <w:lang w:val="es-ES" w:eastAsia="es-ES" w:bidi="es-ES"/>
      </w:rPr>
    </w:lvl>
    <w:lvl w:ilvl="2">
      <w:numFmt w:val="bullet"/>
      <w:lvlText w:val="•"/>
      <w:lvlJc w:val="left"/>
      <w:pPr>
        <w:ind w:left="1870" w:hanging="221"/>
      </w:pPr>
      <w:rPr>
        <w:rFonts w:hint="default"/>
        <w:lang w:val="es-ES" w:eastAsia="es-ES" w:bidi="es-ES"/>
      </w:rPr>
    </w:lvl>
    <w:lvl w:ilvl="3">
      <w:numFmt w:val="bullet"/>
      <w:lvlText w:val="•"/>
      <w:lvlJc w:val="left"/>
      <w:pPr>
        <w:ind w:left="2655" w:hanging="221"/>
      </w:pPr>
      <w:rPr>
        <w:rFonts w:hint="default"/>
        <w:lang w:val="es-ES" w:eastAsia="es-ES" w:bidi="es-ES"/>
      </w:rPr>
    </w:lvl>
    <w:lvl w:ilvl="4">
      <w:numFmt w:val="bullet"/>
      <w:lvlText w:val="•"/>
      <w:lvlJc w:val="left"/>
      <w:pPr>
        <w:ind w:left="3440" w:hanging="221"/>
      </w:pPr>
      <w:rPr>
        <w:rFonts w:hint="default"/>
        <w:lang w:val="es-ES" w:eastAsia="es-ES" w:bidi="es-ES"/>
      </w:rPr>
    </w:lvl>
    <w:lvl w:ilvl="5">
      <w:numFmt w:val="bullet"/>
      <w:lvlText w:val="•"/>
      <w:lvlJc w:val="left"/>
      <w:pPr>
        <w:ind w:left="4226" w:hanging="221"/>
      </w:pPr>
      <w:rPr>
        <w:rFonts w:hint="default"/>
        <w:lang w:val="es-ES" w:eastAsia="es-ES" w:bidi="es-ES"/>
      </w:rPr>
    </w:lvl>
    <w:lvl w:ilvl="6">
      <w:numFmt w:val="bullet"/>
      <w:lvlText w:val="•"/>
      <w:lvlJc w:val="left"/>
      <w:pPr>
        <w:ind w:left="5011" w:hanging="221"/>
      </w:pPr>
      <w:rPr>
        <w:rFonts w:hint="default"/>
        <w:lang w:val="es-ES" w:eastAsia="es-ES" w:bidi="es-ES"/>
      </w:rPr>
    </w:lvl>
    <w:lvl w:ilvl="7">
      <w:numFmt w:val="bullet"/>
      <w:lvlText w:val="•"/>
      <w:lvlJc w:val="left"/>
      <w:pPr>
        <w:ind w:left="5796" w:hanging="221"/>
      </w:pPr>
      <w:rPr>
        <w:rFonts w:hint="default"/>
        <w:lang w:val="es-ES" w:eastAsia="es-ES" w:bidi="es-ES"/>
      </w:rPr>
    </w:lvl>
    <w:lvl w:ilvl="8">
      <w:numFmt w:val="bullet"/>
      <w:lvlText w:val="•"/>
      <w:lvlJc w:val="left"/>
      <w:pPr>
        <w:ind w:left="6581" w:hanging="221"/>
      </w:pPr>
      <w:rPr>
        <w:rFonts w:hint="default"/>
        <w:lang w:val="es-ES" w:eastAsia="es-ES" w:bidi="es-ES"/>
      </w:rPr>
    </w:lvl>
  </w:abstractNum>
  <w:abstractNum w:abstractNumId="58" w15:restartNumberingAfterBreak="0">
    <w:nsid w:val="2CB602C5"/>
    <w:multiLevelType w:val="multilevel"/>
    <w:tmpl w:val="2CB602C5"/>
    <w:lvl w:ilvl="0">
      <w:numFmt w:val="bullet"/>
      <w:lvlText w:val=""/>
      <w:lvlJc w:val="left"/>
      <w:pPr>
        <w:ind w:left="792" w:hanging="706"/>
      </w:pPr>
      <w:rPr>
        <w:rFonts w:ascii="Symbol" w:eastAsia="Symbol" w:hAnsi="Symbol" w:cs="Symbol" w:hint="default"/>
        <w:w w:val="100"/>
        <w:sz w:val="22"/>
        <w:szCs w:val="22"/>
        <w:lang w:val="es-ES" w:eastAsia="es-ES" w:bidi="es-ES"/>
      </w:rPr>
    </w:lvl>
    <w:lvl w:ilvl="1">
      <w:numFmt w:val="bullet"/>
      <w:lvlText w:val="•"/>
      <w:lvlJc w:val="left"/>
      <w:pPr>
        <w:ind w:left="1535" w:hanging="706"/>
      </w:pPr>
      <w:rPr>
        <w:rFonts w:hint="default"/>
        <w:lang w:val="es-ES" w:eastAsia="es-ES" w:bidi="es-ES"/>
      </w:rPr>
    </w:lvl>
    <w:lvl w:ilvl="2">
      <w:numFmt w:val="bullet"/>
      <w:lvlText w:val="•"/>
      <w:lvlJc w:val="left"/>
      <w:pPr>
        <w:ind w:left="2270" w:hanging="706"/>
      </w:pPr>
      <w:rPr>
        <w:rFonts w:hint="default"/>
        <w:lang w:val="es-ES" w:eastAsia="es-ES" w:bidi="es-ES"/>
      </w:rPr>
    </w:lvl>
    <w:lvl w:ilvl="3">
      <w:numFmt w:val="bullet"/>
      <w:lvlText w:val="•"/>
      <w:lvlJc w:val="left"/>
      <w:pPr>
        <w:ind w:left="3005" w:hanging="706"/>
      </w:pPr>
      <w:rPr>
        <w:rFonts w:hint="default"/>
        <w:lang w:val="es-ES" w:eastAsia="es-ES" w:bidi="es-ES"/>
      </w:rPr>
    </w:lvl>
    <w:lvl w:ilvl="4">
      <w:numFmt w:val="bullet"/>
      <w:lvlText w:val="•"/>
      <w:lvlJc w:val="left"/>
      <w:pPr>
        <w:ind w:left="3740" w:hanging="706"/>
      </w:pPr>
      <w:rPr>
        <w:rFonts w:hint="default"/>
        <w:lang w:val="es-ES" w:eastAsia="es-ES" w:bidi="es-ES"/>
      </w:rPr>
    </w:lvl>
    <w:lvl w:ilvl="5">
      <w:numFmt w:val="bullet"/>
      <w:lvlText w:val="•"/>
      <w:lvlJc w:val="left"/>
      <w:pPr>
        <w:ind w:left="4476" w:hanging="706"/>
      </w:pPr>
      <w:rPr>
        <w:rFonts w:hint="default"/>
        <w:lang w:val="es-ES" w:eastAsia="es-ES" w:bidi="es-ES"/>
      </w:rPr>
    </w:lvl>
    <w:lvl w:ilvl="6">
      <w:numFmt w:val="bullet"/>
      <w:lvlText w:val="•"/>
      <w:lvlJc w:val="left"/>
      <w:pPr>
        <w:ind w:left="5211" w:hanging="706"/>
      </w:pPr>
      <w:rPr>
        <w:rFonts w:hint="default"/>
        <w:lang w:val="es-ES" w:eastAsia="es-ES" w:bidi="es-ES"/>
      </w:rPr>
    </w:lvl>
    <w:lvl w:ilvl="7">
      <w:numFmt w:val="bullet"/>
      <w:lvlText w:val="•"/>
      <w:lvlJc w:val="left"/>
      <w:pPr>
        <w:ind w:left="5946" w:hanging="706"/>
      </w:pPr>
      <w:rPr>
        <w:rFonts w:hint="default"/>
        <w:lang w:val="es-ES" w:eastAsia="es-ES" w:bidi="es-ES"/>
      </w:rPr>
    </w:lvl>
    <w:lvl w:ilvl="8">
      <w:numFmt w:val="bullet"/>
      <w:lvlText w:val="•"/>
      <w:lvlJc w:val="left"/>
      <w:pPr>
        <w:ind w:left="6681" w:hanging="706"/>
      </w:pPr>
      <w:rPr>
        <w:rFonts w:hint="default"/>
        <w:lang w:val="es-ES" w:eastAsia="es-ES" w:bidi="es-ES"/>
      </w:rPr>
    </w:lvl>
  </w:abstractNum>
  <w:abstractNum w:abstractNumId="59" w15:restartNumberingAfterBreak="0">
    <w:nsid w:val="2D1377C9"/>
    <w:multiLevelType w:val="multilevel"/>
    <w:tmpl w:val="2D1377C9"/>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60" w15:restartNumberingAfterBreak="0">
    <w:nsid w:val="2DF43885"/>
    <w:multiLevelType w:val="multilevel"/>
    <w:tmpl w:val="2DF43885"/>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61" w15:restartNumberingAfterBreak="0">
    <w:nsid w:val="2E61794C"/>
    <w:multiLevelType w:val="multilevel"/>
    <w:tmpl w:val="2E61794C"/>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62" w15:restartNumberingAfterBreak="0">
    <w:nsid w:val="2E6474DF"/>
    <w:multiLevelType w:val="multilevel"/>
    <w:tmpl w:val="2E6474DF"/>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63" w15:restartNumberingAfterBreak="0">
    <w:nsid w:val="2EF526C1"/>
    <w:multiLevelType w:val="multilevel"/>
    <w:tmpl w:val="2EF526C1"/>
    <w:lvl w:ilvl="0">
      <w:numFmt w:val="bullet"/>
      <w:lvlText w:val=""/>
      <w:lvlJc w:val="left"/>
      <w:pPr>
        <w:ind w:left="293" w:hanging="221"/>
      </w:pPr>
      <w:rPr>
        <w:rFonts w:ascii="Symbol" w:eastAsia="Symbol" w:hAnsi="Symbol" w:cs="Symbol" w:hint="default"/>
        <w:w w:val="100"/>
        <w:sz w:val="22"/>
        <w:szCs w:val="22"/>
        <w:lang w:val="es-ES" w:eastAsia="es-ES" w:bidi="es-ES"/>
      </w:rPr>
    </w:lvl>
    <w:lvl w:ilvl="1">
      <w:numFmt w:val="bullet"/>
      <w:lvlText w:val="•"/>
      <w:lvlJc w:val="left"/>
      <w:pPr>
        <w:ind w:left="1085" w:hanging="221"/>
      </w:pPr>
      <w:rPr>
        <w:rFonts w:hint="default"/>
        <w:lang w:val="es-ES" w:eastAsia="es-ES" w:bidi="es-ES"/>
      </w:rPr>
    </w:lvl>
    <w:lvl w:ilvl="2">
      <w:numFmt w:val="bullet"/>
      <w:lvlText w:val="•"/>
      <w:lvlJc w:val="left"/>
      <w:pPr>
        <w:ind w:left="1870" w:hanging="221"/>
      </w:pPr>
      <w:rPr>
        <w:rFonts w:hint="default"/>
        <w:lang w:val="es-ES" w:eastAsia="es-ES" w:bidi="es-ES"/>
      </w:rPr>
    </w:lvl>
    <w:lvl w:ilvl="3">
      <w:numFmt w:val="bullet"/>
      <w:lvlText w:val="•"/>
      <w:lvlJc w:val="left"/>
      <w:pPr>
        <w:ind w:left="2655" w:hanging="221"/>
      </w:pPr>
      <w:rPr>
        <w:rFonts w:hint="default"/>
        <w:lang w:val="es-ES" w:eastAsia="es-ES" w:bidi="es-ES"/>
      </w:rPr>
    </w:lvl>
    <w:lvl w:ilvl="4">
      <w:numFmt w:val="bullet"/>
      <w:lvlText w:val="•"/>
      <w:lvlJc w:val="left"/>
      <w:pPr>
        <w:ind w:left="3440" w:hanging="221"/>
      </w:pPr>
      <w:rPr>
        <w:rFonts w:hint="default"/>
        <w:lang w:val="es-ES" w:eastAsia="es-ES" w:bidi="es-ES"/>
      </w:rPr>
    </w:lvl>
    <w:lvl w:ilvl="5">
      <w:numFmt w:val="bullet"/>
      <w:lvlText w:val="•"/>
      <w:lvlJc w:val="left"/>
      <w:pPr>
        <w:ind w:left="4226" w:hanging="221"/>
      </w:pPr>
      <w:rPr>
        <w:rFonts w:hint="default"/>
        <w:lang w:val="es-ES" w:eastAsia="es-ES" w:bidi="es-ES"/>
      </w:rPr>
    </w:lvl>
    <w:lvl w:ilvl="6">
      <w:numFmt w:val="bullet"/>
      <w:lvlText w:val="•"/>
      <w:lvlJc w:val="left"/>
      <w:pPr>
        <w:ind w:left="5011" w:hanging="221"/>
      </w:pPr>
      <w:rPr>
        <w:rFonts w:hint="default"/>
        <w:lang w:val="es-ES" w:eastAsia="es-ES" w:bidi="es-ES"/>
      </w:rPr>
    </w:lvl>
    <w:lvl w:ilvl="7">
      <w:numFmt w:val="bullet"/>
      <w:lvlText w:val="•"/>
      <w:lvlJc w:val="left"/>
      <w:pPr>
        <w:ind w:left="5796" w:hanging="221"/>
      </w:pPr>
      <w:rPr>
        <w:rFonts w:hint="default"/>
        <w:lang w:val="es-ES" w:eastAsia="es-ES" w:bidi="es-ES"/>
      </w:rPr>
    </w:lvl>
    <w:lvl w:ilvl="8">
      <w:numFmt w:val="bullet"/>
      <w:lvlText w:val="•"/>
      <w:lvlJc w:val="left"/>
      <w:pPr>
        <w:ind w:left="6581" w:hanging="221"/>
      </w:pPr>
      <w:rPr>
        <w:rFonts w:hint="default"/>
        <w:lang w:val="es-ES" w:eastAsia="es-ES" w:bidi="es-ES"/>
      </w:rPr>
    </w:lvl>
  </w:abstractNum>
  <w:abstractNum w:abstractNumId="64" w15:restartNumberingAfterBreak="0">
    <w:nsid w:val="2F0F7FAF"/>
    <w:multiLevelType w:val="multilevel"/>
    <w:tmpl w:val="2F0F7FAF"/>
    <w:lvl w:ilvl="0">
      <w:numFmt w:val="bullet"/>
      <w:lvlText w:val="-"/>
      <w:lvlJc w:val="left"/>
      <w:pPr>
        <w:ind w:left="495" w:hanging="360"/>
      </w:pPr>
      <w:rPr>
        <w:rFonts w:ascii="Arial Narrow" w:eastAsia="Arial Narrow" w:hAnsi="Arial Narrow" w:cs="Arial Narrow" w:hint="default"/>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65" w15:restartNumberingAfterBreak="0">
    <w:nsid w:val="2F823C9C"/>
    <w:multiLevelType w:val="multilevel"/>
    <w:tmpl w:val="2F823C9C"/>
    <w:lvl w:ilvl="0">
      <w:numFmt w:val="bullet"/>
      <w:lvlText w:val=""/>
      <w:lvlJc w:val="left"/>
      <w:pPr>
        <w:ind w:left="370" w:hanging="298"/>
      </w:pPr>
      <w:rPr>
        <w:rFonts w:ascii="Symbol" w:eastAsia="Symbol" w:hAnsi="Symbol" w:cs="Symbol" w:hint="default"/>
        <w:w w:val="100"/>
        <w:sz w:val="22"/>
        <w:szCs w:val="22"/>
        <w:lang w:val="es-ES" w:eastAsia="es-ES" w:bidi="es-ES"/>
      </w:rPr>
    </w:lvl>
    <w:lvl w:ilvl="1">
      <w:numFmt w:val="bullet"/>
      <w:lvlText w:val="•"/>
      <w:lvlJc w:val="left"/>
      <w:pPr>
        <w:ind w:left="1157" w:hanging="298"/>
      </w:pPr>
      <w:rPr>
        <w:rFonts w:hint="default"/>
        <w:lang w:val="es-ES" w:eastAsia="es-ES" w:bidi="es-ES"/>
      </w:rPr>
    </w:lvl>
    <w:lvl w:ilvl="2">
      <w:numFmt w:val="bullet"/>
      <w:lvlText w:val="•"/>
      <w:lvlJc w:val="left"/>
      <w:pPr>
        <w:ind w:left="1934" w:hanging="298"/>
      </w:pPr>
      <w:rPr>
        <w:rFonts w:hint="default"/>
        <w:lang w:val="es-ES" w:eastAsia="es-ES" w:bidi="es-ES"/>
      </w:rPr>
    </w:lvl>
    <w:lvl w:ilvl="3">
      <w:numFmt w:val="bullet"/>
      <w:lvlText w:val="•"/>
      <w:lvlJc w:val="left"/>
      <w:pPr>
        <w:ind w:left="2711" w:hanging="298"/>
      </w:pPr>
      <w:rPr>
        <w:rFonts w:hint="default"/>
        <w:lang w:val="es-ES" w:eastAsia="es-ES" w:bidi="es-ES"/>
      </w:rPr>
    </w:lvl>
    <w:lvl w:ilvl="4">
      <w:numFmt w:val="bullet"/>
      <w:lvlText w:val="•"/>
      <w:lvlJc w:val="left"/>
      <w:pPr>
        <w:ind w:left="3488" w:hanging="298"/>
      </w:pPr>
      <w:rPr>
        <w:rFonts w:hint="default"/>
        <w:lang w:val="es-ES" w:eastAsia="es-ES" w:bidi="es-ES"/>
      </w:rPr>
    </w:lvl>
    <w:lvl w:ilvl="5">
      <w:numFmt w:val="bullet"/>
      <w:lvlText w:val="•"/>
      <w:lvlJc w:val="left"/>
      <w:pPr>
        <w:ind w:left="4266" w:hanging="298"/>
      </w:pPr>
      <w:rPr>
        <w:rFonts w:hint="default"/>
        <w:lang w:val="es-ES" w:eastAsia="es-ES" w:bidi="es-ES"/>
      </w:rPr>
    </w:lvl>
    <w:lvl w:ilvl="6">
      <w:numFmt w:val="bullet"/>
      <w:lvlText w:val="•"/>
      <w:lvlJc w:val="left"/>
      <w:pPr>
        <w:ind w:left="5043" w:hanging="298"/>
      </w:pPr>
      <w:rPr>
        <w:rFonts w:hint="default"/>
        <w:lang w:val="es-ES" w:eastAsia="es-ES" w:bidi="es-ES"/>
      </w:rPr>
    </w:lvl>
    <w:lvl w:ilvl="7">
      <w:numFmt w:val="bullet"/>
      <w:lvlText w:val="•"/>
      <w:lvlJc w:val="left"/>
      <w:pPr>
        <w:ind w:left="5820" w:hanging="298"/>
      </w:pPr>
      <w:rPr>
        <w:rFonts w:hint="default"/>
        <w:lang w:val="es-ES" w:eastAsia="es-ES" w:bidi="es-ES"/>
      </w:rPr>
    </w:lvl>
    <w:lvl w:ilvl="8">
      <w:numFmt w:val="bullet"/>
      <w:lvlText w:val="•"/>
      <w:lvlJc w:val="left"/>
      <w:pPr>
        <w:ind w:left="6597" w:hanging="298"/>
      </w:pPr>
      <w:rPr>
        <w:rFonts w:hint="default"/>
        <w:lang w:val="es-ES" w:eastAsia="es-ES" w:bidi="es-ES"/>
      </w:rPr>
    </w:lvl>
  </w:abstractNum>
  <w:abstractNum w:abstractNumId="66" w15:restartNumberingAfterBreak="0">
    <w:nsid w:val="2FEF2E4C"/>
    <w:multiLevelType w:val="multilevel"/>
    <w:tmpl w:val="2FEF2E4C"/>
    <w:lvl w:ilvl="0">
      <w:numFmt w:val="bullet"/>
      <w:lvlText w:val=""/>
      <w:lvlJc w:val="left"/>
      <w:pPr>
        <w:ind w:left="293" w:hanging="221"/>
      </w:pPr>
      <w:rPr>
        <w:rFonts w:ascii="Symbol" w:eastAsia="Symbol" w:hAnsi="Symbol" w:cs="Symbol" w:hint="default"/>
        <w:w w:val="100"/>
        <w:sz w:val="22"/>
        <w:szCs w:val="22"/>
        <w:lang w:val="es-ES" w:eastAsia="es-ES" w:bidi="es-ES"/>
      </w:rPr>
    </w:lvl>
    <w:lvl w:ilvl="1">
      <w:numFmt w:val="bullet"/>
      <w:lvlText w:val=""/>
      <w:lvlJc w:val="left"/>
      <w:pPr>
        <w:ind w:left="792" w:hanging="346"/>
      </w:pPr>
      <w:rPr>
        <w:rFonts w:ascii="Symbol" w:eastAsia="Symbol" w:hAnsi="Symbol" w:cs="Symbol" w:hint="default"/>
        <w:w w:val="100"/>
        <w:sz w:val="22"/>
        <w:szCs w:val="22"/>
        <w:lang w:val="es-ES" w:eastAsia="es-ES" w:bidi="es-ES"/>
      </w:rPr>
    </w:lvl>
    <w:lvl w:ilvl="2">
      <w:numFmt w:val="bullet"/>
      <w:lvlText w:val="•"/>
      <w:lvlJc w:val="left"/>
      <w:pPr>
        <w:ind w:left="1616" w:hanging="346"/>
      </w:pPr>
      <w:rPr>
        <w:rFonts w:hint="default"/>
        <w:lang w:val="es-ES" w:eastAsia="es-ES" w:bidi="es-ES"/>
      </w:rPr>
    </w:lvl>
    <w:lvl w:ilvl="3">
      <w:numFmt w:val="bullet"/>
      <w:lvlText w:val="•"/>
      <w:lvlJc w:val="left"/>
      <w:pPr>
        <w:ind w:left="2433" w:hanging="346"/>
      </w:pPr>
      <w:rPr>
        <w:rFonts w:hint="default"/>
        <w:lang w:val="es-ES" w:eastAsia="es-ES" w:bidi="es-ES"/>
      </w:rPr>
    </w:lvl>
    <w:lvl w:ilvl="4">
      <w:numFmt w:val="bullet"/>
      <w:lvlText w:val="•"/>
      <w:lvlJc w:val="left"/>
      <w:pPr>
        <w:ind w:left="3250" w:hanging="346"/>
      </w:pPr>
      <w:rPr>
        <w:rFonts w:hint="default"/>
        <w:lang w:val="es-ES" w:eastAsia="es-ES" w:bidi="es-ES"/>
      </w:rPr>
    </w:lvl>
    <w:lvl w:ilvl="5">
      <w:numFmt w:val="bullet"/>
      <w:lvlText w:val="•"/>
      <w:lvlJc w:val="left"/>
      <w:pPr>
        <w:ind w:left="4067" w:hanging="346"/>
      </w:pPr>
      <w:rPr>
        <w:rFonts w:hint="default"/>
        <w:lang w:val="es-ES" w:eastAsia="es-ES" w:bidi="es-ES"/>
      </w:rPr>
    </w:lvl>
    <w:lvl w:ilvl="6">
      <w:numFmt w:val="bullet"/>
      <w:lvlText w:val="•"/>
      <w:lvlJc w:val="left"/>
      <w:pPr>
        <w:ind w:left="4884" w:hanging="346"/>
      </w:pPr>
      <w:rPr>
        <w:rFonts w:hint="default"/>
        <w:lang w:val="es-ES" w:eastAsia="es-ES" w:bidi="es-ES"/>
      </w:rPr>
    </w:lvl>
    <w:lvl w:ilvl="7">
      <w:numFmt w:val="bullet"/>
      <w:lvlText w:val="•"/>
      <w:lvlJc w:val="left"/>
      <w:pPr>
        <w:ind w:left="5701" w:hanging="346"/>
      </w:pPr>
      <w:rPr>
        <w:rFonts w:hint="default"/>
        <w:lang w:val="es-ES" w:eastAsia="es-ES" w:bidi="es-ES"/>
      </w:rPr>
    </w:lvl>
    <w:lvl w:ilvl="8">
      <w:numFmt w:val="bullet"/>
      <w:lvlText w:val="•"/>
      <w:lvlJc w:val="left"/>
      <w:pPr>
        <w:ind w:left="6518" w:hanging="346"/>
      </w:pPr>
      <w:rPr>
        <w:rFonts w:hint="default"/>
        <w:lang w:val="es-ES" w:eastAsia="es-ES" w:bidi="es-ES"/>
      </w:rPr>
    </w:lvl>
  </w:abstractNum>
  <w:abstractNum w:abstractNumId="67" w15:restartNumberingAfterBreak="0">
    <w:nsid w:val="30642646"/>
    <w:multiLevelType w:val="multilevel"/>
    <w:tmpl w:val="30642646"/>
    <w:lvl w:ilvl="0">
      <w:start w:val="1"/>
      <w:numFmt w:val="lowerRoman"/>
      <w:lvlText w:val="%1)"/>
      <w:lvlJc w:val="left"/>
      <w:pPr>
        <w:ind w:left="1080" w:hanging="72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17F008D"/>
    <w:multiLevelType w:val="multilevel"/>
    <w:tmpl w:val="317F008D"/>
    <w:lvl w:ilvl="0">
      <w:start w:val="3"/>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2A77F61"/>
    <w:multiLevelType w:val="multilevel"/>
    <w:tmpl w:val="32A77F61"/>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70" w15:restartNumberingAfterBreak="0">
    <w:nsid w:val="32E41810"/>
    <w:multiLevelType w:val="multilevel"/>
    <w:tmpl w:val="32E4181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71" w15:restartNumberingAfterBreak="0">
    <w:nsid w:val="3326777C"/>
    <w:multiLevelType w:val="multilevel"/>
    <w:tmpl w:val="3326777C"/>
    <w:lvl w:ilvl="0">
      <w:numFmt w:val="bullet"/>
      <w:lvlText w:val=""/>
      <w:lvlJc w:val="left"/>
      <w:pPr>
        <w:ind w:left="792" w:hanging="346"/>
      </w:pPr>
      <w:rPr>
        <w:rFonts w:ascii="Symbol" w:eastAsia="Symbol" w:hAnsi="Symbol" w:cs="Symbol" w:hint="default"/>
        <w:w w:val="100"/>
        <w:sz w:val="22"/>
        <w:szCs w:val="22"/>
        <w:lang w:val="es-ES" w:eastAsia="es-ES" w:bidi="es-ES"/>
      </w:rPr>
    </w:lvl>
    <w:lvl w:ilvl="1">
      <w:numFmt w:val="bullet"/>
      <w:lvlText w:val="•"/>
      <w:lvlJc w:val="left"/>
      <w:pPr>
        <w:ind w:left="1535" w:hanging="346"/>
      </w:pPr>
      <w:rPr>
        <w:rFonts w:hint="default"/>
        <w:lang w:val="es-ES" w:eastAsia="es-ES" w:bidi="es-ES"/>
      </w:rPr>
    </w:lvl>
    <w:lvl w:ilvl="2">
      <w:numFmt w:val="bullet"/>
      <w:lvlText w:val="•"/>
      <w:lvlJc w:val="left"/>
      <w:pPr>
        <w:ind w:left="2270" w:hanging="346"/>
      </w:pPr>
      <w:rPr>
        <w:rFonts w:hint="default"/>
        <w:lang w:val="es-ES" w:eastAsia="es-ES" w:bidi="es-ES"/>
      </w:rPr>
    </w:lvl>
    <w:lvl w:ilvl="3">
      <w:numFmt w:val="bullet"/>
      <w:lvlText w:val="•"/>
      <w:lvlJc w:val="left"/>
      <w:pPr>
        <w:ind w:left="3005" w:hanging="346"/>
      </w:pPr>
      <w:rPr>
        <w:rFonts w:hint="default"/>
        <w:lang w:val="es-ES" w:eastAsia="es-ES" w:bidi="es-ES"/>
      </w:rPr>
    </w:lvl>
    <w:lvl w:ilvl="4">
      <w:numFmt w:val="bullet"/>
      <w:lvlText w:val="•"/>
      <w:lvlJc w:val="left"/>
      <w:pPr>
        <w:ind w:left="3740" w:hanging="346"/>
      </w:pPr>
      <w:rPr>
        <w:rFonts w:hint="default"/>
        <w:lang w:val="es-ES" w:eastAsia="es-ES" w:bidi="es-ES"/>
      </w:rPr>
    </w:lvl>
    <w:lvl w:ilvl="5">
      <w:numFmt w:val="bullet"/>
      <w:lvlText w:val="•"/>
      <w:lvlJc w:val="left"/>
      <w:pPr>
        <w:ind w:left="4476" w:hanging="346"/>
      </w:pPr>
      <w:rPr>
        <w:rFonts w:hint="default"/>
        <w:lang w:val="es-ES" w:eastAsia="es-ES" w:bidi="es-ES"/>
      </w:rPr>
    </w:lvl>
    <w:lvl w:ilvl="6">
      <w:numFmt w:val="bullet"/>
      <w:lvlText w:val="•"/>
      <w:lvlJc w:val="left"/>
      <w:pPr>
        <w:ind w:left="5211" w:hanging="346"/>
      </w:pPr>
      <w:rPr>
        <w:rFonts w:hint="default"/>
        <w:lang w:val="es-ES" w:eastAsia="es-ES" w:bidi="es-ES"/>
      </w:rPr>
    </w:lvl>
    <w:lvl w:ilvl="7">
      <w:numFmt w:val="bullet"/>
      <w:lvlText w:val="•"/>
      <w:lvlJc w:val="left"/>
      <w:pPr>
        <w:ind w:left="5946" w:hanging="346"/>
      </w:pPr>
      <w:rPr>
        <w:rFonts w:hint="default"/>
        <w:lang w:val="es-ES" w:eastAsia="es-ES" w:bidi="es-ES"/>
      </w:rPr>
    </w:lvl>
    <w:lvl w:ilvl="8">
      <w:numFmt w:val="bullet"/>
      <w:lvlText w:val="•"/>
      <w:lvlJc w:val="left"/>
      <w:pPr>
        <w:ind w:left="6681" w:hanging="346"/>
      </w:pPr>
      <w:rPr>
        <w:rFonts w:hint="default"/>
        <w:lang w:val="es-ES" w:eastAsia="es-ES" w:bidi="es-ES"/>
      </w:rPr>
    </w:lvl>
  </w:abstractNum>
  <w:abstractNum w:abstractNumId="72" w15:restartNumberingAfterBreak="0">
    <w:nsid w:val="33615869"/>
    <w:multiLevelType w:val="multilevel"/>
    <w:tmpl w:val="33615869"/>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73" w15:restartNumberingAfterBreak="0">
    <w:nsid w:val="337E2EB9"/>
    <w:multiLevelType w:val="multilevel"/>
    <w:tmpl w:val="337E2EB9"/>
    <w:lvl w:ilvl="0">
      <w:start w:val="1"/>
      <w:numFmt w:val="lowerRoman"/>
      <w:lvlText w:val="%1)"/>
      <w:lvlJc w:val="left"/>
      <w:pPr>
        <w:ind w:left="1006" w:hanging="720"/>
      </w:pPr>
      <w:rPr>
        <w:rFonts w:hint="default"/>
      </w:rPr>
    </w:lvl>
    <w:lvl w:ilvl="1">
      <w:start w:val="1"/>
      <w:numFmt w:val="lowerLetter"/>
      <w:lvlText w:val="%2."/>
      <w:lvlJc w:val="left"/>
      <w:pPr>
        <w:ind w:left="1366" w:hanging="360"/>
      </w:pPr>
    </w:lvl>
    <w:lvl w:ilvl="2">
      <w:start w:val="1"/>
      <w:numFmt w:val="lowerRoman"/>
      <w:lvlText w:val="%3."/>
      <w:lvlJc w:val="right"/>
      <w:pPr>
        <w:ind w:left="2086" w:hanging="180"/>
      </w:pPr>
    </w:lvl>
    <w:lvl w:ilvl="3">
      <w:start w:val="1"/>
      <w:numFmt w:val="decimal"/>
      <w:lvlText w:val="%4."/>
      <w:lvlJc w:val="left"/>
      <w:pPr>
        <w:ind w:left="2806" w:hanging="360"/>
      </w:pPr>
    </w:lvl>
    <w:lvl w:ilvl="4">
      <w:start w:val="1"/>
      <w:numFmt w:val="lowerLetter"/>
      <w:lvlText w:val="%5."/>
      <w:lvlJc w:val="left"/>
      <w:pPr>
        <w:ind w:left="3526" w:hanging="360"/>
      </w:pPr>
    </w:lvl>
    <w:lvl w:ilvl="5">
      <w:start w:val="1"/>
      <w:numFmt w:val="lowerRoman"/>
      <w:lvlText w:val="%6."/>
      <w:lvlJc w:val="right"/>
      <w:pPr>
        <w:ind w:left="4246" w:hanging="180"/>
      </w:pPr>
    </w:lvl>
    <w:lvl w:ilvl="6">
      <w:start w:val="1"/>
      <w:numFmt w:val="decimal"/>
      <w:lvlText w:val="%7."/>
      <w:lvlJc w:val="left"/>
      <w:pPr>
        <w:ind w:left="4966" w:hanging="360"/>
      </w:pPr>
    </w:lvl>
    <w:lvl w:ilvl="7">
      <w:start w:val="1"/>
      <w:numFmt w:val="lowerLetter"/>
      <w:lvlText w:val="%8."/>
      <w:lvlJc w:val="left"/>
      <w:pPr>
        <w:ind w:left="5686" w:hanging="360"/>
      </w:pPr>
    </w:lvl>
    <w:lvl w:ilvl="8">
      <w:start w:val="1"/>
      <w:numFmt w:val="lowerRoman"/>
      <w:lvlText w:val="%9."/>
      <w:lvlJc w:val="right"/>
      <w:pPr>
        <w:ind w:left="6406" w:hanging="180"/>
      </w:pPr>
    </w:lvl>
  </w:abstractNum>
  <w:abstractNum w:abstractNumId="74" w15:restartNumberingAfterBreak="0">
    <w:nsid w:val="34403196"/>
    <w:multiLevelType w:val="multilevel"/>
    <w:tmpl w:val="34403196"/>
    <w:lvl w:ilvl="0">
      <w:numFmt w:val="bullet"/>
      <w:lvlText w:val=""/>
      <w:lvlJc w:val="left"/>
      <w:pPr>
        <w:ind w:left="360" w:hanging="336"/>
      </w:pPr>
      <w:rPr>
        <w:rFonts w:ascii="Symbol" w:eastAsia="Symbol" w:hAnsi="Symbol" w:cs="Symbol" w:hint="default"/>
        <w:w w:val="100"/>
        <w:sz w:val="22"/>
        <w:szCs w:val="22"/>
        <w:lang w:val="es-ES" w:eastAsia="es-ES" w:bidi="es-ES"/>
      </w:rPr>
    </w:lvl>
    <w:lvl w:ilvl="1">
      <w:numFmt w:val="bullet"/>
      <w:lvlText w:val="•"/>
      <w:lvlJc w:val="left"/>
      <w:pPr>
        <w:ind w:left="1139" w:hanging="336"/>
      </w:pPr>
      <w:rPr>
        <w:rFonts w:hint="default"/>
        <w:lang w:val="es-ES" w:eastAsia="es-ES" w:bidi="es-ES"/>
      </w:rPr>
    </w:lvl>
    <w:lvl w:ilvl="2">
      <w:numFmt w:val="bullet"/>
      <w:lvlText w:val="•"/>
      <w:lvlJc w:val="left"/>
      <w:pPr>
        <w:ind w:left="1918" w:hanging="336"/>
      </w:pPr>
      <w:rPr>
        <w:rFonts w:hint="default"/>
        <w:lang w:val="es-ES" w:eastAsia="es-ES" w:bidi="es-ES"/>
      </w:rPr>
    </w:lvl>
    <w:lvl w:ilvl="3">
      <w:numFmt w:val="bullet"/>
      <w:lvlText w:val="•"/>
      <w:lvlJc w:val="left"/>
      <w:pPr>
        <w:ind w:left="2697" w:hanging="336"/>
      </w:pPr>
      <w:rPr>
        <w:rFonts w:hint="default"/>
        <w:lang w:val="es-ES" w:eastAsia="es-ES" w:bidi="es-ES"/>
      </w:rPr>
    </w:lvl>
    <w:lvl w:ilvl="4">
      <w:numFmt w:val="bullet"/>
      <w:lvlText w:val="•"/>
      <w:lvlJc w:val="left"/>
      <w:pPr>
        <w:ind w:left="3476" w:hanging="336"/>
      </w:pPr>
      <w:rPr>
        <w:rFonts w:hint="default"/>
        <w:lang w:val="es-ES" w:eastAsia="es-ES" w:bidi="es-ES"/>
      </w:rPr>
    </w:lvl>
    <w:lvl w:ilvl="5">
      <w:numFmt w:val="bullet"/>
      <w:lvlText w:val="•"/>
      <w:lvlJc w:val="left"/>
      <w:pPr>
        <w:ind w:left="4256" w:hanging="336"/>
      </w:pPr>
      <w:rPr>
        <w:rFonts w:hint="default"/>
        <w:lang w:val="es-ES" w:eastAsia="es-ES" w:bidi="es-ES"/>
      </w:rPr>
    </w:lvl>
    <w:lvl w:ilvl="6">
      <w:numFmt w:val="bullet"/>
      <w:lvlText w:val="•"/>
      <w:lvlJc w:val="left"/>
      <w:pPr>
        <w:ind w:left="5035" w:hanging="336"/>
      </w:pPr>
      <w:rPr>
        <w:rFonts w:hint="default"/>
        <w:lang w:val="es-ES" w:eastAsia="es-ES" w:bidi="es-ES"/>
      </w:rPr>
    </w:lvl>
    <w:lvl w:ilvl="7">
      <w:numFmt w:val="bullet"/>
      <w:lvlText w:val="•"/>
      <w:lvlJc w:val="left"/>
      <w:pPr>
        <w:ind w:left="5814" w:hanging="336"/>
      </w:pPr>
      <w:rPr>
        <w:rFonts w:hint="default"/>
        <w:lang w:val="es-ES" w:eastAsia="es-ES" w:bidi="es-ES"/>
      </w:rPr>
    </w:lvl>
    <w:lvl w:ilvl="8">
      <w:numFmt w:val="bullet"/>
      <w:lvlText w:val="•"/>
      <w:lvlJc w:val="left"/>
      <w:pPr>
        <w:ind w:left="6593" w:hanging="336"/>
      </w:pPr>
      <w:rPr>
        <w:rFonts w:hint="default"/>
        <w:lang w:val="es-ES" w:eastAsia="es-ES" w:bidi="es-ES"/>
      </w:rPr>
    </w:lvl>
  </w:abstractNum>
  <w:abstractNum w:abstractNumId="75" w15:restartNumberingAfterBreak="0">
    <w:nsid w:val="3470781C"/>
    <w:multiLevelType w:val="multilevel"/>
    <w:tmpl w:val="3470781C"/>
    <w:lvl w:ilvl="0">
      <w:numFmt w:val="bullet"/>
      <w:lvlText w:val="-"/>
      <w:lvlJc w:val="left"/>
      <w:pPr>
        <w:ind w:left="1138" w:hanging="360"/>
      </w:pPr>
      <w:rPr>
        <w:rFonts w:ascii="Arial Narrow" w:eastAsia="Arial Narrow" w:hAnsi="Arial Narrow" w:cs="Arial Narrow" w:hint="default"/>
      </w:rPr>
    </w:lvl>
    <w:lvl w:ilvl="1">
      <w:start w:val="1"/>
      <w:numFmt w:val="bullet"/>
      <w:lvlText w:val="o"/>
      <w:lvlJc w:val="left"/>
      <w:pPr>
        <w:ind w:left="1858" w:hanging="360"/>
      </w:pPr>
      <w:rPr>
        <w:rFonts w:ascii="Courier New" w:hAnsi="Courier New" w:cs="Courier New" w:hint="default"/>
      </w:rPr>
    </w:lvl>
    <w:lvl w:ilvl="2">
      <w:start w:val="1"/>
      <w:numFmt w:val="bullet"/>
      <w:lvlText w:val=""/>
      <w:lvlJc w:val="left"/>
      <w:pPr>
        <w:ind w:left="2578" w:hanging="360"/>
      </w:pPr>
      <w:rPr>
        <w:rFonts w:ascii="Wingdings" w:hAnsi="Wingdings" w:hint="default"/>
      </w:rPr>
    </w:lvl>
    <w:lvl w:ilvl="3">
      <w:start w:val="1"/>
      <w:numFmt w:val="bullet"/>
      <w:lvlText w:val=""/>
      <w:lvlJc w:val="left"/>
      <w:pPr>
        <w:ind w:left="3298" w:hanging="360"/>
      </w:pPr>
      <w:rPr>
        <w:rFonts w:ascii="Symbol" w:hAnsi="Symbol" w:hint="default"/>
      </w:rPr>
    </w:lvl>
    <w:lvl w:ilvl="4">
      <w:start w:val="1"/>
      <w:numFmt w:val="bullet"/>
      <w:lvlText w:val="o"/>
      <w:lvlJc w:val="left"/>
      <w:pPr>
        <w:ind w:left="4018" w:hanging="360"/>
      </w:pPr>
      <w:rPr>
        <w:rFonts w:ascii="Courier New" w:hAnsi="Courier New" w:cs="Courier New" w:hint="default"/>
      </w:rPr>
    </w:lvl>
    <w:lvl w:ilvl="5">
      <w:start w:val="1"/>
      <w:numFmt w:val="bullet"/>
      <w:lvlText w:val=""/>
      <w:lvlJc w:val="left"/>
      <w:pPr>
        <w:ind w:left="4738" w:hanging="360"/>
      </w:pPr>
      <w:rPr>
        <w:rFonts w:ascii="Wingdings" w:hAnsi="Wingdings" w:hint="default"/>
      </w:rPr>
    </w:lvl>
    <w:lvl w:ilvl="6">
      <w:start w:val="1"/>
      <w:numFmt w:val="bullet"/>
      <w:lvlText w:val=""/>
      <w:lvlJc w:val="left"/>
      <w:pPr>
        <w:ind w:left="5458" w:hanging="360"/>
      </w:pPr>
      <w:rPr>
        <w:rFonts w:ascii="Symbol" w:hAnsi="Symbol" w:hint="default"/>
      </w:rPr>
    </w:lvl>
    <w:lvl w:ilvl="7">
      <w:start w:val="1"/>
      <w:numFmt w:val="bullet"/>
      <w:lvlText w:val="o"/>
      <w:lvlJc w:val="left"/>
      <w:pPr>
        <w:ind w:left="6178" w:hanging="360"/>
      </w:pPr>
      <w:rPr>
        <w:rFonts w:ascii="Courier New" w:hAnsi="Courier New" w:cs="Courier New" w:hint="default"/>
      </w:rPr>
    </w:lvl>
    <w:lvl w:ilvl="8">
      <w:start w:val="1"/>
      <w:numFmt w:val="bullet"/>
      <w:lvlText w:val=""/>
      <w:lvlJc w:val="left"/>
      <w:pPr>
        <w:ind w:left="6898" w:hanging="360"/>
      </w:pPr>
      <w:rPr>
        <w:rFonts w:ascii="Wingdings" w:hAnsi="Wingdings" w:hint="default"/>
      </w:rPr>
    </w:lvl>
  </w:abstractNum>
  <w:abstractNum w:abstractNumId="76" w15:restartNumberingAfterBreak="0">
    <w:nsid w:val="349D1752"/>
    <w:multiLevelType w:val="multilevel"/>
    <w:tmpl w:val="349D1752"/>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778" w:hanging="346"/>
      </w:pPr>
      <w:rPr>
        <w:rFonts w:ascii="Symbol" w:eastAsia="Symbol" w:hAnsi="Symbol" w:cs="Symbol" w:hint="default"/>
        <w:w w:val="100"/>
        <w:sz w:val="22"/>
        <w:szCs w:val="22"/>
        <w:lang w:val="es-ES" w:eastAsia="es-ES" w:bidi="es-ES"/>
      </w:rPr>
    </w:lvl>
    <w:lvl w:ilvl="2">
      <w:numFmt w:val="bullet"/>
      <w:lvlText w:val="•"/>
      <w:lvlJc w:val="left"/>
      <w:pPr>
        <w:ind w:left="1599" w:hanging="346"/>
      </w:pPr>
      <w:rPr>
        <w:rFonts w:hint="default"/>
        <w:lang w:val="es-ES" w:eastAsia="es-ES" w:bidi="es-ES"/>
      </w:rPr>
    </w:lvl>
    <w:lvl w:ilvl="3">
      <w:numFmt w:val="bullet"/>
      <w:lvlText w:val="•"/>
      <w:lvlJc w:val="left"/>
      <w:pPr>
        <w:ind w:left="2418" w:hanging="346"/>
      </w:pPr>
      <w:rPr>
        <w:rFonts w:hint="default"/>
        <w:lang w:val="es-ES" w:eastAsia="es-ES" w:bidi="es-ES"/>
      </w:rPr>
    </w:lvl>
    <w:lvl w:ilvl="4">
      <w:numFmt w:val="bullet"/>
      <w:lvlText w:val="•"/>
      <w:lvlJc w:val="left"/>
      <w:pPr>
        <w:ind w:left="3237" w:hanging="346"/>
      </w:pPr>
      <w:rPr>
        <w:rFonts w:hint="default"/>
        <w:lang w:val="es-ES" w:eastAsia="es-ES" w:bidi="es-ES"/>
      </w:rPr>
    </w:lvl>
    <w:lvl w:ilvl="5">
      <w:numFmt w:val="bullet"/>
      <w:lvlText w:val="•"/>
      <w:lvlJc w:val="left"/>
      <w:pPr>
        <w:ind w:left="4056" w:hanging="346"/>
      </w:pPr>
      <w:rPr>
        <w:rFonts w:hint="default"/>
        <w:lang w:val="es-ES" w:eastAsia="es-ES" w:bidi="es-ES"/>
      </w:rPr>
    </w:lvl>
    <w:lvl w:ilvl="6">
      <w:numFmt w:val="bullet"/>
      <w:lvlText w:val="•"/>
      <w:lvlJc w:val="left"/>
      <w:pPr>
        <w:ind w:left="4875" w:hanging="346"/>
      </w:pPr>
      <w:rPr>
        <w:rFonts w:hint="default"/>
        <w:lang w:val="es-ES" w:eastAsia="es-ES" w:bidi="es-ES"/>
      </w:rPr>
    </w:lvl>
    <w:lvl w:ilvl="7">
      <w:numFmt w:val="bullet"/>
      <w:lvlText w:val="•"/>
      <w:lvlJc w:val="left"/>
      <w:pPr>
        <w:ind w:left="5694" w:hanging="346"/>
      </w:pPr>
      <w:rPr>
        <w:rFonts w:hint="default"/>
        <w:lang w:val="es-ES" w:eastAsia="es-ES" w:bidi="es-ES"/>
      </w:rPr>
    </w:lvl>
    <w:lvl w:ilvl="8">
      <w:numFmt w:val="bullet"/>
      <w:lvlText w:val="•"/>
      <w:lvlJc w:val="left"/>
      <w:pPr>
        <w:ind w:left="6513" w:hanging="346"/>
      </w:pPr>
      <w:rPr>
        <w:rFonts w:hint="default"/>
        <w:lang w:val="es-ES" w:eastAsia="es-ES" w:bidi="es-ES"/>
      </w:rPr>
    </w:lvl>
  </w:abstractNum>
  <w:abstractNum w:abstractNumId="77" w15:restartNumberingAfterBreak="0">
    <w:nsid w:val="361052F3"/>
    <w:multiLevelType w:val="multilevel"/>
    <w:tmpl w:val="361052F3"/>
    <w:lvl w:ilvl="0">
      <w:numFmt w:val="bullet"/>
      <w:lvlText w:val=""/>
      <w:lvlJc w:val="left"/>
      <w:pPr>
        <w:ind w:left="792" w:hanging="706"/>
      </w:pPr>
      <w:rPr>
        <w:rFonts w:ascii="Symbol" w:eastAsia="Symbol" w:hAnsi="Symbol" w:cs="Symbol" w:hint="default"/>
        <w:w w:val="100"/>
        <w:sz w:val="22"/>
        <w:szCs w:val="22"/>
        <w:lang w:val="es-ES" w:eastAsia="es-ES" w:bidi="es-ES"/>
      </w:rPr>
    </w:lvl>
    <w:lvl w:ilvl="1">
      <w:numFmt w:val="bullet"/>
      <w:lvlText w:val="•"/>
      <w:lvlJc w:val="left"/>
      <w:pPr>
        <w:ind w:left="1535" w:hanging="706"/>
      </w:pPr>
      <w:rPr>
        <w:rFonts w:hint="default"/>
        <w:lang w:val="es-ES" w:eastAsia="es-ES" w:bidi="es-ES"/>
      </w:rPr>
    </w:lvl>
    <w:lvl w:ilvl="2">
      <w:numFmt w:val="bullet"/>
      <w:lvlText w:val="•"/>
      <w:lvlJc w:val="left"/>
      <w:pPr>
        <w:ind w:left="2270" w:hanging="706"/>
      </w:pPr>
      <w:rPr>
        <w:rFonts w:hint="default"/>
        <w:lang w:val="es-ES" w:eastAsia="es-ES" w:bidi="es-ES"/>
      </w:rPr>
    </w:lvl>
    <w:lvl w:ilvl="3">
      <w:numFmt w:val="bullet"/>
      <w:lvlText w:val="•"/>
      <w:lvlJc w:val="left"/>
      <w:pPr>
        <w:ind w:left="3005" w:hanging="706"/>
      </w:pPr>
      <w:rPr>
        <w:rFonts w:hint="default"/>
        <w:lang w:val="es-ES" w:eastAsia="es-ES" w:bidi="es-ES"/>
      </w:rPr>
    </w:lvl>
    <w:lvl w:ilvl="4">
      <w:numFmt w:val="bullet"/>
      <w:lvlText w:val="•"/>
      <w:lvlJc w:val="left"/>
      <w:pPr>
        <w:ind w:left="3740" w:hanging="706"/>
      </w:pPr>
      <w:rPr>
        <w:rFonts w:hint="default"/>
        <w:lang w:val="es-ES" w:eastAsia="es-ES" w:bidi="es-ES"/>
      </w:rPr>
    </w:lvl>
    <w:lvl w:ilvl="5">
      <w:numFmt w:val="bullet"/>
      <w:lvlText w:val="•"/>
      <w:lvlJc w:val="left"/>
      <w:pPr>
        <w:ind w:left="4476" w:hanging="706"/>
      </w:pPr>
      <w:rPr>
        <w:rFonts w:hint="default"/>
        <w:lang w:val="es-ES" w:eastAsia="es-ES" w:bidi="es-ES"/>
      </w:rPr>
    </w:lvl>
    <w:lvl w:ilvl="6">
      <w:numFmt w:val="bullet"/>
      <w:lvlText w:val="•"/>
      <w:lvlJc w:val="left"/>
      <w:pPr>
        <w:ind w:left="5211" w:hanging="706"/>
      </w:pPr>
      <w:rPr>
        <w:rFonts w:hint="default"/>
        <w:lang w:val="es-ES" w:eastAsia="es-ES" w:bidi="es-ES"/>
      </w:rPr>
    </w:lvl>
    <w:lvl w:ilvl="7">
      <w:numFmt w:val="bullet"/>
      <w:lvlText w:val="•"/>
      <w:lvlJc w:val="left"/>
      <w:pPr>
        <w:ind w:left="5946" w:hanging="706"/>
      </w:pPr>
      <w:rPr>
        <w:rFonts w:hint="default"/>
        <w:lang w:val="es-ES" w:eastAsia="es-ES" w:bidi="es-ES"/>
      </w:rPr>
    </w:lvl>
    <w:lvl w:ilvl="8">
      <w:numFmt w:val="bullet"/>
      <w:lvlText w:val="•"/>
      <w:lvlJc w:val="left"/>
      <w:pPr>
        <w:ind w:left="6681" w:hanging="706"/>
      </w:pPr>
      <w:rPr>
        <w:rFonts w:hint="default"/>
        <w:lang w:val="es-ES" w:eastAsia="es-ES" w:bidi="es-ES"/>
      </w:rPr>
    </w:lvl>
  </w:abstractNum>
  <w:abstractNum w:abstractNumId="78" w15:restartNumberingAfterBreak="0">
    <w:nsid w:val="364B2835"/>
    <w:multiLevelType w:val="multilevel"/>
    <w:tmpl w:val="364B2835"/>
    <w:lvl w:ilvl="0">
      <w:numFmt w:val="bullet"/>
      <w:lvlText w:val=""/>
      <w:lvlJc w:val="left"/>
      <w:pPr>
        <w:ind w:left="226" w:hanging="298"/>
      </w:pPr>
      <w:rPr>
        <w:rFonts w:ascii="Symbol" w:eastAsia="Symbol" w:hAnsi="Symbol" w:cs="Symbol" w:hint="default"/>
        <w:w w:val="100"/>
        <w:sz w:val="22"/>
        <w:szCs w:val="22"/>
        <w:lang w:val="es-ES" w:eastAsia="es-ES" w:bidi="es-ES"/>
      </w:rPr>
    </w:lvl>
    <w:lvl w:ilvl="1">
      <w:numFmt w:val="bullet"/>
      <w:lvlText w:val="•"/>
      <w:lvlJc w:val="left"/>
      <w:pPr>
        <w:ind w:left="1013" w:hanging="298"/>
      </w:pPr>
      <w:rPr>
        <w:rFonts w:hint="default"/>
        <w:lang w:val="es-ES" w:eastAsia="es-ES" w:bidi="es-ES"/>
      </w:rPr>
    </w:lvl>
    <w:lvl w:ilvl="2">
      <w:numFmt w:val="bullet"/>
      <w:lvlText w:val="•"/>
      <w:lvlJc w:val="left"/>
      <w:pPr>
        <w:ind w:left="1806" w:hanging="298"/>
      </w:pPr>
      <w:rPr>
        <w:rFonts w:hint="default"/>
        <w:lang w:val="es-ES" w:eastAsia="es-ES" w:bidi="es-ES"/>
      </w:rPr>
    </w:lvl>
    <w:lvl w:ilvl="3">
      <w:numFmt w:val="bullet"/>
      <w:lvlText w:val="•"/>
      <w:lvlJc w:val="left"/>
      <w:pPr>
        <w:ind w:left="2599" w:hanging="298"/>
      </w:pPr>
      <w:rPr>
        <w:rFonts w:hint="default"/>
        <w:lang w:val="es-ES" w:eastAsia="es-ES" w:bidi="es-ES"/>
      </w:rPr>
    </w:lvl>
    <w:lvl w:ilvl="4">
      <w:numFmt w:val="bullet"/>
      <w:lvlText w:val="•"/>
      <w:lvlJc w:val="left"/>
      <w:pPr>
        <w:ind w:left="3392" w:hanging="298"/>
      </w:pPr>
      <w:rPr>
        <w:rFonts w:hint="default"/>
        <w:lang w:val="es-ES" w:eastAsia="es-ES" w:bidi="es-ES"/>
      </w:rPr>
    </w:lvl>
    <w:lvl w:ilvl="5">
      <w:numFmt w:val="bullet"/>
      <w:lvlText w:val="•"/>
      <w:lvlJc w:val="left"/>
      <w:pPr>
        <w:ind w:left="4186" w:hanging="298"/>
      </w:pPr>
      <w:rPr>
        <w:rFonts w:hint="default"/>
        <w:lang w:val="es-ES" w:eastAsia="es-ES" w:bidi="es-ES"/>
      </w:rPr>
    </w:lvl>
    <w:lvl w:ilvl="6">
      <w:numFmt w:val="bullet"/>
      <w:lvlText w:val="•"/>
      <w:lvlJc w:val="left"/>
      <w:pPr>
        <w:ind w:left="4979" w:hanging="298"/>
      </w:pPr>
      <w:rPr>
        <w:rFonts w:hint="default"/>
        <w:lang w:val="es-ES" w:eastAsia="es-ES" w:bidi="es-ES"/>
      </w:rPr>
    </w:lvl>
    <w:lvl w:ilvl="7">
      <w:numFmt w:val="bullet"/>
      <w:lvlText w:val="•"/>
      <w:lvlJc w:val="left"/>
      <w:pPr>
        <w:ind w:left="5772" w:hanging="298"/>
      </w:pPr>
      <w:rPr>
        <w:rFonts w:hint="default"/>
        <w:lang w:val="es-ES" w:eastAsia="es-ES" w:bidi="es-ES"/>
      </w:rPr>
    </w:lvl>
    <w:lvl w:ilvl="8">
      <w:numFmt w:val="bullet"/>
      <w:lvlText w:val="•"/>
      <w:lvlJc w:val="left"/>
      <w:pPr>
        <w:ind w:left="6565" w:hanging="298"/>
      </w:pPr>
      <w:rPr>
        <w:rFonts w:hint="default"/>
        <w:lang w:val="es-ES" w:eastAsia="es-ES" w:bidi="es-ES"/>
      </w:rPr>
    </w:lvl>
  </w:abstractNum>
  <w:abstractNum w:abstractNumId="79" w15:restartNumberingAfterBreak="0">
    <w:nsid w:val="369E7D8C"/>
    <w:multiLevelType w:val="multilevel"/>
    <w:tmpl w:val="369E7D8C"/>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80" w15:restartNumberingAfterBreak="0">
    <w:nsid w:val="37C0715A"/>
    <w:multiLevelType w:val="multilevel"/>
    <w:tmpl w:val="37C0715A"/>
    <w:lvl w:ilvl="0">
      <w:numFmt w:val="bullet"/>
      <w:lvlText w:val="-"/>
      <w:lvlJc w:val="left"/>
      <w:pPr>
        <w:ind w:left="428" w:hanging="360"/>
      </w:pPr>
      <w:rPr>
        <w:rFonts w:ascii="Arial Narrow" w:eastAsia="Arial Narrow" w:hAnsi="Arial Narrow" w:cs="Arial Narrow" w:hint="default"/>
      </w:rPr>
    </w:lvl>
    <w:lvl w:ilvl="1">
      <w:start w:val="1"/>
      <w:numFmt w:val="bullet"/>
      <w:lvlText w:val="o"/>
      <w:lvlJc w:val="left"/>
      <w:pPr>
        <w:ind w:left="1148" w:hanging="360"/>
      </w:pPr>
      <w:rPr>
        <w:rFonts w:ascii="Courier New" w:hAnsi="Courier New" w:cs="Courier New" w:hint="default"/>
      </w:rPr>
    </w:lvl>
    <w:lvl w:ilvl="2">
      <w:start w:val="1"/>
      <w:numFmt w:val="bullet"/>
      <w:lvlText w:val=""/>
      <w:lvlJc w:val="left"/>
      <w:pPr>
        <w:ind w:left="1868" w:hanging="360"/>
      </w:pPr>
      <w:rPr>
        <w:rFonts w:ascii="Wingdings" w:hAnsi="Wingdings" w:hint="default"/>
      </w:rPr>
    </w:lvl>
    <w:lvl w:ilvl="3">
      <w:start w:val="1"/>
      <w:numFmt w:val="bullet"/>
      <w:lvlText w:val=""/>
      <w:lvlJc w:val="left"/>
      <w:pPr>
        <w:ind w:left="2588" w:hanging="360"/>
      </w:pPr>
      <w:rPr>
        <w:rFonts w:ascii="Symbol" w:hAnsi="Symbol" w:hint="default"/>
      </w:rPr>
    </w:lvl>
    <w:lvl w:ilvl="4">
      <w:start w:val="1"/>
      <w:numFmt w:val="bullet"/>
      <w:lvlText w:val="o"/>
      <w:lvlJc w:val="left"/>
      <w:pPr>
        <w:ind w:left="3308" w:hanging="360"/>
      </w:pPr>
      <w:rPr>
        <w:rFonts w:ascii="Courier New" w:hAnsi="Courier New" w:cs="Courier New" w:hint="default"/>
      </w:rPr>
    </w:lvl>
    <w:lvl w:ilvl="5">
      <w:start w:val="1"/>
      <w:numFmt w:val="bullet"/>
      <w:lvlText w:val=""/>
      <w:lvlJc w:val="left"/>
      <w:pPr>
        <w:ind w:left="4028" w:hanging="360"/>
      </w:pPr>
      <w:rPr>
        <w:rFonts w:ascii="Wingdings" w:hAnsi="Wingdings" w:hint="default"/>
      </w:rPr>
    </w:lvl>
    <w:lvl w:ilvl="6">
      <w:start w:val="1"/>
      <w:numFmt w:val="bullet"/>
      <w:lvlText w:val=""/>
      <w:lvlJc w:val="left"/>
      <w:pPr>
        <w:ind w:left="4748" w:hanging="360"/>
      </w:pPr>
      <w:rPr>
        <w:rFonts w:ascii="Symbol" w:hAnsi="Symbol" w:hint="default"/>
      </w:rPr>
    </w:lvl>
    <w:lvl w:ilvl="7">
      <w:start w:val="1"/>
      <w:numFmt w:val="bullet"/>
      <w:lvlText w:val="o"/>
      <w:lvlJc w:val="left"/>
      <w:pPr>
        <w:ind w:left="5468" w:hanging="360"/>
      </w:pPr>
      <w:rPr>
        <w:rFonts w:ascii="Courier New" w:hAnsi="Courier New" w:cs="Courier New" w:hint="default"/>
      </w:rPr>
    </w:lvl>
    <w:lvl w:ilvl="8">
      <w:start w:val="1"/>
      <w:numFmt w:val="bullet"/>
      <w:lvlText w:val=""/>
      <w:lvlJc w:val="left"/>
      <w:pPr>
        <w:ind w:left="6188" w:hanging="360"/>
      </w:pPr>
      <w:rPr>
        <w:rFonts w:ascii="Wingdings" w:hAnsi="Wingdings" w:hint="default"/>
      </w:rPr>
    </w:lvl>
  </w:abstractNum>
  <w:abstractNum w:abstractNumId="81" w15:restartNumberingAfterBreak="0">
    <w:nsid w:val="37E2075E"/>
    <w:multiLevelType w:val="multilevel"/>
    <w:tmpl w:val="37E2075E"/>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82" w15:restartNumberingAfterBreak="0">
    <w:nsid w:val="3823525B"/>
    <w:multiLevelType w:val="multilevel"/>
    <w:tmpl w:val="3823525B"/>
    <w:lvl w:ilvl="0">
      <w:numFmt w:val="bullet"/>
      <w:lvlText w:val=""/>
      <w:lvlJc w:val="left"/>
      <w:pPr>
        <w:ind w:left="293" w:hanging="221"/>
      </w:pPr>
      <w:rPr>
        <w:rFonts w:ascii="Symbol" w:eastAsia="Symbol" w:hAnsi="Symbol" w:cs="Symbol" w:hint="default"/>
        <w:w w:val="100"/>
        <w:sz w:val="22"/>
        <w:szCs w:val="22"/>
        <w:lang w:val="es-ES" w:eastAsia="es-ES" w:bidi="es-ES"/>
      </w:rPr>
    </w:lvl>
    <w:lvl w:ilvl="1">
      <w:numFmt w:val="bullet"/>
      <w:lvlText w:val="•"/>
      <w:lvlJc w:val="left"/>
      <w:pPr>
        <w:ind w:left="1085" w:hanging="221"/>
      </w:pPr>
      <w:rPr>
        <w:rFonts w:hint="default"/>
        <w:lang w:val="es-ES" w:eastAsia="es-ES" w:bidi="es-ES"/>
      </w:rPr>
    </w:lvl>
    <w:lvl w:ilvl="2">
      <w:numFmt w:val="bullet"/>
      <w:lvlText w:val="•"/>
      <w:lvlJc w:val="left"/>
      <w:pPr>
        <w:ind w:left="1870" w:hanging="221"/>
      </w:pPr>
      <w:rPr>
        <w:rFonts w:hint="default"/>
        <w:lang w:val="es-ES" w:eastAsia="es-ES" w:bidi="es-ES"/>
      </w:rPr>
    </w:lvl>
    <w:lvl w:ilvl="3">
      <w:numFmt w:val="bullet"/>
      <w:lvlText w:val="•"/>
      <w:lvlJc w:val="left"/>
      <w:pPr>
        <w:ind w:left="2655" w:hanging="221"/>
      </w:pPr>
      <w:rPr>
        <w:rFonts w:hint="default"/>
        <w:lang w:val="es-ES" w:eastAsia="es-ES" w:bidi="es-ES"/>
      </w:rPr>
    </w:lvl>
    <w:lvl w:ilvl="4">
      <w:numFmt w:val="bullet"/>
      <w:lvlText w:val="•"/>
      <w:lvlJc w:val="left"/>
      <w:pPr>
        <w:ind w:left="3440" w:hanging="221"/>
      </w:pPr>
      <w:rPr>
        <w:rFonts w:hint="default"/>
        <w:lang w:val="es-ES" w:eastAsia="es-ES" w:bidi="es-ES"/>
      </w:rPr>
    </w:lvl>
    <w:lvl w:ilvl="5">
      <w:numFmt w:val="bullet"/>
      <w:lvlText w:val="•"/>
      <w:lvlJc w:val="left"/>
      <w:pPr>
        <w:ind w:left="4226" w:hanging="221"/>
      </w:pPr>
      <w:rPr>
        <w:rFonts w:hint="default"/>
        <w:lang w:val="es-ES" w:eastAsia="es-ES" w:bidi="es-ES"/>
      </w:rPr>
    </w:lvl>
    <w:lvl w:ilvl="6">
      <w:numFmt w:val="bullet"/>
      <w:lvlText w:val="•"/>
      <w:lvlJc w:val="left"/>
      <w:pPr>
        <w:ind w:left="5011" w:hanging="221"/>
      </w:pPr>
      <w:rPr>
        <w:rFonts w:hint="default"/>
        <w:lang w:val="es-ES" w:eastAsia="es-ES" w:bidi="es-ES"/>
      </w:rPr>
    </w:lvl>
    <w:lvl w:ilvl="7">
      <w:numFmt w:val="bullet"/>
      <w:lvlText w:val="•"/>
      <w:lvlJc w:val="left"/>
      <w:pPr>
        <w:ind w:left="5796" w:hanging="221"/>
      </w:pPr>
      <w:rPr>
        <w:rFonts w:hint="default"/>
        <w:lang w:val="es-ES" w:eastAsia="es-ES" w:bidi="es-ES"/>
      </w:rPr>
    </w:lvl>
    <w:lvl w:ilvl="8">
      <w:numFmt w:val="bullet"/>
      <w:lvlText w:val="•"/>
      <w:lvlJc w:val="left"/>
      <w:pPr>
        <w:ind w:left="6581" w:hanging="221"/>
      </w:pPr>
      <w:rPr>
        <w:rFonts w:hint="default"/>
        <w:lang w:val="es-ES" w:eastAsia="es-ES" w:bidi="es-ES"/>
      </w:rPr>
    </w:lvl>
  </w:abstractNum>
  <w:abstractNum w:abstractNumId="83" w15:restartNumberingAfterBreak="0">
    <w:nsid w:val="39181082"/>
    <w:multiLevelType w:val="multilevel"/>
    <w:tmpl w:val="39181082"/>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84" w15:restartNumberingAfterBreak="0">
    <w:nsid w:val="396804D6"/>
    <w:multiLevelType w:val="multilevel"/>
    <w:tmpl w:val="396804D6"/>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85" w15:restartNumberingAfterBreak="0">
    <w:nsid w:val="39A946D0"/>
    <w:multiLevelType w:val="multilevel"/>
    <w:tmpl w:val="39A946D0"/>
    <w:lvl w:ilvl="0">
      <w:start w:val="21"/>
      <w:numFmt w:val="decimal"/>
      <w:lvlText w:val="%1"/>
      <w:lvlJc w:val="left"/>
      <w:pPr>
        <w:ind w:left="778" w:hanging="418"/>
      </w:pPr>
      <w:rPr>
        <w:rFonts w:ascii="Arial Narrow" w:eastAsia="Arial Narrow" w:hAnsi="Arial Narrow" w:cs="Arial Narrow" w:hint="default"/>
        <w:w w:val="100"/>
        <w:sz w:val="22"/>
        <w:szCs w:val="22"/>
        <w:lang w:val="es-ES" w:eastAsia="es-ES" w:bidi="es-ES"/>
      </w:rPr>
    </w:lvl>
    <w:lvl w:ilvl="1">
      <w:numFmt w:val="bullet"/>
      <w:lvlText w:val="•"/>
      <w:lvlJc w:val="left"/>
      <w:pPr>
        <w:ind w:left="1517" w:hanging="418"/>
      </w:pPr>
      <w:rPr>
        <w:rFonts w:hint="default"/>
        <w:lang w:val="es-ES" w:eastAsia="es-ES" w:bidi="es-ES"/>
      </w:rPr>
    </w:lvl>
    <w:lvl w:ilvl="2">
      <w:numFmt w:val="bullet"/>
      <w:lvlText w:val="•"/>
      <w:lvlJc w:val="left"/>
      <w:pPr>
        <w:ind w:left="2254" w:hanging="418"/>
      </w:pPr>
      <w:rPr>
        <w:rFonts w:hint="default"/>
        <w:lang w:val="es-ES" w:eastAsia="es-ES" w:bidi="es-ES"/>
      </w:rPr>
    </w:lvl>
    <w:lvl w:ilvl="3">
      <w:numFmt w:val="bullet"/>
      <w:lvlText w:val="•"/>
      <w:lvlJc w:val="left"/>
      <w:pPr>
        <w:ind w:left="2991" w:hanging="418"/>
      </w:pPr>
      <w:rPr>
        <w:rFonts w:hint="default"/>
        <w:lang w:val="es-ES" w:eastAsia="es-ES" w:bidi="es-ES"/>
      </w:rPr>
    </w:lvl>
    <w:lvl w:ilvl="4">
      <w:numFmt w:val="bullet"/>
      <w:lvlText w:val="•"/>
      <w:lvlJc w:val="left"/>
      <w:pPr>
        <w:ind w:left="3728" w:hanging="418"/>
      </w:pPr>
      <w:rPr>
        <w:rFonts w:hint="default"/>
        <w:lang w:val="es-ES" w:eastAsia="es-ES" w:bidi="es-ES"/>
      </w:rPr>
    </w:lvl>
    <w:lvl w:ilvl="5">
      <w:numFmt w:val="bullet"/>
      <w:lvlText w:val="•"/>
      <w:lvlJc w:val="left"/>
      <w:pPr>
        <w:ind w:left="4466" w:hanging="418"/>
      </w:pPr>
      <w:rPr>
        <w:rFonts w:hint="default"/>
        <w:lang w:val="es-ES" w:eastAsia="es-ES" w:bidi="es-ES"/>
      </w:rPr>
    </w:lvl>
    <w:lvl w:ilvl="6">
      <w:numFmt w:val="bullet"/>
      <w:lvlText w:val="•"/>
      <w:lvlJc w:val="left"/>
      <w:pPr>
        <w:ind w:left="5203" w:hanging="418"/>
      </w:pPr>
      <w:rPr>
        <w:rFonts w:hint="default"/>
        <w:lang w:val="es-ES" w:eastAsia="es-ES" w:bidi="es-ES"/>
      </w:rPr>
    </w:lvl>
    <w:lvl w:ilvl="7">
      <w:numFmt w:val="bullet"/>
      <w:lvlText w:val="•"/>
      <w:lvlJc w:val="left"/>
      <w:pPr>
        <w:ind w:left="5940" w:hanging="418"/>
      </w:pPr>
      <w:rPr>
        <w:rFonts w:hint="default"/>
        <w:lang w:val="es-ES" w:eastAsia="es-ES" w:bidi="es-ES"/>
      </w:rPr>
    </w:lvl>
    <w:lvl w:ilvl="8">
      <w:numFmt w:val="bullet"/>
      <w:lvlText w:val="•"/>
      <w:lvlJc w:val="left"/>
      <w:pPr>
        <w:ind w:left="6677" w:hanging="418"/>
      </w:pPr>
      <w:rPr>
        <w:rFonts w:hint="default"/>
        <w:lang w:val="es-ES" w:eastAsia="es-ES" w:bidi="es-ES"/>
      </w:rPr>
    </w:lvl>
  </w:abstractNum>
  <w:abstractNum w:abstractNumId="86" w15:restartNumberingAfterBreak="0">
    <w:nsid w:val="3A230A3C"/>
    <w:multiLevelType w:val="multilevel"/>
    <w:tmpl w:val="3A230A3C"/>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o"/>
      <w:lvlJc w:val="left"/>
      <w:pPr>
        <w:ind w:left="1512" w:hanging="336"/>
      </w:pPr>
      <w:rPr>
        <w:rFonts w:ascii="Courier New" w:eastAsia="Courier New" w:hAnsi="Courier New" w:cs="Courier New" w:hint="default"/>
        <w:w w:val="100"/>
        <w:sz w:val="22"/>
        <w:szCs w:val="22"/>
        <w:lang w:val="es-ES" w:eastAsia="es-ES" w:bidi="es-ES"/>
      </w:rPr>
    </w:lvl>
    <w:lvl w:ilvl="2">
      <w:numFmt w:val="bullet"/>
      <w:lvlText w:val="•"/>
      <w:lvlJc w:val="left"/>
      <w:pPr>
        <w:ind w:left="2256" w:hanging="336"/>
      </w:pPr>
      <w:rPr>
        <w:rFonts w:hint="default"/>
        <w:lang w:val="es-ES" w:eastAsia="es-ES" w:bidi="es-ES"/>
      </w:rPr>
    </w:lvl>
    <w:lvl w:ilvl="3">
      <w:numFmt w:val="bullet"/>
      <w:lvlText w:val="•"/>
      <w:lvlJc w:val="left"/>
      <w:pPr>
        <w:ind w:left="2993" w:hanging="336"/>
      </w:pPr>
      <w:rPr>
        <w:rFonts w:hint="default"/>
        <w:lang w:val="es-ES" w:eastAsia="es-ES" w:bidi="es-ES"/>
      </w:rPr>
    </w:lvl>
    <w:lvl w:ilvl="4">
      <w:numFmt w:val="bullet"/>
      <w:lvlText w:val="•"/>
      <w:lvlJc w:val="left"/>
      <w:pPr>
        <w:ind w:left="3730" w:hanging="336"/>
      </w:pPr>
      <w:rPr>
        <w:rFonts w:hint="default"/>
        <w:lang w:val="es-ES" w:eastAsia="es-ES" w:bidi="es-ES"/>
      </w:rPr>
    </w:lvl>
    <w:lvl w:ilvl="5">
      <w:numFmt w:val="bullet"/>
      <w:lvlText w:val="•"/>
      <w:lvlJc w:val="left"/>
      <w:pPr>
        <w:ind w:left="4467" w:hanging="336"/>
      </w:pPr>
      <w:rPr>
        <w:rFonts w:hint="default"/>
        <w:lang w:val="es-ES" w:eastAsia="es-ES" w:bidi="es-ES"/>
      </w:rPr>
    </w:lvl>
    <w:lvl w:ilvl="6">
      <w:numFmt w:val="bullet"/>
      <w:lvlText w:val="•"/>
      <w:lvlJc w:val="left"/>
      <w:pPr>
        <w:ind w:left="5204" w:hanging="336"/>
      </w:pPr>
      <w:rPr>
        <w:rFonts w:hint="default"/>
        <w:lang w:val="es-ES" w:eastAsia="es-ES" w:bidi="es-ES"/>
      </w:rPr>
    </w:lvl>
    <w:lvl w:ilvl="7">
      <w:numFmt w:val="bullet"/>
      <w:lvlText w:val="•"/>
      <w:lvlJc w:val="left"/>
      <w:pPr>
        <w:ind w:left="5941" w:hanging="336"/>
      </w:pPr>
      <w:rPr>
        <w:rFonts w:hint="default"/>
        <w:lang w:val="es-ES" w:eastAsia="es-ES" w:bidi="es-ES"/>
      </w:rPr>
    </w:lvl>
    <w:lvl w:ilvl="8">
      <w:numFmt w:val="bullet"/>
      <w:lvlText w:val="•"/>
      <w:lvlJc w:val="left"/>
      <w:pPr>
        <w:ind w:left="6678" w:hanging="336"/>
      </w:pPr>
      <w:rPr>
        <w:rFonts w:hint="default"/>
        <w:lang w:val="es-ES" w:eastAsia="es-ES" w:bidi="es-ES"/>
      </w:rPr>
    </w:lvl>
  </w:abstractNum>
  <w:abstractNum w:abstractNumId="87" w15:restartNumberingAfterBreak="0">
    <w:nsid w:val="3B5C7627"/>
    <w:multiLevelType w:val="multilevel"/>
    <w:tmpl w:val="3B5C7627"/>
    <w:lvl w:ilvl="0">
      <w:numFmt w:val="bullet"/>
      <w:lvlText w:val=""/>
      <w:lvlJc w:val="left"/>
      <w:pPr>
        <w:ind w:left="370" w:hanging="298"/>
      </w:pPr>
      <w:rPr>
        <w:rFonts w:ascii="Symbol" w:eastAsia="Symbol" w:hAnsi="Symbol" w:cs="Symbol" w:hint="default"/>
        <w:w w:val="100"/>
        <w:sz w:val="22"/>
        <w:szCs w:val="22"/>
        <w:lang w:val="es-ES" w:eastAsia="es-ES" w:bidi="es-ES"/>
      </w:rPr>
    </w:lvl>
    <w:lvl w:ilvl="1">
      <w:numFmt w:val="bullet"/>
      <w:lvlText w:val="•"/>
      <w:lvlJc w:val="left"/>
      <w:pPr>
        <w:ind w:left="1157" w:hanging="298"/>
      </w:pPr>
      <w:rPr>
        <w:rFonts w:hint="default"/>
        <w:lang w:val="es-ES" w:eastAsia="es-ES" w:bidi="es-ES"/>
      </w:rPr>
    </w:lvl>
    <w:lvl w:ilvl="2">
      <w:numFmt w:val="bullet"/>
      <w:lvlText w:val="•"/>
      <w:lvlJc w:val="left"/>
      <w:pPr>
        <w:ind w:left="1934" w:hanging="298"/>
      </w:pPr>
      <w:rPr>
        <w:rFonts w:hint="default"/>
        <w:lang w:val="es-ES" w:eastAsia="es-ES" w:bidi="es-ES"/>
      </w:rPr>
    </w:lvl>
    <w:lvl w:ilvl="3">
      <w:numFmt w:val="bullet"/>
      <w:lvlText w:val="•"/>
      <w:lvlJc w:val="left"/>
      <w:pPr>
        <w:ind w:left="2711" w:hanging="298"/>
      </w:pPr>
      <w:rPr>
        <w:rFonts w:hint="default"/>
        <w:lang w:val="es-ES" w:eastAsia="es-ES" w:bidi="es-ES"/>
      </w:rPr>
    </w:lvl>
    <w:lvl w:ilvl="4">
      <w:numFmt w:val="bullet"/>
      <w:lvlText w:val="•"/>
      <w:lvlJc w:val="left"/>
      <w:pPr>
        <w:ind w:left="3488" w:hanging="298"/>
      </w:pPr>
      <w:rPr>
        <w:rFonts w:hint="default"/>
        <w:lang w:val="es-ES" w:eastAsia="es-ES" w:bidi="es-ES"/>
      </w:rPr>
    </w:lvl>
    <w:lvl w:ilvl="5">
      <w:numFmt w:val="bullet"/>
      <w:lvlText w:val="•"/>
      <w:lvlJc w:val="left"/>
      <w:pPr>
        <w:ind w:left="4266" w:hanging="298"/>
      </w:pPr>
      <w:rPr>
        <w:rFonts w:hint="default"/>
        <w:lang w:val="es-ES" w:eastAsia="es-ES" w:bidi="es-ES"/>
      </w:rPr>
    </w:lvl>
    <w:lvl w:ilvl="6">
      <w:numFmt w:val="bullet"/>
      <w:lvlText w:val="•"/>
      <w:lvlJc w:val="left"/>
      <w:pPr>
        <w:ind w:left="5043" w:hanging="298"/>
      </w:pPr>
      <w:rPr>
        <w:rFonts w:hint="default"/>
        <w:lang w:val="es-ES" w:eastAsia="es-ES" w:bidi="es-ES"/>
      </w:rPr>
    </w:lvl>
    <w:lvl w:ilvl="7">
      <w:numFmt w:val="bullet"/>
      <w:lvlText w:val="•"/>
      <w:lvlJc w:val="left"/>
      <w:pPr>
        <w:ind w:left="5820" w:hanging="298"/>
      </w:pPr>
      <w:rPr>
        <w:rFonts w:hint="default"/>
        <w:lang w:val="es-ES" w:eastAsia="es-ES" w:bidi="es-ES"/>
      </w:rPr>
    </w:lvl>
    <w:lvl w:ilvl="8">
      <w:numFmt w:val="bullet"/>
      <w:lvlText w:val="•"/>
      <w:lvlJc w:val="left"/>
      <w:pPr>
        <w:ind w:left="6597" w:hanging="298"/>
      </w:pPr>
      <w:rPr>
        <w:rFonts w:hint="default"/>
        <w:lang w:val="es-ES" w:eastAsia="es-ES" w:bidi="es-ES"/>
      </w:rPr>
    </w:lvl>
  </w:abstractNum>
  <w:abstractNum w:abstractNumId="88" w15:restartNumberingAfterBreak="0">
    <w:nsid w:val="3BCC5110"/>
    <w:multiLevelType w:val="multilevel"/>
    <w:tmpl w:val="3BCC511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800" w:hanging="288"/>
      </w:pPr>
      <w:rPr>
        <w:rFonts w:hint="default"/>
        <w:lang w:val="es-ES" w:eastAsia="es-ES" w:bidi="es-ES"/>
      </w:rPr>
    </w:lvl>
    <w:lvl w:ilvl="2">
      <w:numFmt w:val="bullet"/>
      <w:lvlText w:val="•"/>
      <w:lvlJc w:val="left"/>
      <w:pPr>
        <w:ind w:left="1616" w:hanging="288"/>
      </w:pPr>
      <w:rPr>
        <w:rFonts w:hint="default"/>
        <w:lang w:val="es-ES" w:eastAsia="es-ES" w:bidi="es-ES"/>
      </w:rPr>
    </w:lvl>
    <w:lvl w:ilvl="3">
      <w:numFmt w:val="bullet"/>
      <w:lvlText w:val="•"/>
      <w:lvlJc w:val="left"/>
      <w:pPr>
        <w:ind w:left="2433" w:hanging="288"/>
      </w:pPr>
      <w:rPr>
        <w:rFonts w:hint="default"/>
        <w:lang w:val="es-ES" w:eastAsia="es-ES" w:bidi="es-ES"/>
      </w:rPr>
    </w:lvl>
    <w:lvl w:ilvl="4">
      <w:numFmt w:val="bullet"/>
      <w:lvlText w:val="•"/>
      <w:lvlJc w:val="left"/>
      <w:pPr>
        <w:ind w:left="3250" w:hanging="288"/>
      </w:pPr>
      <w:rPr>
        <w:rFonts w:hint="default"/>
        <w:lang w:val="es-ES" w:eastAsia="es-ES" w:bidi="es-ES"/>
      </w:rPr>
    </w:lvl>
    <w:lvl w:ilvl="5">
      <w:numFmt w:val="bullet"/>
      <w:lvlText w:val="•"/>
      <w:lvlJc w:val="left"/>
      <w:pPr>
        <w:ind w:left="4067" w:hanging="288"/>
      </w:pPr>
      <w:rPr>
        <w:rFonts w:hint="default"/>
        <w:lang w:val="es-ES" w:eastAsia="es-ES" w:bidi="es-ES"/>
      </w:rPr>
    </w:lvl>
    <w:lvl w:ilvl="6">
      <w:numFmt w:val="bullet"/>
      <w:lvlText w:val="•"/>
      <w:lvlJc w:val="left"/>
      <w:pPr>
        <w:ind w:left="4884" w:hanging="288"/>
      </w:pPr>
      <w:rPr>
        <w:rFonts w:hint="default"/>
        <w:lang w:val="es-ES" w:eastAsia="es-ES" w:bidi="es-ES"/>
      </w:rPr>
    </w:lvl>
    <w:lvl w:ilvl="7">
      <w:numFmt w:val="bullet"/>
      <w:lvlText w:val="•"/>
      <w:lvlJc w:val="left"/>
      <w:pPr>
        <w:ind w:left="5701" w:hanging="288"/>
      </w:pPr>
      <w:rPr>
        <w:rFonts w:hint="default"/>
        <w:lang w:val="es-ES" w:eastAsia="es-ES" w:bidi="es-ES"/>
      </w:rPr>
    </w:lvl>
    <w:lvl w:ilvl="8">
      <w:numFmt w:val="bullet"/>
      <w:lvlText w:val="•"/>
      <w:lvlJc w:val="left"/>
      <w:pPr>
        <w:ind w:left="6518" w:hanging="288"/>
      </w:pPr>
      <w:rPr>
        <w:rFonts w:hint="default"/>
        <w:lang w:val="es-ES" w:eastAsia="es-ES" w:bidi="es-ES"/>
      </w:rPr>
    </w:lvl>
  </w:abstractNum>
  <w:abstractNum w:abstractNumId="89" w15:restartNumberingAfterBreak="0">
    <w:nsid w:val="3BEB656D"/>
    <w:multiLevelType w:val="multilevel"/>
    <w:tmpl w:val="3BEB656D"/>
    <w:lvl w:ilvl="0">
      <w:numFmt w:val="bullet"/>
      <w:lvlText w:val=""/>
      <w:lvlJc w:val="left"/>
      <w:pPr>
        <w:ind w:left="370" w:hanging="298"/>
      </w:pPr>
      <w:rPr>
        <w:rFonts w:ascii="Symbol" w:eastAsia="Symbol" w:hAnsi="Symbol" w:cs="Symbol" w:hint="default"/>
        <w:w w:val="100"/>
        <w:sz w:val="22"/>
        <w:szCs w:val="22"/>
        <w:lang w:val="es-ES" w:eastAsia="es-ES" w:bidi="es-ES"/>
      </w:rPr>
    </w:lvl>
    <w:lvl w:ilvl="1">
      <w:numFmt w:val="bullet"/>
      <w:lvlText w:val="•"/>
      <w:lvlJc w:val="left"/>
      <w:pPr>
        <w:ind w:left="1157" w:hanging="298"/>
      </w:pPr>
      <w:rPr>
        <w:rFonts w:hint="default"/>
        <w:lang w:val="es-ES" w:eastAsia="es-ES" w:bidi="es-ES"/>
      </w:rPr>
    </w:lvl>
    <w:lvl w:ilvl="2">
      <w:numFmt w:val="bullet"/>
      <w:lvlText w:val="•"/>
      <w:lvlJc w:val="left"/>
      <w:pPr>
        <w:ind w:left="1934" w:hanging="298"/>
      </w:pPr>
      <w:rPr>
        <w:rFonts w:hint="default"/>
        <w:lang w:val="es-ES" w:eastAsia="es-ES" w:bidi="es-ES"/>
      </w:rPr>
    </w:lvl>
    <w:lvl w:ilvl="3">
      <w:numFmt w:val="bullet"/>
      <w:lvlText w:val="•"/>
      <w:lvlJc w:val="left"/>
      <w:pPr>
        <w:ind w:left="2711" w:hanging="298"/>
      </w:pPr>
      <w:rPr>
        <w:rFonts w:hint="default"/>
        <w:lang w:val="es-ES" w:eastAsia="es-ES" w:bidi="es-ES"/>
      </w:rPr>
    </w:lvl>
    <w:lvl w:ilvl="4">
      <w:numFmt w:val="bullet"/>
      <w:lvlText w:val="•"/>
      <w:lvlJc w:val="left"/>
      <w:pPr>
        <w:ind w:left="3488" w:hanging="298"/>
      </w:pPr>
      <w:rPr>
        <w:rFonts w:hint="default"/>
        <w:lang w:val="es-ES" w:eastAsia="es-ES" w:bidi="es-ES"/>
      </w:rPr>
    </w:lvl>
    <w:lvl w:ilvl="5">
      <w:numFmt w:val="bullet"/>
      <w:lvlText w:val="•"/>
      <w:lvlJc w:val="left"/>
      <w:pPr>
        <w:ind w:left="4266" w:hanging="298"/>
      </w:pPr>
      <w:rPr>
        <w:rFonts w:hint="default"/>
        <w:lang w:val="es-ES" w:eastAsia="es-ES" w:bidi="es-ES"/>
      </w:rPr>
    </w:lvl>
    <w:lvl w:ilvl="6">
      <w:numFmt w:val="bullet"/>
      <w:lvlText w:val="•"/>
      <w:lvlJc w:val="left"/>
      <w:pPr>
        <w:ind w:left="5043" w:hanging="298"/>
      </w:pPr>
      <w:rPr>
        <w:rFonts w:hint="default"/>
        <w:lang w:val="es-ES" w:eastAsia="es-ES" w:bidi="es-ES"/>
      </w:rPr>
    </w:lvl>
    <w:lvl w:ilvl="7">
      <w:numFmt w:val="bullet"/>
      <w:lvlText w:val="•"/>
      <w:lvlJc w:val="left"/>
      <w:pPr>
        <w:ind w:left="5820" w:hanging="298"/>
      </w:pPr>
      <w:rPr>
        <w:rFonts w:hint="default"/>
        <w:lang w:val="es-ES" w:eastAsia="es-ES" w:bidi="es-ES"/>
      </w:rPr>
    </w:lvl>
    <w:lvl w:ilvl="8">
      <w:numFmt w:val="bullet"/>
      <w:lvlText w:val="•"/>
      <w:lvlJc w:val="left"/>
      <w:pPr>
        <w:ind w:left="6597" w:hanging="298"/>
      </w:pPr>
      <w:rPr>
        <w:rFonts w:hint="default"/>
        <w:lang w:val="es-ES" w:eastAsia="es-ES" w:bidi="es-ES"/>
      </w:rPr>
    </w:lvl>
  </w:abstractNum>
  <w:abstractNum w:abstractNumId="90" w15:restartNumberingAfterBreak="0">
    <w:nsid w:val="3E2E21C5"/>
    <w:multiLevelType w:val="multilevel"/>
    <w:tmpl w:val="3E2E21C5"/>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91" w15:restartNumberingAfterBreak="0">
    <w:nsid w:val="3F3B72A6"/>
    <w:multiLevelType w:val="multilevel"/>
    <w:tmpl w:val="3F3B72A6"/>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92" w15:restartNumberingAfterBreak="0">
    <w:nsid w:val="40374B5A"/>
    <w:multiLevelType w:val="multilevel"/>
    <w:tmpl w:val="40374B5A"/>
    <w:lvl w:ilvl="0">
      <w:numFmt w:val="bullet"/>
      <w:lvlText w:val=""/>
      <w:lvlJc w:val="left"/>
      <w:pPr>
        <w:ind w:left="355" w:hanging="284"/>
      </w:pPr>
      <w:rPr>
        <w:rFonts w:ascii="Symbol" w:eastAsia="Symbol" w:hAnsi="Symbol" w:cs="Symbol" w:hint="default"/>
        <w:w w:val="100"/>
        <w:sz w:val="22"/>
        <w:szCs w:val="22"/>
        <w:lang w:val="es-ES" w:eastAsia="es-ES" w:bidi="es-ES"/>
      </w:rPr>
    </w:lvl>
    <w:lvl w:ilvl="1">
      <w:numFmt w:val="bullet"/>
      <w:lvlText w:val="•"/>
      <w:lvlJc w:val="left"/>
      <w:pPr>
        <w:ind w:left="1139" w:hanging="284"/>
      </w:pPr>
      <w:rPr>
        <w:rFonts w:hint="default"/>
        <w:lang w:val="es-ES" w:eastAsia="es-ES" w:bidi="es-ES"/>
      </w:rPr>
    </w:lvl>
    <w:lvl w:ilvl="2">
      <w:numFmt w:val="bullet"/>
      <w:lvlText w:val="•"/>
      <w:lvlJc w:val="left"/>
      <w:pPr>
        <w:ind w:left="1918" w:hanging="284"/>
      </w:pPr>
      <w:rPr>
        <w:rFonts w:hint="default"/>
        <w:lang w:val="es-ES" w:eastAsia="es-ES" w:bidi="es-ES"/>
      </w:rPr>
    </w:lvl>
    <w:lvl w:ilvl="3">
      <w:numFmt w:val="bullet"/>
      <w:lvlText w:val="•"/>
      <w:lvlJc w:val="left"/>
      <w:pPr>
        <w:ind w:left="2697" w:hanging="284"/>
      </w:pPr>
      <w:rPr>
        <w:rFonts w:hint="default"/>
        <w:lang w:val="es-ES" w:eastAsia="es-ES" w:bidi="es-ES"/>
      </w:rPr>
    </w:lvl>
    <w:lvl w:ilvl="4">
      <w:numFmt w:val="bullet"/>
      <w:lvlText w:val="•"/>
      <w:lvlJc w:val="left"/>
      <w:pPr>
        <w:ind w:left="3476" w:hanging="284"/>
      </w:pPr>
      <w:rPr>
        <w:rFonts w:hint="default"/>
        <w:lang w:val="es-ES" w:eastAsia="es-ES" w:bidi="es-ES"/>
      </w:rPr>
    </w:lvl>
    <w:lvl w:ilvl="5">
      <w:numFmt w:val="bullet"/>
      <w:lvlText w:val="•"/>
      <w:lvlJc w:val="left"/>
      <w:pPr>
        <w:ind w:left="4256" w:hanging="284"/>
      </w:pPr>
      <w:rPr>
        <w:rFonts w:hint="default"/>
        <w:lang w:val="es-ES" w:eastAsia="es-ES" w:bidi="es-ES"/>
      </w:rPr>
    </w:lvl>
    <w:lvl w:ilvl="6">
      <w:numFmt w:val="bullet"/>
      <w:lvlText w:val="•"/>
      <w:lvlJc w:val="left"/>
      <w:pPr>
        <w:ind w:left="5035" w:hanging="284"/>
      </w:pPr>
      <w:rPr>
        <w:rFonts w:hint="default"/>
        <w:lang w:val="es-ES" w:eastAsia="es-ES" w:bidi="es-ES"/>
      </w:rPr>
    </w:lvl>
    <w:lvl w:ilvl="7">
      <w:numFmt w:val="bullet"/>
      <w:lvlText w:val="•"/>
      <w:lvlJc w:val="left"/>
      <w:pPr>
        <w:ind w:left="5814" w:hanging="284"/>
      </w:pPr>
      <w:rPr>
        <w:rFonts w:hint="default"/>
        <w:lang w:val="es-ES" w:eastAsia="es-ES" w:bidi="es-ES"/>
      </w:rPr>
    </w:lvl>
    <w:lvl w:ilvl="8">
      <w:numFmt w:val="bullet"/>
      <w:lvlText w:val="•"/>
      <w:lvlJc w:val="left"/>
      <w:pPr>
        <w:ind w:left="6593" w:hanging="284"/>
      </w:pPr>
      <w:rPr>
        <w:rFonts w:hint="default"/>
        <w:lang w:val="es-ES" w:eastAsia="es-ES" w:bidi="es-ES"/>
      </w:rPr>
    </w:lvl>
  </w:abstractNum>
  <w:abstractNum w:abstractNumId="93" w15:restartNumberingAfterBreak="0">
    <w:nsid w:val="41C56F67"/>
    <w:multiLevelType w:val="multilevel"/>
    <w:tmpl w:val="41C56F67"/>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94" w15:restartNumberingAfterBreak="0">
    <w:nsid w:val="425444EC"/>
    <w:multiLevelType w:val="multilevel"/>
    <w:tmpl w:val="425444EC"/>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95" w15:restartNumberingAfterBreak="0">
    <w:nsid w:val="43136EB0"/>
    <w:multiLevelType w:val="multilevel"/>
    <w:tmpl w:val="43136EB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96" w15:restartNumberingAfterBreak="0">
    <w:nsid w:val="431C43F2"/>
    <w:multiLevelType w:val="multilevel"/>
    <w:tmpl w:val="431C43F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97" w15:restartNumberingAfterBreak="0">
    <w:nsid w:val="454C2482"/>
    <w:multiLevelType w:val="multilevel"/>
    <w:tmpl w:val="454C2482"/>
    <w:lvl w:ilvl="0">
      <w:numFmt w:val="bullet"/>
      <w:lvlText w:val="-"/>
      <w:lvlJc w:val="left"/>
      <w:pPr>
        <w:ind w:left="720" w:hanging="360"/>
      </w:pPr>
      <w:rPr>
        <w:rFonts w:ascii="Arial Narrow" w:eastAsia="Arial Narrow" w:hAnsi="Arial Narrow" w:cs="Arial Narrow" w:hint="default"/>
        <w:w w:val="100"/>
        <w:sz w:val="22"/>
        <w:szCs w:val="22"/>
        <w:lang w:val="es-ES" w:eastAsia="es-ES" w:bidi="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6932FAB"/>
    <w:multiLevelType w:val="multilevel"/>
    <w:tmpl w:val="46932FA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99" w15:restartNumberingAfterBreak="0">
    <w:nsid w:val="46B01851"/>
    <w:multiLevelType w:val="multilevel"/>
    <w:tmpl w:val="46B01851"/>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00" w15:restartNumberingAfterBreak="0">
    <w:nsid w:val="46B53E23"/>
    <w:multiLevelType w:val="multilevel"/>
    <w:tmpl w:val="46B53E23"/>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01" w15:restartNumberingAfterBreak="0">
    <w:nsid w:val="47F40CBA"/>
    <w:multiLevelType w:val="multilevel"/>
    <w:tmpl w:val="47F40CBA"/>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02" w15:restartNumberingAfterBreak="0">
    <w:nsid w:val="483A0E73"/>
    <w:multiLevelType w:val="multilevel"/>
    <w:tmpl w:val="483A0E73"/>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03" w15:restartNumberingAfterBreak="0">
    <w:nsid w:val="49645824"/>
    <w:multiLevelType w:val="multilevel"/>
    <w:tmpl w:val="49645824"/>
    <w:lvl w:ilvl="0">
      <w:numFmt w:val="bullet"/>
      <w:lvlText w:val="-"/>
      <w:lvlJc w:val="left"/>
      <w:pPr>
        <w:ind w:left="720" w:hanging="360"/>
      </w:pPr>
      <w:rPr>
        <w:rFonts w:ascii="Arial Narrow" w:eastAsia="Arial Narrow" w:hAnsi="Arial Narrow" w:cs="Arial Narrow" w:hint="default"/>
        <w:w w:val="100"/>
        <w:sz w:val="22"/>
        <w:szCs w:val="22"/>
        <w:lang w:val="es-ES" w:eastAsia="es-ES" w:bidi="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A8931A8"/>
    <w:multiLevelType w:val="multilevel"/>
    <w:tmpl w:val="4A8931A8"/>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792" w:hanging="346"/>
      </w:pPr>
      <w:rPr>
        <w:rFonts w:ascii="Arial Narrow" w:eastAsia="Arial Narrow" w:hAnsi="Arial Narrow" w:cs="Arial Narrow" w:hint="default"/>
        <w:w w:val="100"/>
        <w:sz w:val="22"/>
        <w:szCs w:val="22"/>
        <w:lang w:val="es-ES" w:eastAsia="es-ES" w:bidi="es-ES"/>
      </w:rPr>
    </w:lvl>
    <w:lvl w:ilvl="2">
      <w:numFmt w:val="bullet"/>
      <w:lvlText w:val="•"/>
      <w:lvlJc w:val="left"/>
      <w:pPr>
        <w:ind w:left="1616" w:hanging="346"/>
      </w:pPr>
      <w:rPr>
        <w:rFonts w:hint="default"/>
        <w:lang w:val="es-ES" w:eastAsia="es-ES" w:bidi="es-ES"/>
      </w:rPr>
    </w:lvl>
    <w:lvl w:ilvl="3">
      <w:numFmt w:val="bullet"/>
      <w:lvlText w:val="•"/>
      <w:lvlJc w:val="left"/>
      <w:pPr>
        <w:ind w:left="2433" w:hanging="346"/>
      </w:pPr>
      <w:rPr>
        <w:rFonts w:hint="default"/>
        <w:lang w:val="es-ES" w:eastAsia="es-ES" w:bidi="es-ES"/>
      </w:rPr>
    </w:lvl>
    <w:lvl w:ilvl="4">
      <w:numFmt w:val="bullet"/>
      <w:lvlText w:val="•"/>
      <w:lvlJc w:val="left"/>
      <w:pPr>
        <w:ind w:left="3250" w:hanging="346"/>
      </w:pPr>
      <w:rPr>
        <w:rFonts w:hint="default"/>
        <w:lang w:val="es-ES" w:eastAsia="es-ES" w:bidi="es-ES"/>
      </w:rPr>
    </w:lvl>
    <w:lvl w:ilvl="5">
      <w:numFmt w:val="bullet"/>
      <w:lvlText w:val="•"/>
      <w:lvlJc w:val="left"/>
      <w:pPr>
        <w:ind w:left="4067" w:hanging="346"/>
      </w:pPr>
      <w:rPr>
        <w:rFonts w:hint="default"/>
        <w:lang w:val="es-ES" w:eastAsia="es-ES" w:bidi="es-ES"/>
      </w:rPr>
    </w:lvl>
    <w:lvl w:ilvl="6">
      <w:numFmt w:val="bullet"/>
      <w:lvlText w:val="•"/>
      <w:lvlJc w:val="left"/>
      <w:pPr>
        <w:ind w:left="4884" w:hanging="346"/>
      </w:pPr>
      <w:rPr>
        <w:rFonts w:hint="default"/>
        <w:lang w:val="es-ES" w:eastAsia="es-ES" w:bidi="es-ES"/>
      </w:rPr>
    </w:lvl>
    <w:lvl w:ilvl="7">
      <w:numFmt w:val="bullet"/>
      <w:lvlText w:val="•"/>
      <w:lvlJc w:val="left"/>
      <w:pPr>
        <w:ind w:left="5701" w:hanging="346"/>
      </w:pPr>
      <w:rPr>
        <w:rFonts w:hint="default"/>
        <w:lang w:val="es-ES" w:eastAsia="es-ES" w:bidi="es-ES"/>
      </w:rPr>
    </w:lvl>
    <w:lvl w:ilvl="8">
      <w:numFmt w:val="bullet"/>
      <w:lvlText w:val="•"/>
      <w:lvlJc w:val="left"/>
      <w:pPr>
        <w:ind w:left="6518" w:hanging="346"/>
      </w:pPr>
      <w:rPr>
        <w:rFonts w:hint="default"/>
        <w:lang w:val="es-ES" w:eastAsia="es-ES" w:bidi="es-ES"/>
      </w:rPr>
    </w:lvl>
  </w:abstractNum>
  <w:abstractNum w:abstractNumId="105" w15:restartNumberingAfterBreak="0">
    <w:nsid w:val="4B6D4D34"/>
    <w:multiLevelType w:val="multilevel"/>
    <w:tmpl w:val="4B6D4D34"/>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106" w15:restartNumberingAfterBreak="0">
    <w:nsid w:val="4BCE5085"/>
    <w:multiLevelType w:val="multilevel"/>
    <w:tmpl w:val="4BCE5085"/>
    <w:lvl w:ilvl="0">
      <w:start w:val="2"/>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4BF81F18"/>
    <w:multiLevelType w:val="multilevel"/>
    <w:tmpl w:val="4BF81F18"/>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08" w15:restartNumberingAfterBreak="0">
    <w:nsid w:val="4C373158"/>
    <w:multiLevelType w:val="multilevel"/>
    <w:tmpl w:val="4C373158"/>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CCB4E40"/>
    <w:multiLevelType w:val="multilevel"/>
    <w:tmpl w:val="4CCB4E4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792" w:hanging="346"/>
      </w:pPr>
      <w:rPr>
        <w:rFonts w:ascii="Arial Narrow" w:eastAsia="Arial Narrow" w:hAnsi="Arial Narrow" w:cs="Arial Narrow" w:hint="default"/>
        <w:w w:val="100"/>
        <w:sz w:val="22"/>
        <w:szCs w:val="22"/>
        <w:lang w:val="es-ES" w:eastAsia="es-ES" w:bidi="es-ES"/>
      </w:rPr>
    </w:lvl>
    <w:lvl w:ilvl="2">
      <w:numFmt w:val="bullet"/>
      <w:lvlText w:val="•"/>
      <w:lvlJc w:val="left"/>
      <w:pPr>
        <w:ind w:left="1616" w:hanging="346"/>
      </w:pPr>
      <w:rPr>
        <w:rFonts w:hint="default"/>
        <w:lang w:val="es-ES" w:eastAsia="es-ES" w:bidi="es-ES"/>
      </w:rPr>
    </w:lvl>
    <w:lvl w:ilvl="3">
      <w:numFmt w:val="bullet"/>
      <w:lvlText w:val="•"/>
      <w:lvlJc w:val="left"/>
      <w:pPr>
        <w:ind w:left="2433" w:hanging="346"/>
      </w:pPr>
      <w:rPr>
        <w:rFonts w:hint="default"/>
        <w:lang w:val="es-ES" w:eastAsia="es-ES" w:bidi="es-ES"/>
      </w:rPr>
    </w:lvl>
    <w:lvl w:ilvl="4">
      <w:numFmt w:val="bullet"/>
      <w:lvlText w:val="•"/>
      <w:lvlJc w:val="left"/>
      <w:pPr>
        <w:ind w:left="3250" w:hanging="346"/>
      </w:pPr>
      <w:rPr>
        <w:rFonts w:hint="default"/>
        <w:lang w:val="es-ES" w:eastAsia="es-ES" w:bidi="es-ES"/>
      </w:rPr>
    </w:lvl>
    <w:lvl w:ilvl="5">
      <w:numFmt w:val="bullet"/>
      <w:lvlText w:val="•"/>
      <w:lvlJc w:val="left"/>
      <w:pPr>
        <w:ind w:left="4067" w:hanging="346"/>
      </w:pPr>
      <w:rPr>
        <w:rFonts w:hint="default"/>
        <w:lang w:val="es-ES" w:eastAsia="es-ES" w:bidi="es-ES"/>
      </w:rPr>
    </w:lvl>
    <w:lvl w:ilvl="6">
      <w:numFmt w:val="bullet"/>
      <w:lvlText w:val="•"/>
      <w:lvlJc w:val="left"/>
      <w:pPr>
        <w:ind w:left="4884" w:hanging="346"/>
      </w:pPr>
      <w:rPr>
        <w:rFonts w:hint="default"/>
        <w:lang w:val="es-ES" w:eastAsia="es-ES" w:bidi="es-ES"/>
      </w:rPr>
    </w:lvl>
    <w:lvl w:ilvl="7">
      <w:numFmt w:val="bullet"/>
      <w:lvlText w:val="•"/>
      <w:lvlJc w:val="left"/>
      <w:pPr>
        <w:ind w:left="5701" w:hanging="346"/>
      </w:pPr>
      <w:rPr>
        <w:rFonts w:hint="default"/>
        <w:lang w:val="es-ES" w:eastAsia="es-ES" w:bidi="es-ES"/>
      </w:rPr>
    </w:lvl>
    <w:lvl w:ilvl="8">
      <w:numFmt w:val="bullet"/>
      <w:lvlText w:val="•"/>
      <w:lvlJc w:val="left"/>
      <w:pPr>
        <w:ind w:left="6518" w:hanging="346"/>
      </w:pPr>
      <w:rPr>
        <w:rFonts w:hint="default"/>
        <w:lang w:val="es-ES" w:eastAsia="es-ES" w:bidi="es-ES"/>
      </w:rPr>
    </w:lvl>
  </w:abstractNum>
  <w:abstractNum w:abstractNumId="110" w15:restartNumberingAfterBreak="0">
    <w:nsid w:val="4EBB1A0A"/>
    <w:multiLevelType w:val="multilevel"/>
    <w:tmpl w:val="4EBB1A0A"/>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11" w15:restartNumberingAfterBreak="0">
    <w:nsid w:val="508002B0"/>
    <w:multiLevelType w:val="multilevel"/>
    <w:tmpl w:val="508002B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12" w15:restartNumberingAfterBreak="0">
    <w:nsid w:val="50C856BC"/>
    <w:multiLevelType w:val="multilevel"/>
    <w:tmpl w:val="50C856BC"/>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480" w:hanging="284"/>
      </w:pPr>
      <w:rPr>
        <w:rFonts w:hint="default"/>
        <w:lang w:val="es-ES" w:eastAsia="es-ES" w:bidi="es-ES"/>
      </w:rPr>
    </w:lvl>
    <w:lvl w:ilvl="2">
      <w:numFmt w:val="bullet"/>
      <w:lvlText w:val="•"/>
      <w:lvlJc w:val="left"/>
      <w:pPr>
        <w:ind w:left="2221" w:hanging="284"/>
      </w:pPr>
      <w:rPr>
        <w:rFonts w:hint="default"/>
        <w:lang w:val="es-ES" w:eastAsia="es-ES" w:bidi="es-ES"/>
      </w:rPr>
    </w:lvl>
    <w:lvl w:ilvl="3">
      <w:numFmt w:val="bullet"/>
      <w:lvlText w:val="•"/>
      <w:lvlJc w:val="left"/>
      <w:pPr>
        <w:ind w:left="2962" w:hanging="284"/>
      </w:pPr>
      <w:rPr>
        <w:rFonts w:hint="default"/>
        <w:lang w:val="es-ES" w:eastAsia="es-ES" w:bidi="es-ES"/>
      </w:rPr>
    </w:lvl>
    <w:lvl w:ilvl="4">
      <w:numFmt w:val="bullet"/>
      <w:lvlText w:val="•"/>
      <w:lvlJc w:val="left"/>
      <w:pPr>
        <w:ind w:left="3704" w:hanging="284"/>
      </w:pPr>
      <w:rPr>
        <w:rFonts w:hint="default"/>
        <w:lang w:val="es-ES" w:eastAsia="es-ES" w:bidi="es-ES"/>
      </w:rPr>
    </w:lvl>
    <w:lvl w:ilvl="5">
      <w:numFmt w:val="bullet"/>
      <w:lvlText w:val="•"/>
      <w:lvlJc w:val="left"/>
      <w:pPr>
        <w:ind w:left="4445" w:hanging="284"/>
      </w:pPr>
      <w:rPr>
        <w:rFonts w:hint="default"/>
        <w:lang w:val="es-ES" w:eastAsia="es-ES" w:bidi="es-ES"/>
      </w:rPr>
    </w:lvl>
    <w:lvl w:ilvl="6">
      <w:numFmt w:val="bullet"/>
      <w:lvlText w:val="•"/>
      <w:lvlJc w:val="left"/>
      <w:pPr>
        <w:ind w:left="5186" w:hanging="284"/>
      </w:pPr>
      <w:rPr>
        <w:rFonts w:hint="default"/>
        <w:lang w:val="es-ES" w:eastAsia="es-ES" w:bidi="es-ES"/>
      </w:rPr>
    </w:lvl>
    <w:lvl w:ilvl="7">
      <w:numFmt w:val="bullet"/>
      <w:lvlText w:val="•"/>
      <w:lvlJc w:val="left"/>
      <w:pPr>
        <w:ind w:left="5928" w:hanging="284"/>
      </w:pPr>
      <w:rPr>
        <w:rFonts w:hint="default"/>
        <w:lang w:val="es-ES" w:eastAsia="es-ES" w:bidi="es-ES"/>
      </w:rPr>
    </w:lvl>
    <w:lvl w:ilvl="8">
      <w:numFmt w:val="bullet"/>
      <w:lvlText w:val="•"/>
      <w:lvlJc w:val="left"/>
      <w:pPr>
        <w:ind w:left="6669" w:hanging="284"/>
      </w:pPr>
      <w:rPr>
        <w:rFonts w:hint="default"/>
        <w:lang w:val="es-ES" w:eastAsia="es-ES" w:bidi="es-ES"/>
      </w:rPr>
    </w:lvl>
  </w:abstractNum>
  <w:abstractNum w:abstractNumId="113" w15:restartNumberingAfterBreak="0">
    <w:nsid w:val="51B70D12"/>
    <w:multiLevelType w:val="multilevel"/>
    <w:tmpl w:val="51B70D12"/>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14" w15:restartNumberingAfterBreak="0">
    <w:nsid w:val="51EB7742"/>
    <w:multiLevelType w:val="multilevel"/>
    <w:tmpl w:val="51EB774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20" w:hanging="288"/>
      </w:pPr>
      <w:rPr>
        <w:rFonts w:hint="default"/>
        <w:lang w:val="es-ES" w:eastAsia="es-ES" w:bidi="es-ES"/>
      </w:rPr>
    </w:lvl>
    <w:lvl w:ilvl="2">
      <w:numFmt w:val="bullet"/>
      <w:lvlText w:val="•"/>
      <w:lvlJc w:val="left"/>
      <w:pPr>
        <w:ind w:left="2256" w:hanging="288"/>
      </w:pPr>
      <w:rPr>
        <w:rFonts w:hint="default"/>
        <w:lang w:val="es-ES" w:eastAsia="es-ES" w:bidi="es-ES"/>
      </w:rPr>
    </w:lvl>
    <w:lvl w:ilvl="3">
      <w:numFmt w:val="bullet"/>
      <w:lvlText w:val="•"/>
      <w:lvlJc w:val="left"/>
      <w:pPr>
        <w:ind w:left="2993" w:hanging="288"/>
      </w:pPr>
      <w:rPr>
        <w:rFonts w:hint="default"/>
        <w:lang w:val="es-ES" w:eastAsia="es-ES" w:bidi="es-ES"/>
      </w:rPr>
    </w:lvl>
    <w:lvl w:ilvl="4">
      <w:numFmt w:val="bullet"/>
      <w:lvlText w:val="•"/>
      <w:lvlJc w:val="left"/>
      <w:pPr>
        <w:ind w:left="3730" w:hanging="288"/>
      </w:pPr>
      <w:rPr>
        <w:rFonts w:hint="default"/>
        <w:lang w:val="es-ES" w:eastAsia="es-ES" w:bidi="es-ES"/>
      </w:rPr>
    </w:lvl>
    <w:lvl w:ilvl="5">
      <w:numFmt w:val="bullet"/>
      <w:lvlText w:val="•"/>
      <w:lvlJc w:val="left"/>
      <w:pPr>
        <w:ind w:left="4467" w:hanging="288"/>
      </w:pPr>
      <w:rPr>
        <w:rFonts w:hint="default"/>
        <w:lang w:val="es-ES" w:eastAsia="es-ES" w:bidi="es-ES"/>
      </w:rPr>
    </w:lvl>
    <w:lvl w:ilvl="6">
      <w:numFmt w:val="bullet"/>
      <w:lvlText w:val="•"/>
      <w:lvlJc w:val="left"/>
      <w:pPr>
        <w:ind w:left="5204" w:hanging="288"/>
      </w:pPr>
      <w:rPr>
        <w:rFonts w:hint="default"/>
        <w:lang w:val="es-ES" w:eastAsia="es-ES" w:bidi="es-ES"/>
      </w:rPr>
    </w:lvl>
    <w:lvl w:ilvl="7">
      <w:numFmt w:val="bullet"/>
      <w:lvlText w:val="•"/>
      <w:lvlJc w:val="left"/>
      <w:pPr>
        <w:ind w:left="5941" w:hanging="288"/>
      </w:pPr>
      <w:rPr>
        <w:rFonts w:hint="default"/>
        <w:lang w:val="es-ES" w:eastAsia="es-ES" w:bidi="es-ES"/>
      </w:rPr>
    </w:lvl>
    <w:lvl w:ilvl="8">
      <w:numFmt w:val="bullet"/>
      <w:lvlText w:val="•"/>
      <w:lvlJc w:val="left"/>
      <w:pPr>
        <w:ind w:left="6678" w:hanging="288"/>
      </w:pPr>
      <w:rPr>
        <w:rFonts w:hint="default"/>
        <w:lang w:val="es-ES" w:eastAsia="es-ES" w:bidi="es-ES"/>
      </w:rPr>
    </w:lvl>
  </w:abstractNum>
  <w:abstractNum w:abstractNumId="115" w15:restartNumberingAfterBreak="0">
    <w:nsid w:val="530D6834"/>
    <w:multiLevelType w:val="multilevel"/>
    <w:tmpl w:val="530D6834"/>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16" w15:restartNumberingAfterBreak="0">
    <w:nsid w:val="53896972"/>
    <w:multiLevelType w:val="multilevel"/>
    <w:tmpl w:val="53896972"/>
    <w:lvl w:ilvl="0">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1">
      <w:numFmt w:val="bullet"/>
      <w:lvlText w:val="•"/>
      <w:lvlJc w:val="left"/>
      <w:pPr>
        <w:ind w:left="2183" w:hanging="361"/>
      </w:pPr>
      <w:rPr>
        <w:rFonts w:hint="default"/>
        <w:lang w:val="es-ES" w:eastAsia="es-ES" w:bidi="es-ES"/>
      </w:rPr>
    </w:lvl>
    <w:lvl w:ilvl="2">
      <w:numFmt w:val="bullet"/>
      <w:lvlText w:val="•"/>
      <w:lvlJc w:val="left"/>
      <w:pPr>
        <w:ind w:left="2846" w:hanging="361"/>
      </w:pPr>
      <w:rPr>
        <w:rFonts w:hint="default"/>
        <w:lang w:val="es-ES" w:eastAsia="es-ES" w:bidi="es-ES"/>
      </w:rPr>
    </w:lvl>
    <w:lvl w:ilvl="3">
      <w:numFmt w:val="bullet"/>
      <w:lvlText w:val="•"/>
      <w:lvlJc w:val="left"/>
      <w:pPr>
        <w:ind w:left="3509" w:hanging="361"/>
      </w:pPr>
      <w:rPr>
        <w:rFonts w:hint="default"/>
        <w:lang w:val="es-ES" w:eastAsia="es-ES" w:bidi="es-ES"/>
      </w:rPr>
    </w:lvl>
    <w:lvl w:ilvl="4">
      <w:numFmt w:val="bullet"/>
      <w:lvlText w:val="•"/>
      <w:lvlJc w:val="left"/>
      <w:pPr>
        <w:ind w:left="4172" w:hanging="361"/>
      </w:pPr>
      <w:rPr>
        <w:rFonts w:hint="default"/>
        <w:lang w:val="es-ES" w:eastAsia="es-ES" w:bidi="es-ES"/>
      </w:rPr>
    </w:lvl>
    <w:lvl w:ilvl="5">
      <w:numFmt w:val="bullet"/>
      <w:lvlText w:val="•"/>
      <w:lvlJc w:val="left"/>
      <w:pPr>
        <w:ind w:left="4836" w:hanging="361"/>
      </w:pPr>
      <w:rPr>
        <w:rFonts w:hint="default"/>
        <w:lang w:val="es-ES" w:eastAsia="es-ES" w:bidi="es-ES"/>
      </w:rPr>
    </w:lvl>
    <w:lvl w:ilvl="6">
      <w:numFmt w:val="bullet"/>
      <w:lvlText w:val="•"/>
      <w:lvlJc w:val="left"/>
      <w:pPr>
        <w:ind w:left="5499" w:hanging="361"/>
      </w:pPr>
      <w:rPr>
        <w:rFonts w:hint="default"/>
        <w:lang w:val="es-ES" w:eastAsia="es-ES" w:bidi="es-ES"/>
      </w:rPr>
    </w:lvl>
    <w:lvl w:ilvl="7">
      <w:numFmt w:val="bullet"/>
      <w:lvlText w:val="•"/>
      <w:lvlJc w:val="left"/>
      <w:pPr>
        <w:ind w:left="6162" w:hanging="361"/>
      </w:pPr>
      <w:rPr>
        <w:rFonts w:hint="default"/>
        <w:lang w:val="es-ES" w:eastAsia="es-ES" w:bidi="es-ES"/>
      </w:rPr>
    </w:lvl>
    <w:lvl w:ilvl="8">
      <w:numFmt w:val="bullet"/>
      <w:lvlText w:val="•"/>
      <w:lvlJc w:val="left"/>
      <w:pPr>
        <w:ind w:left="6825" w:hanging="361"/>
      </w:pPr>
      <w:rPr>
        <w:rFonts w:hint="default"/>
        <w:lang w:val="es-ES" w:eastAsia="es-ES" w:bidi="es-ES"/>
      </w:rPr>
    </w:lvl>
  </w:abstractNum>
  <w:abstractNum w:abstractNumId="117" w15:restartNumberingAfterBreak="0">
    <w:nsid w:val="53AC37BB"/>
    <w:multiLevelType w:val="multilevel"/>
    <w:tmpl w:val="53AC37BB"/>
    <w:lvl w:ilvl="0">
      <w:numFmt w:val="bullet"/>
      <w:lvlText w:val="-"/>
      <w:lvlJc w:val="left"/>
      <w:pPr>
        <w:ind w:left="427" w:hanging="360"/>
      </w:pPr>
      <w:rPr>
        <w:rFonts w:ascii="Arial Narrow" w:eastAsia="Arial Narrow" w:hAnsi="Arial Narrow" w:cs="Arial Narrow" w:hint="default"/>
        <w:color w:val="000000"/>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118" w15:restartNumberingAfterBreak="0">
    <w:nsid w:val="55AE391A"/>
    <w:multiLevelType w:val="multilevel"/>
    <w:tmpl w:val="55AE391A"/>
    <w:lvl w:ilvl="0">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374322"/>
    <w:multiLevelType w:val="multilevel"/>
    <w:tmpl w:val="56374322"/>
    <w:lvl w:ilvl="0">
      <w:numFmt w:val="bullet"/>
      <w:lvlText w:val="-"/>
      <w:lvlJc w:val="left"/>
      <w:pPr>
        <w:ind w:left="427" w:hanging="360"/>
      </w:pPr>
      <w:rPr>
        <w:rFonts w:ascii="Arial Narrow" w:eastAsia="Arial Narrow" w:hAnsi="Arial Narrow" w:cs="Arial Narrow" w:hint="default"/>
      </w:rPr>
    </w:lvl>
    <w:lvl w:ilvl="1">
      <w:start w:val="1"/>
      <w:numFmt w:val="bullet"/>
      <w:lvlText w:val="o"/>
      <w:lvlJc w:val="left"/>
      <w:pPr>
        <w:ind w:left="1147" w:hanging="360"/>
      </w:pPr>
      <w:rPr>
        <w:rFonts w:ascii="Courier New" w:hAnsi="Courier New" w:cs="Courier New" w:hint="default"/>
      </w:rPr>
    </w:lvl>
    <w:lvl w:ilvl="2">
      <w:start w:val="1"/>
      <w:numFmt w:val="bullet"/>
      <w:lvlText w:val=""/>
      <w:lvlJc w:val="left"/>
      <w:pPr>
        <w:ind w:left="1867" w:hanging="360"/>
      </w:pPr>
      <w:rPr>
        <w:rFonts w:ascii="Wingdings" w:hAnsi="Wingdings" w:hint="default"/>
      </w:rPr>
    </w:lvl>
    <w:lvl w:ilvl="3">
      <w:start w:val="1"/>
      <w:numFmt w:val="bullet"/>
      <w:lvlText w:val=""/>
      <w:lvlJc w:val="left"/>
      <w:pPr>
        <w:ind w:left="2587" w:hanging="360"/>
      </w:pPr>
      <w:rPr>
        <w:rFonts w:ascii="Symbol" w:hAnsi="Symbol" w:hint="default"/>
      </w:rPr>
    </w:lvl>
    <w:lvl w:ilvl="4">
      <w:start w:val="1"/>
      <w:numFmt w:val="bullet"/>
      <w:lvlText w:val="o"/>
      <w:lvlJc w:val="left"/>
      <w:pPr>
        <w:ind w:left="3307" w:hanging="360"/>
      </w:pPr>
      <w:rPr>
        <w:rFonts w:ascii="Courier New" w:hAnsi="Courier New" w:cs="Courier New" w:hint="default"/>
      </w:rPr>
    </w:lvl>
    <w:lvl w:ilvl="5">
      <w:start w:val="1"/>
      <w:numFmt w:val="bullet"/>
      <w:lvlText w:val=""/>
      <w:lvlJc w:val="left"/>
      <w:pPr>
        <w:ind w:left="4027" w:hanging="360"/>
      </w:pPr>
      <w:rPr>
        <w:rFonts w:ascii="Wingdings" w:hAnsi="Wingdings" w:hint="default"/>
      </w:rPr>
    </w:lvl>
    <w:lvl w:ilvl="6">
      <w:start w:val="1"/>
      <w:numFmt w:val="bullet"/>
      <w:lvlText w:val=""/>
      <w:lvlJc w:val="left"/>
      <w:pPr>
        <w:ind w:left="4747" w:hanging="360"/>
      </w:pPr>
      <w:rPr>
        <w:rFonts w:ascii="Symbol" w:hAnsi="Symbol" w:hint="default"/>
      </w:rPr>
    </w:lvl>
    <w:lvl w:ilvl="7">
      <w:start w:val="1"/>
      <w:numFmt w:val="bullet"/>
      <w:lvlText w:val="o"/>
      <w:lvlJc w:val="left"/>
      <w:pPr>
        <w:ind w:left="5467" w:hanging="360"/>
      </w:pPr>
      <w:rPr>
        <w:rFonts w:ascii="Courier New" w:hAnsi="Courier New" w:cs="Courier New" w:hint="default"/>
      </w:rPr>
    </w:lvl>
    <w:lvl w:ilvl="8">
      <w:start w:val="1"/>
      <w:numFmt w:val="bullet"/>
      <w:lvlText w:val=""/>
      <w:lvlJc w:val="left"/>
      <w:pPr>
        <w:ind w:left="6187" w:hanging="360"/>
      </w:pPr>
      <w:rPr>
        <w:rFonts w:ascii="Wingdings" w:hAnsi="Wingdings" w:hint="default"/>
      </w:rPr>
    </w:lvl>
  </w:abstractNum>
  <w:abstractNum w:abstractNumId="120" w15:restartNumberingAfterBreak="0">
    <w:nsid w:val="568A4702"/>
    <w:multiLevelType w:val="multilevel"/>
    <w:tmpl w:val="568A4702"/>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7005927"/>
    <w:multiLevelType w:val="multilevel"/>
    <w:tmpl w:val="57005927"/>
    <w:lvl w:ilvl="0">
      <w:numFmt w:val="bullet"/>
      <w:lvlText w:val="-"/>
      <w:lvlJc w:val="left"/>
      <w:pPr>
        <w:ind w:left="720" w:hanging="360"/>
      </w:pPr>
      <w:rPr>
        <w:rFonts w:ascii="Arial Narrow" w:eastAsia="Arial Narrow" w:hAnsi="Arial Narrow" w:cs="Arial Narrow" w:hint="default"/>
        <w:w w:val="100"/>
        <w:sz w:val="22"/>
        <w:szCs w:val="22"/>
        <w:lang w:val="es-ES" w:eastAsia="es-ES" w:bidi="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7DA1ECB"/>
    <w:multiLevelType w:val="multilevel"/>
    <w:tmpl w:val="57DA1EC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23" w15:restartNumberingAfterBreak="0">
    <w:nsid w:val="57E007AC"/>
    <w:multiLevelType w:val="multilevel"/>
    <w:tmpl w:val="57E007AC"/>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792" w:hanging="408"/>
      </w:pPr>
      <w:rPr>
        <w:rFonts w:ascii="Symbol" w:eastAsia="Symbol" w:hAnsi="Symbol" w:cs="Symbol" w:hint="default"/>
        <w:w w:val="100"/>
        <w:sz w:val="22"/>
        <w:szCs w:val="22"/>
        <w:lang w:val="es-ES" w:eastAsia="es-ES" w:bidi="es-ES"/>
      </w:rPr>
    </w:lvl>
    <w:lvl w:ilvl="2">
      <w:numFmt w:val="bullet"/>
      <w:lvlText w:val="•"/>
      <w:lvlJc w:val="left"/>
      <w:pPr>
        <w:ind w:left="1616" w:hanging="408"/>
      </w:pPr>
      <w:rPr>
        <w:rFonts w:hint="default"/>
        <w:lang w:val="es-ES" w:eastAsia="es-ES" w:bidi="es-ES"/>
      </w:rPr>
    </w:lvl>
    <w:lvl w:ilvl="3">
      <w:numFmt w:val="bullet"/>
      <w:lvlText w:val="•"/>
      <w:lvlJc w:val="left"/>
      <w:pPr>
        <w:ind w:left="2433" w:hanging="408"/>
      </w:pPr>
      <w:rPr>
        <w:rFonts w:hint="default"/>
        <w:lang w:val="es-ES" w:eastAsia="es-ES" w:bidi="es-ES"/>
      </w:rPr>
    </w:lvl>
    <w:lvl w:ilvl="4">
      <w:numFmt w:val="bullet"/>
      <w:lvlText w:val="•"/>
      <w:lvlJc w:val="left"/>
      <w:pPr>
        <w:ind w:left="3250" w:hanging="408"/>
      </w:pPr>
      <w:rPr>
        <w:rFonts w:hint="default"/>
        <w:lang w:val="es-ES" w:eastAsia="es-ES" w:bidi="es-ES"/>
      </w:rPr>
    </w:lvl>
    <w:lvl w:ilvl="5">
      <w:numFmt w:val="bullet"/>
      <w:lvlText w:val="•"/>
      <w:lvlJc w:val="left"/>
      <w:pPr>
        <w:ind w:left="4067" w:hanging="408"/>
      </w:pPr>
      <w:rPr>
        <w:rFonts w:hint="default"/>
        <w:lang w:val="es-ES" w:eastAsia="es-ES" w:bidi="es-ES"/>
      </w:rPr>
    </w:lvl>
    <w:lvl w:ilvl="6">
      <w:numFmt w:val="bullet"/>
      <w:lvlText w:val="•"/>
      <w:lvlJc w:val="left"/>
      <w:pPr>
        <w:ind w:left="4884" w:hanging="408"/>
      </w:pPr>
      <w:rPr>
        <w:rFonts w:hint="default"/>
        <w:lang w:val="es-ES" w:eastAsia="es-ES" w:bidi="es-ES"/>
      </w:rPr>
    </w:lvl>
    <w:lvl w:ilvl="7">
      <w:numFmt w:val="bullet"/>
      <w:lvlText w:val="•"/>
      <w:lvlJc w:val="left"/>
      <w:pPr>
        <w:ind w:left="5701" w:hanging="408"/>
      </w:pPr>
      <w:rPr>
        <w:rFonts w:hint="default"/>
        <w:lang w:val="es-ES" w:eastAsia="es-ES" w:bidi="es-ES"/>
      </w:rPr>
    </w:lvl>
    <w:lvl w:ilvl="8">
      <w:numFmt w:val="bullet"/>
      <w:lvlText w:val="•"/>
      <w:lvlJc w:val="left"/>
      <w:pPr>
        <w:ind w:left="6518" w:hanging="408"/>
      </w:pPr>
      <w:rPr>
        <w:rFonts w:hint="default"/>
        <w:lang w:val="es-ES" w:eastAsia="es-ES" w:bidi="es-ES"/>
      </w:rPr>
    </w:lvl>
  </w:abstractNum>
  <w:abstractNum w:abstractNumId="124" w15:restartNumberingAfterBreak="0">
    <w:nsid w:val="585034E2"/>
    <w:multiLevelType w:val="multilevel"/>
    <w:tmpl w:val="585034E2"/>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start w:val="1"/>
      <w:numFmt w:val="decimal"/>
      <w:lvlText w:val="%3)"/>
      <w:lvlJc w:val="left"/>
      <w:pPr>
        <w:ind w:left="2160" w:hanging="360"/>
      </w:pPr>
      <w:rPr>
        <w:rFonts w:ascii="Arial Narrow" w:eastAsia="Arial Narrow" w:hAnsi="Arial Narrow" w:cs="Arial Narrow" w:hint="default"/>
        <w:w w:val="100"/>
        <w:sz w:val="22"/>
        <w:szCs w:val="22"/>
        <w:lang w:val="es-ES" w:eastAsia="es-ES" w:bidi="es-ES"/>
      </w:rPr>
    </w:lvl>
    <w:lvl w:ilvl="3">
      <w:numFmt w:val="bullet"/>
      <w:lvlText w:val="•"/>
      <w:lvlJc w:val="left"/>
      <w:pPr>
        <w:ind w:left="2909" w:hanging="360"/>
      </w:pPr>
      <w:rPr>
        <w:rFonts w:hint="default"/>
        <w:lang w:val="es-ES" w:eastAsia="es-ES" w:bidi="es-ES"/>
      </w:rPr>
    </w:lvl>
    <w:lvl w:ilvl="4">
      <w:numFmt w:val="bullet"/>
      <w:lvlText w:val="•"/>
      <w:lvlJc w:val="left"/>
      <w:pPr>
        <w:ind w:left="3658" w:hanging="360"/>
      </w:pPr>
      <w:rPr>
        <w:rFonts w:hint="default"/>
        <w:lang w:val="es-ES" w:eastAsia="es-ES" w:bidi="es-ES"/>
      </w:rPr>
    </w:lvl>
    <w:lvl w:ilvl="5">
      <w:numFmt w:val="bullet"/>
      <w:lvlText w:val="•"/>
      <w:lvlJc w:val="left"/>
      <w:pPr>
        <w:ind w:left="4407" w:hanging="360"/>
      </w:pPr>
      <w:rPr>
        <w:rFonts w:hint="default"/>
        <w:lang w:val="es-ES" w:eastAsia="es-ES" w:bidi="es-ES"/>
      </w:rPr>
    </w:lvl>
    <w:lvl w:ilvl="6">
      <w:numFmt w:val="bullet"/>
      <w:lvlText w:val="•"/>
      <w:lvlJc w:val="left"/>
      <w:pPr>
        <w:ind w:left="5156" w:hanging="360"/>
      </w:pPr>
      <w:rPr>
        <w:rFonts w:hint="default"/>
        <w:lang w:val="es-ES" w:eastAsia="es-ES" w:bidi="es-ES"/>
      </w:rPr>
    </w:lvl>
    <w:lvl w:ilvl="7">
      <w:numFmt w:val="bullet"/>
      <w:lvlText w:val="•"/>
      <w:lvlJc w:val="left"/>
      <w:pPr>
        <w:ind w:left="5905" w:hanging="360"/>
      </w:pPr>
      <w:rPr>
        <w:rFonts w:hint="default"/>
        <w:lang w:val="es-ES" w:eastAsia="es-ES" w:bidi="es-ES"/>
      </w:rPr>
    </w:lvl>
    <w:lvl w:ilvl="8">
      <w:numFmt w:val="bullet"/>
      <w:lvlText w:val="•"/>
      <w:lvlJc w:val="left"/>
      <w:pPr>
        <w:ind w:left="6654" w:hanging="360"/>
      </w:pPr>
      <w:rPr>
        <w:rFonts w:hint="default"/>
        <w:lang w:val="es-ES" w:eastAsia="es-ES" w:bidi="es-ES"/>
      </w:rPr>
    </w:lvl>
  </w:abstractNum>
  <w:abstractNum w:abstractNumId="125" w15:restartNumberingAfterBreak="0">
    <w:nsid w:val="5BFE794B"/>
    <w:multiLevelType w:val="multilevel"/>
    <w:tmpl w:val="5BFE794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26" w15:restartNumberingAfterBreak="0">
    <w:nsid w:val="5D0A1CFF"/>
    <w:multiLevelType w:val="multilevel"/>
    <w:tmpl w:val="5D0A1CFF"/>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512" w:hanging="361"/>
      </w:pPr>
      <w:rPr>
        <w:rFonts w:ascii="Arial Narrow" w:eastAsia="Arial Narrow" w:hAnsi="Arial Narrow" w:cs="Arial Narrow" w:hint="default"/>
        <w:w w:val="100"/>
        <w:sz w:val="22"/>
        <w:szCs w:val="22"/>
        <w:lang w:val="es-ES" w:eastAsia="es-ES" w:bidi="es-ES"/>
      </w:rPr>
    </w:lvl>
    <w:lvl w:ilvl="2">
      <w:numFmt w:val="bullet"/>
      <w:lvlText w:val="•"/>
      <w:lvlJc w:val="left"/>
      <w:pPr>
        <w:ind w:left="2256" w:hanging="361"/>
      </w:pPr>
      <w:rPr>
        <w:rFonts w:hint="default"/>
        <w:lang w:val="es-ES" w:eastAsia="es-ES" w:bidi="es-ES"/>
      </w:rPr>
    </w:lvl>
    <w:lvl w:ilvl="3">
      <w:numFmt w:val="bullet"/>
      <w:lvlText w:val="•"/>
      <w:lvlJc w:val="left"/>
      <w:pPr>
        <w:ind w:left="2993" w:hanging="361"/>
      </w:pPr>
      <w:rPr>
        <w:rFonts w:hint="default"/>
        <w:lang w:val="es-ES" w:eastAsia="es-ES" w:bidi="es-ES"/>
      </w:rPr>
    </w:lvl>
    <w:lvl w:ilvl="4">
      <w:numFmt w:val="bullet"/>
      <w:lvlText w:val="•"/>
      <w:lvlJc w:val="left"/>
      <w:pPr>
        <w:ind w:left="3730" w:hanging="361"/>
      </w:pPr>
      <w:rPr>
        <w:rFonts w:hint="default"/>
        <w:lang w:val="es-ES" w:eastAsia="es-ES" w:bidi="es-ES"/>
      </w:rPr>
    </w:lvl>
    <w:lvl w:ilvl="5">
      <w:numFmt w:val="bullet"/>
      <w:lvlText w:val="•"/>
      <w:lvlJc w:val="left"/>
      <w:pPr>
        <w:ind w:left="4467" w:hanging="361"/>
      </w:pPr>
      <w:rPr>
        <w:rFonts w:hint="default"/>
        <w:lang w:val="es-ES" w:eastAsia="es-ES" w:bidi="es-ES"/>
      </w:rPr>
    </w:lvl>
    <w:lvl w:ilvl="6">
      <w:numFmt w:val="bullet"/>
      <w:lvlText w:val="•"/>
      <w:lvlJc w:val="left"/>
      <w:pPr>
        <w:ind w:left="5204" w:hanging="361"/>
      </w:pPr>
      <w:rPr>
        <w:rFonts w:hint="default"/>
        <w:lang w:val="es-ES" w:eastAsia="es-ES" w:bidi="es-ES"/>
      </w:rPr>
    </w:lvl>
    <w:lvl w:ilvl="7">
      <w:numFmt w:val="bullet"/>
      <w:lvlText w:val="•"/>
      <w:lvlJc w:val="left"/>
      <w:pPr>
        <w:ind w:left="5941" w:hanging="361"/>
      </w:pPr>
      <w:rPr>
        <w:rFonts w:hint="default"/>
        <w:lang w:val="es-ES" w:eastAsia="es-ES" w:bidi="es-ES"/>
      </w:rPr>
    </w:lvl>
    <w:lvl w:ilvl="8">
      <w:numFmt w:val="bullet"/>
      <w:lvlText w:val="•"/>
      <w:lvlJc w:val="left"/>
      <w:pPr>
        <w:ind w:left="6678" w:hanging="361"/>
      </w:pPr>
      <w:rPr>
        <w:rFonts w:hint="default"/>
        <w:lang w:val="es-ES" w:eastAsia="es-ES" w:bidi="es-ES"/>
      </w:rPr>
    </w:lvl>
  </w:abstractNum>
  <w:abstractNum w:abstractNumId="127" w15:restartNumberingAfterBreak="0">
    <w:nsid w:val="619C74E9"/>
    <w:multiLevelType w:val="multilevel"/>
    <w:tmpl w:val="619C74E9"/>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360" w:hanging="360"/>
      </w:pPr>
      <w:rPr>
        <w:rFonts w:hint="default"/>
        <w:lang w:val="es-ES" w:eastAsia="es-ES" w:bidi="es-ES"/>
      </w:rPr>
    </w:lvl>
    <w:lvl w:ilvl="2">
      <w:numFmt w:val="bullet"/>
      <w:lvlText w:val="•"/>
      <w:lvlJc w:val="left"/>
      <w:pPr>
        <w:ind w:left="2114" w:hanging="360"/>
      </w:pPr>
      <w:rPr>
        <w:rFonts w:hint="default"/>
        <w:lang w:val="es-ES" w:eastAsia="es-ES" w:bidi="es-ES"/>
      </w:rPr>
    </w:lvl>
    <w:lvl w:ilvl="3">
      <w:numFmt w:val="bullet"/>
      <w:lvlText w:val="•"/>
      <w:lvlJc w:val="left"/>
      <w:pPr>
        <w:ind w:left="2869" w:hanging="360"/>
      </w:pPr>
      <w:rPr>
        <w:rFonts w:hint="default"/>
        <w:lang w:val="es-ES" w:eastAsia="es-ES" w:bidi="es-ES"/>
      </w:rPr>
    </w:lvl>
    <w:lvl w:ilvl="4">
      <w:numFmt w:val="bullet"/>
      <w:lvlText w:val="•"/>
      <w:lvlJc w:val="left"/>
      <w:pPr>
        <w:ind w:left="3624" w:hanging="360"/>
      </w:pPr>
      <w:rPr>
        <w:rFonts w:hint="default"/>
        <w:lang w:val="es-ES" w:eastAsia="es-ES" w:bidi="es-ES"/>
      </w:rPr>
    </w:lvl>
    <w:lvl w:ilvl="5">
      <w:numFmt w:val="bullet"/>
      <w:lvlText w:val="•"/>
      <w:lvlJc w:val="left"/>
      <w:pPr>
        <w:ind w:left="4378" w:hanging="360"/>
      </w:pPr>
      <w:rPr>
        <w:rFonts w:hint="default"/>
        <w:lang w:val="es-ES" w:eastAsia="es-ES" w:bidi="es-ES"/>
      </w:rPr>
    </w:lvl>
    <w:lvl w:ilvl="6">
      <w:numFmt w:val="bullet"/>
      <w:lvlText w:val="•"/>
      <w:lvlJc w:val="left"/>
      <w:pPr>
        <w:ind w:left="5133" w:hanging="360"/>
      </w:pPr>
      <w:rPr>
        <w:rFonts w:hint="default"/>
        <w:lang w:val="es-ES" w:eastAsia="es-ES" w:bidi="es-ES"/>
      </w:rPr>
    </w:lvl>
    <w:lvl w:ilvl="7">
      <w:numFmt w:val="bullet"/>
      <w:lvlText w:val="•"/>
      <w:lvlJc w:val="left"/>
      <w:pPr>
        <w:ind w:left="5888" w:hanging="360"/>
      </w:pPr>
      <w:rPr>
        <w:rFonts w:hint="default"/>
        <w:lang w:val="es-ES" w:eastAsia="es-ES" w:bidi="es-ES"/>
      </w:rPr>
    </w:lvl>
    <w:lvl w:ilvl="8">
      <w:numFmt w:val="bullet"/>
      <w:lvlText w:val="•"/>
      <w:lvlJc w:val="left"/>
      <w:pPr>
        <w:ind w:left="6642" w:hanging="360"/>
      </w:pPr>
      <w:rPr>
        <w:rFonts w:hint="default"/>
        <w:lang w:val="es-ES" w:eastAsia="es-ES" w:bidi="es-ES"/>
      </w:rPr>
    </w:lvl>
  </w:abstractNum>
  <w:abstractNum w:abstractNumId="128" w15:restartNumberingAfterBreak="0">
    <w:nsid w:val="62D4307E"/>
    <w:multiLevelType w:val="multilevel"/>
    <w:tmpl w:val="62D4307E"/>
    <w:lvl w:ilvl="0">
      <w:numFmt w:val="bullet"/>
      <w:lvlText w:val=""/>
      <w:lvlJc w:val="left"/>
      <w:pPr>
        <w:ind w:left="359"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29" w15:restartNumberingAfterBreak="0">
    <w:nsid w:val="645C7C1D"/>
    <w:multiLevelType w:val="multilevel"/>
    <w:tmpl w:val="645C7C1D"/>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30" w15:restartNumberingAfterBreak="0">
    <w:nsid w:val="648E6CA7"/>
    <w:multiLevelType w:val="multilevel"/>
    <w:tmpl w:val="648E6CA7"/>
    <w:lvl w:ilvl="0">
      <w:numFmt w:val="bullet"/>
      <w:lvlText w:val=""/>
      <w:lvlJc w:val="left"/>
      <w:pPr>
        <w:ind w:left="778" w:hanging="692"/>
      </w:pPr>
      <w:rPr>
        <w:rFonts w:ascii="Symbol" w:eastAsia="Symbol" w:hAnsi="Symbol" w:cs="Symbol" w:hint="default"/>
        <w:w w:val="100"/>
        <w:sz w:val="22"/>
        <w:szCs w:val="22"/>
        <w:lang w:val="es-ES" w:eastAsia="es-ES" w:bidi="es-ES"/>
      </w:rPr>
    </w:lvl>
    <w:lvl w:ilvl="1">
      <w:numFmt w:val="bullet"/>
      <w:lvlText w:val="o"/>
      <w:lvlJc w:val="left"/>
      <w:pPr>
        <w:ind w:left="1512" w:hanging="336"/>
      </w:pPr>
      <w:rPr>
        <w:rFonts w:ascii="Courier New" w:eastAsia="Courier New" w:hAnsi="Courier New" w:cs="Courier New" w:hint="default"/>
        <w:w w:val="100"/>
        <w:sz w:val="22"/>
        <w:szCs w:val="22"/>
        <w:lang w:val="es-ES" w:eastAsia="es-ES" w:bidi="es-ES"/>
      </w:rPr>
    </w:lvl>
    <w:lvl w:ilvl="2">
      <w:numFmt w:val="bullet"/>
      <w:lvlText w:val="•"/>
      <w:lvlJc w:val="left"/>
      <w:pPr>
        <w:ind w:left="2256" w:hanging="336"/>
      </w:pPr>
      <w:rPr>
        <w:rFonts w:hint="default"/>
        <w:lang w:val="es-ES" w:eastAsia="es-ES" w:bidi="es-ES"/>
      </w:rPr>
    </w:lvl>
    <w:lvl w:ilvl="3">
      <w:numFmt w:val="bullet"/>
      <w:lvlText w:val="•"/>
      <w:lvlJc w:val="left"/>
      <w:pPr>
        <w:ind w:left="2993" w:hanging="336"/>
      </w:pPr>
      <w:rPr>
        <w:rFonts w:hint="default"/>
        <w:lang w:val="es-ES" w:eastAsia="es-ES" w:bidi="es-ES"/>
      </w:rPr>
    </w:lvl>
    <w:lvl w:ilvl="4">
      <w:numFmt w:val="bullet"/>
      <w:lvlText w:val="•"/>
      <w:lvlJc w:val="left"/>
      <w:pPr>
        <w:ind w:left="3730" w:hanging="336"/>
      </w:pPr>
      <w:rPr>
        <w:rFonts w:hint="default"/>
        <w:lang w:val="es-ES" w:eastAsia="es-ES" w:bidi="es-ES"/>
      </w:rPr>
    </w:lvl>
    <w:lvl w:ilvl="5">
      <w:numFmt w:val="bullet"/>
      <w:lvlText w:val="•"/>
      <w:lvlJc w:val="left"/>
      <w:pPr>
        <w:ind w:left="4467" w:hanging="336"/>
      </w:pPr>
      <w:rPr>
        <w:rFonts w:hint="default"/>
        <w:lang w:val="es-ES" w:eastAsia="es-ES" w:bidi="es-ES"/>
      </w:rPr>
    </w:lvl>
    <w:lvl w:ilvl="6">
      <w:numFmt w:val="bullet"/>
      <w:lvlText w:val="•"/>
      <w:lvlJc w:val="left"/>
      <w:pPr>
        <w:ind w:left="5204" w:hanging="336"/>
      </w:pPr>
      <w:rPr>
        <w:rFonts w:hint="default"/>
        <w:lang w:val="es-ES" w:eastAsia="es-ES" w:bidi="es-ES"/>
      </w:rPr>
    </w:lvl>
    <w:lvl w:ilvl="7">
      <w:numFmt w:val="bullet"/>
      <w:lvlText w:val="•"/>
      <w:lvlJc w:val="left"/>
      <w:pPr>
        <w:ind w:left="5941" w:hanging="336"/>
      </w:pPr>
      <w:rPr>
        <w:rFonts w:hint="default"/>
        <w:lang w:val="es-ES" w:eastAsia="es-ES" w:bidi="es-ES"/>
      </w:rPr>
    </w:lvl>
    <w:lvl w:ilvl="8">
      <w:numFmt w:val="bullet"/>
      <w:lvlText w:val="•"/>
      <w:lvlJc w:val="left"/>
      <w:pPr>
        <w:ind w:left="6678" w:hanging="336"/>
      </w:pPr>
      <w:rPr>
        <w:rFonts w:hint="default"/>
        <w:lang w:val="es-ES" w:eastAsia="es-ES" w:bidi="es-ES"/>
      </w:rPr>
    </w:lvl>
  </w:abstractNum>
  <w:abstractNum w:abstractNumId="131" w15:restartNumberingAfterBreak="0">
    <w:nsid w:val="65CE593C"/>
    <w:multiLevelType w:val="multilevel"/>
    <w:tmpl w:val="65CE593C"/>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132" w15:restartNumberingAfterBreak="0">
    <w:nsid w:val="6676105F"/>
    <w:multiLevelType w:val="multilevel"/>
    <w:tmpl w:val="6676105F"/>
    <w:lvl w:ilvl="0">
      <w:numFmt w:val="bullet"/>
      <w:lvlText w:val=""/>
      <w:lvlJc w:val="left"/>
      <w:pPr>
        <w:ind w:left="792" w:hanging="692"/>
      </w:pPr>
      <w:rPr>
        <w:rFonts w:ascii="Symbol" w:eastAsia="Symbol" w:hAnsi="Symbol" w:cs="Symbol" w:hint="default"/>
        <w:w w:val="100"/>
        <w:sz w:val="22"/>
        <w:szCs w:val="22"/>
        <w:lang w:val="es-ES" w:eastAsia="es-ES" w:bidi="es-ES"/>
      </w:rPr>
    </w:lvl>
    <w:lvl w:ilvl="1">
      <w:numFmt w:val="bullet"/>
      <w:lvlText w:val="•"/>
      <w:lvlJc w:val="left"/>
      <w:pPr>
        <w:ind w:left="1535" w:hanging="692"/>
      </w:pPr>
      <w:rPr>
        <w:rFonts w:hint="default"/>
        <w:lang w:val="es-ES" w:eastAsia="es-ES" w:bidi="es-ES"/>
      </w:rPr>
    </w:lvl>
    <w:lvl w:ilvl="2">
      <w:numFmt w:val="bullet"/>
      <w:lvlText w:val="•"/>
      <w:lvlJc w:val="left"/>
      <w:pPr>
        <w:ind w:left="2270" w:hanging="692"/>
      </w:pPr>
      <w:rPr>
        <w:rFonts w:hint="default"/>
        <w:lang w:val="es-ES" w:eastAsia="es-ES" w:bidi="es-ES"/>
      </w:rPr>
    </w:lvl>
    <w:lvl w:ilvl="3">
      <w:numFmt w:val="bullet"/>
      <w:lvlText w:val="•"/>
      <w:lvlJc w:val="left"/>
      <w:pPr>
        <w:ind w:left="3005" w:hanging="692"/>
      </w:pPr>
      <w:rPr>
        <w:rFonts w:hint="default"/>
        <w:lang w:val="es-ES" w:eastAsia="es-ES" w:bidi="es-ES"/>
      </w:rPr>
    </w:lvl>
    <w:lvl w:ilvl="4">
      <w:numFmt w:val="bullet"/>
      <w:lvlText w:val="•"/>
      <w:lvlJc w:val="left"/>
      <w:pPr>
        <w:ind w:left="3740" w:hanging="692"/>
      </w:pPr>
      <w:rPr>
        <w:rFonts w:hint="default"/>
        <w:lang w:val="es-ES" w:eastAsia="es-ES" w:bidi="es-ES"/>
      </w:rPr>
    </w:lvl>
    <w:lvl w:ilvl="5">
      <w:numFmt w:val="bullet"/>
      <w:lvlText w:val="•"/>
      <w:lvlJc w:val="left"/>
      <w:pPr>
        <w:ind w:left="4476" w:hanging="692"/>
      </w:pPr>
      <w:rPr>
        <w:rFonts w:hint="default"/>
        <w:lang w:val="es-ES" w:eastAsia="es-ES" w:bidi="es-ES"/>
      </w:rPr>
    </w:lvl>
    <w:lvl w:ilvl="6">
      <w:numFmt w:val="bullet"/>
      <w:lvlText w:val="•"/>
      <w:lvlJc w:val="left"/>
      <w:pPr>
        <w:ind w:left="5211" w:hanging="692"/>
      </w:pPr>
      <w:rPr>
        <w:rFonts w:hint="default"/>
        <w:lang w:val="es-ES" w:eastAsia="es-ES" w:bidi="es-ES"/>
      </w:rPr>
    </w:lvl>
    <w:lvl w:ilvl="7">
      <w:numFmt w:val="bullet"/>
      <w:lvlText w:val="•"/>
      <w:lvlJc w:val="left"/>
      <w:pPr>
        <w:ind w:left="5946" w:hanging="692"/>
      </w:pPr>
      <w:rPr>
        <w:rFonts w:hint="default"/>
        <w:lang w:val="es-ES" w:eastAsia="es-ES" w:bidi="es-ES"/>
      </w:rPr>
    </w:lvl>
    <w:lvl w:ilvl="8">
      <w:numFmt w:val="bullet"/>
      <w:lvlText w:val="•"/>
      <w:lvlJc w:val="left"/>
      <w:pPr>
        <w:ind w:left="6681" w:hanging="692"/>
      </w:pPr>
      <w:rPr>
        <w:rFonts w:hint="default"/>
        <w:lang w:val="es-ES" w:eastAsia="es-ES" w:bidi="es-ES"/>
      </w:rPr>
    </w:lvl>
  </w:abstractNum>
  <w:abstractNum w:abstractNumId="133" w15:restartNumberingAfterBreak="0">
    <w:nsid w:val="67A278C3"/>
    <w:multiLevelType w:val="multilevel"/>
    <w:tmpl w:val="67A278C3"/>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34" w15:restartNumberingAfterBreak="0">
    <w:nsid w:val="68D92488"/>
    <w:multiLevelType w:val="multilevel"/>
    <w:tmpl w:val="68D92488"/>
    <w:lvl w:ilvl="0">
      <w:numFmt w:val="bullet"/>
      <w:lvlText w:val=""/>
      <w:lvlJc w:val="left"/>
      <w:pPr>
        <w:ind w:left="413" w:hanging="341"/>
      </w:pPr>
      <w:rPr>
        <w:rFonts w:ascii="Symbol" w:eastAsia="Symbol" w:hAnsi="Symbol" w:cs="Symbol" w:hint="default"/>
        <w:w w:val="100"/>
        <w:sz w:val="22"/>
        <w:szCs w:val="22"/>
        <w:lang w:val="es-ES" w:eastAsia="es-ES" w:bidi="es-ES"/>
      </w:rPr>
    </w:lvl>
    <w:lvl w:ilvl="1">
      <w:numFmt w:val="bullet"/>
      <w:lvlText w:val="•"/>
      <w:lvlJc w:val="left"/>
      <w:pPr>
        <w:ind w:left="1193" w:hanging="341"/>
      </w:pPr>
      <w:rPr>
        <w:rFonts w:hint="default"/>
        <w:lang w:val="es-ES" w:eastAsia="es-ES" w:bidi="es-ES"/>
      </w:rPr>
    </w:lvl>
    <w:lvl w:ilvl="2">
      <w:numFmt w:val="bullet"/>
      <w:lvlText w:val="•"/>
      <w:lvlJc w:val="left"/>
      <w:pPr>
        <w:ind w:left="1966" w:hanging="341"/>
      </w:pPr>
      <w:rPr>
        <w:rFonts w:hint="default"/>
        <w:lang w:val="es-ES" w:eastAsia="es-ES" w:bidi="es-ES"/>
      </w:rPr>
    </w:lvl>
    <w:lvl w:ilvl="3">
      <w:numFmt w:val="bullet"/>
      <w:lvlText w:val="•"/>
      <w:lvlJc w:val="left"/>
      <w:pPr>
        <w:ind w:left="2739" w:hanging="341"/>
      </w:pPr>
      <w:rPr>
        <w:rFonts w:hint="default"/>
        <w:lang w:val="es-ES" w:eastAsia="es-ES" w:bidi="es-ES"/>
      </w:rPr>
    </w:lvl>
    <w:lvl w:ilvl="4">
      <w:numFmt w:val="bullet"/>
      <w:lvlText w:val="•"/>
      <w:lvlJc w:val="left"/>
      <w:pPr>
        <w:ind w:left="3512" w:hanging="341"/>
      </w:pPr>
      <w:rPr>
        <w:rFonts w:hint="default"/>
        <w:lang w:val="es-ES" w:eastAsia="es-ES" w:bidi="es-ES"/>
      </w:rPr>
    </w:lvl>
    <w:lvl w:ilvl="5">
      <w:numFmt w:val="bullet"/>
      <w:lvlText w:val="•"/>
      <w:lvlJc w:val="left"/>
      <w:pPr>
        <w:ind w:left="4286" w:hanging="341"/>
      </w:pPr>
      <w:rPr>
        <w:rFonts w:hint="default"/>
        <w:lang w:val="es-ES" w:eastAsia="es-ES" w:bidi="es-ES"/>
      </w:rPr>
    </w:lvl>
    <w:lvl w:ilvl="6">
      <w:numFmt w:val="bullet"/>
      <w:lvlText w:val="•"/>
      <w:lvlJc w:val="left"/>
      <w:pPr>
        <w:ind w:left="5059" w:hanging="341"/>
      </w:pPr>
      <w:rPr>
        <w:rFonts w:hint="default"/>
        <w:lang w:val="es-ES" w:eastAsia="es-ES" w:bidi="es-ES"/>
      </w:rPr>
    </w:lvl>
    <w:lvl w:ilvl="7">
      <w:numFmt w:val="bullet"/>
      <w:lvlText w:val="•"/>
      <w:lvlJc w:val="left"/>
      <w:pPr>
        <w:ind w:left="5832" w:hanging="341"/>
      </w:pPr>
      <w:rPr>
        <w:rFonts w:hint="default"/>
        <w:lang w:val="es-ES" w:eastAsia="es-ES" w:bidi="es-ES"/>
      </w:rPr>
    </w:lvl>
    <w:lvl w:ilvl="8">
      <w:numFmt w:val="bullet"/>
      <w:lvlText w:val="•"/>
      <w:lvlJc w:val="left"/>
      <w:pPr>
        <w:ind w:left="6605" w:hanging="341"/>
      </w:pPr>
      <w:rPr>
        <w:rFonts w:hint="default"/>
        <w:lang w:val="es-ES" w:eastAsia="es-ES" w:bidi="es-ES"/>
      </w:rPr>
    </w:lvl>
  </w:abstractNum>
  <w:abstractNum w:abstractNumId="135" w15:restartNumberingAfterBreak="0">
    <w:nsid w:val="69DF5A26"/>
    <w:multiLevelType w:val="multilevel"/>
    <w:tmpl w:val="69DF5A26"/>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36" w15:restartNumberingAfterBreak="0">
    <w:nsid w:val="6A6169CD"/>
    <w:multiLevelType w:val="multilevel"/>
    <w:tmpl w:val="6A6169CD"/>
    <w:lvl w:ilvl="0">
      <w:start w:val="1"/>
      <w:numFmt w:val="bullet"/>
      <w:lvlText w:val=""/>
      <w:lvlJc w:val="left"/>
      <w:pPr>
        <w:ind w:left="1875" w:hanging="360"/>
      </w:pPr>
      <w:rPr>
        <w:rFonts w:ascii="Symbol" w:hAnsi="Symbol" w:hint="default"/>
        <w:w w:val="100"/>
        <w:sz w:val="22"/>
        <w:szCs w:val="22"/>
        <w:lang w:val="es-ES" w:eastAsia="es-ES" w:bidi="es-ES"/>
      </w:rPr>
    </w:lvl>
    <w:lvl w:ilvl="1">
      <w:start w:val="1"/>
      <w:numFmt w:val="bullet"/>
      <w:lvlText w:val="o"/>
      <w:lvlJc w:val="left"/>
      <w:pPr>
        <w:ind w:left="2595" w:hanging="360"/>
      </w:pPr>
      <w:rPr>
        <w:rFonts w:ascii="Courier New" w:hAnsi="Courier New" w:cs="Courier New" w:hint="default"/>
      </w:rPr>
    </w:lvl>
    <w:lvl w:ilvl="2">
      <w:start w:val="1"/>
      <w:numFmt w:val="bullet"/>
      <w:lvlText w:val=""/>
      <w:lvlJc w:val="left"/>
      <w:pPr>
        <w:ind w:left="3315" w:hanging="360"/>
      </w:pPr>
      <w:rPr>
        <w:rFonts w:ascii="Wingdings" w:hAnsi="Wingdings" w:hint="default"/>
      </w:rPr>
    </w:lvl>
    <w:lvl w:ilvl="3">
      <w:start w:val="1"/>
      <w:numFmt w:val="bullet"/>
      <w:lvlText w:val=""/>
      <w:lvlJc w:val="left"/>
      <w:pPr>
        <w:ind w:left="4035" w:hanging="360"/>
      </w:pPr>
      <w:rPr>
        <w:rFonts w:ascii="Symbol" w:hAnsi="Symbol" w:hint="default"/>
      </w:rPr>
    </w:lvl>
    <w:lvl w:ilvl="4">
      <w:start w:val="1"/>
      <w:numFmt w:val="bullet"/>
      <w:lvlText w:val="o"/>
      <w:lvlJc w:val="left"/>
      <w:pPr>
        <w:ind w:left="4755" w:hanging="360"/>
      </w:pPr>
      <w:rPr>
        <w:rFonts w:ascii="Courier New" w:hAnsi="Courier New" w:cs="Courier New" w:hint="default"/>
      </w:rPr>
    </w:lvl>
    <w:lvl w:ilvl="5">
      <w:start w:val="1"/>
      <w:numFmt w:val="bullet"/>
      <w:lvlText w:val=""/>
      <w:lvlJc w:val="left"/>
      <w:pPr>
        <w:ind w:left="5475" w:hanging="360"/>
      </w:pPr>
      <w:rPr>
        <w:rFonts w:ascii="Wingdings" w:hAnsi="Wingdings" w:hint="default"/>
      </w:rPr>
    </w:lvl>
    <w:lvl w:ilvl="6">
      <w:start w:val="1"/>
      <w:numFmt w:val="bullet"/>
      <w:lvlText w:val=""/>
      <w:lvlJc w:val="left"/>
      <w:pPr>
        <w:ind w:left="6195" w:hanging="360"/>
      </w:pPr>
      <w:rPr>
        <w:rFonts w:ascii="Symbol" w:hAnsi="Symbol" w:hint="default"/>
      </w:rPr>
    </w:lvl>
    <w:lvl w:ilvl="7">
      <w:start w:val="1"/>
      <w:numFmt w:val="bullet"/>
      <w:lvlText w:val="o"/>
      <w:lvlJc w:val="left"/>
      <w:pPr>
        <w:ind w:left="6915" w:hanging="360"/>
      </w:pPr>
      <w:rPr>
        <w:rFonts w:ascii="Courier New" w:hAnsi="Courier New" w:cs="Courier New" w:hint="default"/>
      </w:rPr>
    </w:lvl>
    <w:lvl w:ilvl="8">
      <w:start w:val="1"/>
      <w:numFmt w:val="bullet"/>
      <w:lvlText w:val=""/>
      <w:lvlJc w:val="left"/>
      <w:pPr>
        <w:ind w:left="7635" w:hanging="360"/>
      </w:pPr>
      <w:rPr>
        <w:rFonts w:ascii="Wingdings" w:hAnsi="Wingdings" w:hint="default"/>
      </w:rPr>
    </w:lvl>
  </w:abstractNum>
  <w:abstractNum w:abstractNumId="137" w15:restartNumberingAfterBreak="0">
    <w:nsid w:val="6BE16409"/>
    <w:multiLevelType w:val="multilevel"/>
    <w:tmpl w:val="6BE16409"/>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38" w15:restartNumberingAfterBreak="0">
    <w:nsid w:val="6D691EF6"/>
    <w:multiLevelType w:val="multilevel"/>
    <w:tmpl w:val="6D691EF6"/>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39" w15:restartNumberingAfterBreak="0">
    <w:nsid w:val="6DAB7E6A"/>
    <w:multiLevelType w:val="multilevel"/>
    <w:tmpl w:val="6DAB7E6A"/>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0" w15:restartNumberingAfterBreak="0">
    <w:nsid w:val="6DD26D6F"/>
    <w:multiLevelType w:val="multilevel"/>
    <w:tmpl w:val="6DD26D6F"/>
    <w:lvl w:ilvl="0">
      <w:numFmt w:val="bullet"/>
      <w:lvlText w:val="-"/>
      <w:lvlJc w:val="left"/>
      <w:pPr>
        <w:ind w:left="720" w:hanging="360"/>
      </w:pPr>
      <w:rPr>
        <w:rFonts w:ascii="Arial Narrow" w:eastAsia="Arial Narrow" w:hAnsi="Arial Narrow" w:cs="Arial Narrow"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DDD17C3"/>
    <w:multiLevelType w:val="multilevel"/>
    <w:tmpl w:val="6DDD17C3"/>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2" w15:restartNumberingAfterBreak="0">
    <w:nsid w:val="6E284969"/>
    <w:multiLevelType w:val="multilevel"/>
    <w:tmpl w:val="6E284969"/>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3" w15:restartNumberingAfterBreak="0">
    <w:nsid w:val="6E574E71"/>
    <w:multiLevelType w:val="multilevel"/>
    <w:tmpl w:val="6E574E7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EBE5100"/>
    <w:multiLevelType w:val="multilevel"/>
    <w:tmpl w:val="6EBE5100"/>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45" w15:restartNumberingAfterBreak="0">
    <w:nsid w:val="70EB273D"/>
    <w:multiLevelType w:val="multilevel"/>
    <w:tmpl w:val="70EB273D"/>
    <w:lvl w:ilvl="0">
      <w:numFmt w:val="bullet"/>
      <w:lvlText w:val="-"/>
      <w:lvlJc w:val="left"/>
      <w:pPr>
        <w:ind w:left="720" w:hanging="360"/>
      </w:pPr>
      <w:rPr>
        <w:rFonts w:ascii="Arial Narrow" w:eastAsia="Arial Narrow" w:hAnsi="Arial Narrow" w:cs="Arial Narro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13D0D01"/>
    <w:multiLevelType w:val="multilevel"/>
    <w:tmpl w:val="713D0D01"/>
    <w:lvl w:ilvl="0">
      <w:start w:val="1"/>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733F7735"/>
    <w:multiLevelType w:val="multilevel"/>
    <w:tmpl w:val="733F7735"/>
    <w:lvl w:ilvl="0">
      <w:start w:val="2"/>
      <w:numFmt w:val="bullet"/>
      <w:lvlText w:val="-"/>
      <w:lvlJc w:val="left"/>
      <w:pPr>
        <w:ind w:left="720" w:hanging="360"/>
      </w:pPr>
      <w:rPr>
        <w:rFonts w:ascii="Arial Narrow" w:eastAsia="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73DD3688"/>
    <w:multiLevelType w:val="multilevel"/>
    <w:tmpl w:val="73DD3688"/>
    <w:lvl w:ilvl="0">
      <w:numFmt w:val="bullet"/>
      <w:lvlText w:val="o"/>
      <w:lvlJc w:val="left"/>
      <w:pPr>
        <w:ind w:left="1512" w:hanging="336"/>
      </w:pPr>
      <w:rPr>
        <w:rFonts w:ascii="Courier New" w:eastAsia="Courier New" w:hAnsi="Courier New" w:cs="Courier New" w:hint="default"/>
        <w:w w:val="100"/>
        <w:sz w:val="22"/>
        <w:szCs w:val="22"/>
        <w:lang w:val="es-ES" w:eastAsia="es-ES" w:bidi="es-ES"/>
      </w:rPr>
    </w:lvl>
    <w:lvl w:ilvl="1">
      <w:numFmt w:val="bullet"/>
      <w:lvlText w:val="•"/>
      <w:lvlJc w:val="left"/>
      <w:pPr>
        <w:ind w:left="2183" w:hanging="336"/>
      </w:pPr>
      <w:rPr>
        <w:rFonts w:hint="default"/>
        <w:lang w:val="es-ES" w:eastAsia="es-ES" w:bidi="es-ES"/>
      </w:rPr>
    </w:lvl>
    <w:lvl w:ilvl="2">
      <w:numFmt w:val="bullet"/>
      <w:lvlText w:val="•"/>
      <w:lvlJc w:val="left"/>
      <w:pPr>
        <w:ind w:left="2846" w:hanging="336"/>
      </w:pPr>
      <w:rPr>
        <w:rFonts w:hint="default"/>
        <w:lang w:val="es-ES" w:eastAsia="es-ES" w:bidi="es-ES"/>
      </w:rPr>
    </w:lvl>
    <w:lvl w:ilvl="3">
      <w:numFmt w:val="bullet"/>
      <w:lvlText w:val="•"/>
      <w:lvlJc w:val="left"/>
      <w:pPr>
        <w:ind w:left="3509" w:hanging="336"/>
      </w:pPr>
      <w:rPr>
        <w:rFonts w:hint="default"/>
        <w:lang w:val="es-ES" w:eastAsia="es-ES" w:bidi="es-ES"/>
      </w:rPr>
    </w:lvl>
    <w:lvl w:ilvl="4">
      <w:numFmt w:val="bullet"/>
      <w:lvlText w:val="•"/>
      <w:lvlJc w:val="left"/>
      <w:pPr>
        <w:ind w:left="4172" w:hanging="336"/>
      </w:pPr>
      <w:rPr>
        <w:rFonts w:hint="default"/>
        <w:lang w:val="es-ES" w:eastAsia="es-ES" w:bidi="es-ES"/>
      </w:rPr>
    </w:lvl>
    <w:lvl w:ilvl="5">
      <w:numFmt w:val="bullet"/>
      <w:lvlText w:val="•"/>
      <w:lvlJc w:val="left"/>
      <w:pPr>
        <w:ind w:left="4836" w:hanging="336"/>
      </w:pPr>
      <w:rPr>
        <w:rFonts w:hint="default"/>
        <w:lang w:val="es-ES" w:eastAsia="es-ES" w:bidi="es-ES"/>
      </w:rPr>
    </w:lvl>
    <w:lvl w:ilvl="6">
      <w:numFmt w:val="bullet"/>
      <w:lvlText w:val="•"/>
      <w:lvlJc w:val="left"/>
      <w:pPr>
        <w:ind w:left="5499" w:hanging="336"/>
      </w:pPr>
      <w:rPr>
        <w:rFonts w:hint="default"/>
        <w:lang w:val="es-ES" w:eastAsia="es-ES" w:bidi="es-ES"/>
      </w:rPr>
    </w:lvl>
    <w:lvl w:ilvl="7">
      <w:numFmt w:val="bullet"/>
      <w:lvlText w:val="•"/>
      <w:lvlJc w:val="left"/>
      <w:pPr>
        <w:ind w:left="6162" w:hanging="336"/>
      </w:pPr>
      <w:rPr>
        <w:rFonts w:hint="default"/>
        <w:lang w:val="es-ES" w:eastAsia="es-ES" w:bidi="es-ES"/>
      </w:rPr>
    </w:lvl>
    <w:lvl w:ilvl="8">
      <w:numFmt w:val="bullet"/>
      <w:lvlText w:val="•"/>
      <w:lvlJc w:val="left"/>
      <w:pPr>
        <w:ind w:left="6825" w:hanging="336"/>
      </w:pPr>
      <w:rPr>
        <w:rFonts w:hint="default"/>
        <w:lang w:val="es-ES" w:eastAsia="es-ES" w:bidi="es-ES"/>
      </w:rPr>
    </w:lvl>
  </w:abstractNum>
  <w:abstractNum w:abstractNumId="149" w15:restartNumberingAfterBreak="0">
    <w:nsid w:val="756159B8"/>
    <w:multiLevelType w:val="multilevel"/>
    <w:tmpl w:val="756159B8"/>
    <w:lvl w:ilvl="0">
      <w:numFmt w:val="bullet"/>
      <w:lvlText w:val=""/>
      <w:lvlJc w:val="left"/>
      <w:pPr>
        <w:ind w:left="778" w:hanging="692"/>
      </w:pPr>
      <w:rPr>
        <w:rFonts w:ascii="Symbol" w:eastAsia="Symbol" w:hAnsi="Symbol" w:cs="Symbol" w:hint="default"/>
        <w:w w:val="100"/>
        <w:sz w:val="22"/>
        <w:szCs w:val="22"/>
        <w:lang w:val="es-ES" w:eastAsia="es-ES" w:bidi="es-ES"/>
      </w:rPr>
    </w:lvl>
    <w:lvl w:ilvl="1">
      <w:numFmt w:val="bullet"/>
      <w:lvlText w:val="•"/>
      <w:lvlJc w:val="left"/>
      <w:pPr>
        <w:ind w:left="1517" w:hanging="692"/>
      </w:pPr>
      <w:rPr>
        <w:rFonts w:hint="default"/>
        <w:lang w:val="es-ES" w:eastAsia="es-ES" w:bidi="es-ES"/>
      </w:rPr>
    </w:lvl>
    <w:lvl w:ilvl="2">
      <w:numFmt w:val="bullet"/>
      <w:lvlText w:val="•"/>
      <w:lvlJc w:val="left"/>
      <w:pPr>
        <w:ind w:left="2254" w:hanging="692"/>
      </w:pPr>
      <w:rPr>
        <w:rFonts w:hint="default"/>
        <w:lang w:val="es-ES" w:eastAsia="es-ES" w:bidi="es-ES"/>
      </w:rPr>
    </w:lvl>
    <w:lvl w:ilvl="3">
      <w:numFmt w:val="bullet"/>
      <w:lvlText w:val="•"/>
      <w:lvlJc w:val="left"/>
      <w:pPr>
        <w:ind w:left="2991" w:hanging="692"/>
      </w:pPr>
      <w:rPr>
        <w:rFonts w:hint="default"/>
        <w:lang w:val="es-ES" w:eastAsia="es-ES" w:bidi="es-ES"/>
      </w:rPr>
    </w:lvl>
    <w:lvl w:ilvl="4">
      <w:numFmt w:val="bullet"/>
      <w:lvlText w:val="•"/>
      <w:lvlJc w:val="left"/>
      <w:pPr>
        <w:ind w:left="3728" w:hanging="692"/>
      </w:pPr>
      <w:rPr>
        <w:rFonts w:hint="default"/>
        <w:lang w:val="es-ES" w:eastAsia="es-ES" w:bidi="es-ES"/>
      </w:rPr>
    </w:lvl>
    <w:lvl w:ilvl="5">
      <w:numFmt w:val="bullet"/>
      <w:lvlText w:val="•"/>
      <w:lvlJc w:val="left"/>
      <w:pPr>
        <w:ind w:left="4466" w:hanging="692"/>
      </w:pPr>
      <w:rPr>
        <w:rFonts w:hint="default"/>
        <w:lang w:val="es-ES" w:eastAsia="es-ES" w:bidi="es-ES"/>
      </w:rPr>
    </w:lvl>
    <w:lvl w:ilvl="6">
      <w:numFmt w:val="bullet"/>
      <w:lvlText w:val="•"/>
      <w:lvlJc w:val="left"/>
      <w:pPr>
        <w:ind w:left="5203" w:hanging="692"/>
      </w:pPr>
      <w:rPr>
        <w:rFonts w:hint="default"/>
        <w:lang w:val="es-ES" w:eastAsia="es-ES" w:bidi="es-ES"/>
      </w:rPr>
    </w:lvl>
    <w:lvl w:ilvl="7">
      <w:numFmt w:val="bullet"/>
      <w:lvlText w:val="•"/>
      <w:lvlJc w:val="left"/>
      <w:pPr>
        <w:ind w:left="5940" w:hanging="692"/>
      </w:pPr>
      <w:rPr>
        <w:rFonts w:hint="default"/>
        <w:lang w:val="es-ES" w:eastAsia="es-ES" w:bidi="es-ES"/>
      </w:rPr>
    </w:lvl>
    <w:lvl w:ilvl="8">
      <w:numFmt w:val="bullet"/>
      <w:lvlText w:val="•"/>
      <w:lvlJc w:val="left"/>
      <w:pPr>
        <w:ind w:left="6677" w:hanging="692"/>
      </w:pPr>
      <w:rPr>
        <w:rFonts w:hint="default"/>
        <w:lang w:val="es-ES" w:eastAsia="es-ES" w:bidi="es-ES"/>
      </w:rPr>
    </w:lvl>
  </w:abstractNum>
  <w:abstractNum w:abstractNumId="150" w15:restartNumberingAfterBreak="0">
    <w:nsid w:val="758C4454"/>
    <w:multiLevelType w:val="multilevel"/>
    <w:tmpl w:val="758C4454"/>
    <w:lvl w:ilvl="0">
      <w:numFmt w:val="bullet"/>
      <w:lvlText w:val=""/>
      <w:lvlJc w:val="left"/>
      <w:pPr>
        <w:ind w:left="370" w:hanging="284"/>
      </w:pPr>
      <w:rPr>
        <w:rFonts w:hint="default"/>
        <w:w w:val="100"/>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abstractNum w:abstractNumId="151" w15:restartNumberingAfterBreak="0">
    <w:nsid w:val="76B019AB"/>
    <w:multiLevelType w:val="multilevel"/>
    <w:tmpl w:val="76B019AB"/>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52" w15:restartNumberingAfterBreak="0">
    <w:nsid w:val="7A7827E3"/>
    <w:multiLevelType w:val="multilevel"/>
    <w:tmpl w:val="7A7827E3"/>
    <w:lvl w:ilvl="0">
      <w:numFmt w:val="bullet"/>
      <w:lvlText w:val=""/>
      <w:lvlJc w:val="left"/>
      <w:pPr>
        <w:ind w:left="360" w:hanging="288"/>
      </w:pPr>
      <w:rPr>
        <w:rFonts w:ascii="Symbol" w:eastAsia="Symbol" w:hAnsi="Symbol" w:cs="Symbol" w:hint="default"/>
        <w:w w:val="100"/>
        <w:sz w:val="22"/>
        <w:szCs w:val="22"/>
        <w:lang w:val="es-ES" w:eastAsia="es-ES" w:bidi="es-ES"/>
      </w:rPr>
    </w:lvl>
    <w:lvl w:ilvl="1">
      <w:numFmt w:val="bullet"/>
      <w:lvlText w:val="•"/>
      <w:lvlJc w:val="left"/>
      <w:pPr>
        <w:ind w:left="1139" w:hanging="288"/>
      </w:pPr>
      <w:rPr>
        <w:rFonts w:hint="default"/>
        <w:lang w:val="es-ES" w:eastAsia="es-ES" w:bidi="es-ES"/>
      </w:rPr>
    </w:lvl>
    <w:lvl w:ilvl="2">
      <w:numFmt w:val="bullet"/>
      <w:lvlText w:val="•"/>
      <w:lvlJc w:val="left"/>
      <w:pPr>
        <w:ind w:left="1918" w:hanging="288"/>
      </w:pPr>
      <w:rPr>
        <w:rFonts w:hint="default"/>
        <w:lang w:val="es-ES" w:eastAsia="es-ES" w:bidi="es-ES"/>
      </w:rPr>
    </w:lvl>
    <w:lvl w:ilvl="3">
      <w:numFmt w:val="bullet"/>
      <w:lvlText w:val="•"/>
      <w:lvlJc w:val="left"/>
      <w:pPr>
        <w:ind w:left="2697" w:hanging="288"/>
      </w:pPr>
      <w:rPr>
        <w:rFonts w:hint="default"/>
        <w:lang w:val="es-ES" w:eastAsia="es-ES" w:bidi="es-ES"/>
      </w:rPr>
    </w:lvl>
    <w:lvl w:ilvl="4">
      <w:numFmt w:val="bullet"/>
      <w:lvlText w:val="•"/>
      <w:lvlJc w:val="left"/>
      <w:pPr>
        <w:ind w:left="3476" w:hanging="288"/>
      </w:pPr>
      <w:rPr>
        <w:rFonts w:hint="default"/>
        <w:lang w:val="es-ES" w:eastAsia="es-ES" w:bidi="es-ES"/>
      </w:rPr>
    </w:lvl>
    <w:lvl w:ilvl="5">
      <w:numFmt w:val="bullet"/>
      <w:lvlText w:val="•"/>
      <w:lvlJc w:val="left"/>
      <w:pPr>
        <w:ind w:left="4256" w:hanging="288"/>
      </w:pPr>
      <w:rPr>
        <w:rFonts w:hint="default"/>
        <w:lang w:val="es-ES" w:eastAsia="es-ES" w:bidi="es-ES"/>
      </w:rPr>
    </w:lvl>
    <w:lvl w:ilvl="6">
      <w:numFmt w:val="bullet"/>
      <w:lvlText w:val="•"/>
      <w:lvlJc w:val="left"/>
      <w:pPr>
        <w:ind w:left="5035" w:hanging="288"/>
      </w:pPr>
      <w:rPr>
        <w:rFonts w:hint="default"/>
        <w:lang w:val="es-ES" w:eastAsia="es-ES" w:bidi="es-ES"/>
      </w:rPr>
    </w:lvl>
    <w:lvl w:ilvl="7">
      <w:numFmt w:val="bullet"/>
      <w:lvlText w:val="•"/>
      <w:lvlJc w:val="left"/>
      <w:pPr>
        <w:ind w:left="5814" w:hanging="288"/>
      </w:pPr>
      <w:rPr>
        <w:rFonts w:hint="default"/>
        <w:lang w:val="es-ES" w:eastAsia="es-ES" w:bidi="es-ES"/>
      </w:rPr>
    </w:lvl>
    <w:lvl w:ilvl="8">
      <w:numFmt w:val="bullet"/>
      <w:lvlText w:val="•"/>
      <w:lvlJc w:val="left"/>
      <w:pPr>
        <w:ind w:left="6593" w:hanging="288"/>
      </w:pPr>
      <w:rPr>
        <w:rFonts w:hint="default"/>
        <w:lang w:val="es-ES" w:eastAsia="es-ES" w:bidi="es-ES"/>
      </w:rPr>
    </w:lvl>
  </w:abstractNum>
  <w:abstractNum w:abstractNumId="153" w15:restartNumberingAfterBreak="0">
    <w:nsid w:val="7C121374"/>
    <w:multiLevelType w:val="multilevel"/>
    <w:tmpl w:val="7C121374"/>
    <w:lvl w:ilvl="0">
      <w:numFmt w:val="bullet"/>
      <w:lvlText w:val=""/>
      <w:lvlJc w:val="left"/>
      <w:pPr>
        <w:ind w:left="413" w:hanging="341"/>
      </w:pPr>
      <w:rPr>
        <w:rFonts w:ascii="Symbol" w:eastAsia="Symbol" w:hAnsi="Symbol" w:cs="Symbol" w:hint="default"/>
        <w:w w:val="100"/>
        <w:sz w:val="22"/>
        <w:szCs w:val="22"/>
        <w:lang w:val="es-ES" w:eastAsia="es-ES" w:bidi="es-ES"/>
      </w:rPr>
    </w:lvl>
    <w:lvl w:ilvl="1">
      <w:numFmt w:val="bullet"/>
      <w:lvlText w:val="•"/>
      <w:lvlJc w:val="left"/>
      <w:pPr>
        <w:ind w:left="1193" w:hanging="341"/>
      </w:pPr>
      <w:rPr>
        <w:rFonts w:hint="default"/>
        <w:lang w:val="es-ES" w:eastAsia="es-ES" w:bidi="es-ES"/>
      </w:rPr>
    </w:lvl>
    <w:lvl w:ilvl="2">
      <w:numFmt w:val="bullet"/>
      <w:lvlText w:val="•"/>
      <w:lvlJc w:val="left"/>
      <w:pPr>
        <w:ind w:left="1966" w:hanging="341"/>
      </w:pPr>
      <w:rPr>
        <w:rFonts w:hint="default"/>
        <w:lang w:val="es-ES" w:eastAsia="es-ES" w:bidi="es-ES"/>
      </w:rPr>
    </w:lvl>
    <w:lvl w:ilvl="3">
      <w:numFmt w:val="bullet"/>
      <w:lvlText w:val="•"/>
      <w:lvlJc w:val="left"/>
      <w:pPr>
        <w:ind w:left="2739" w:hanging="341"/>
      </w:pPr>
      <w:rPr>
        <w:rFonts w:hint="default"/>
        <w:lang w:val="es-ES" w:eastAsia="es-ES" w:bidi="es-ES"/>
      </w:rPr>
    </w:lvl>
    <w:lvl w:ilvl="4">
      <w:numFmt w:val="bullet"/>
      <w:lvlText w:val="•"/>
      <w:lvlJc w:val="left"/>
      <w:pPr>
        <w:ind w:left="3512" w:hanging="341"/>
      </w:pPr>
      <w:rPr>
        <w:rFonts w:hint="default"/>
        <w:lang w:val="es-ES" w:eastAsia="es-ES" w:bidi="es-ES"/>
      </w:rPr>
    </w:lvl>
    <w:lvl w:ilvl="5">
      <w:numFmt w:val="bullet"/>
      <w:lvlText w:val="•"/>
      <w:lvlJc w:val="left"/>
      <w:pPr>
        <w:ind w:left="4286" w:hanging="341"/>
      </w:pPr>
      <w:rPr>
        <w:rFonts w:hint="default"/>
        <w:lang w:val="es-ES" w:eastAsia="es-ES" w:bidi="es-ES"/>
      </w:rPr>
    </w:lvl>
    <w:lvl w:ilvl="6">
      <w:numFmt w:val="bullet"/>
      <w:lvlText w:val="•"/>
      <w:lvlJc w:val="left"/>
      <w:pPr>
        <w:ind w:left="5059" w:hanging="341"/>
      </w:pPr>
      <w:rPr>
        <w:rFonts w:hint="default"/>
        <w:lang w:val="es-ES" w:eastAsia="es-ES" w:bidi="es-ES"/>
      </w:rPr>
    </w:lvl>
    <w:lvl w:ilvl="7">
      <w:numFmt w:val="bullet"/>
      <w:lvlText w:val="•"/>
      <w:lvlJc w:val="left"/>
      <w:pPr>
        <w:ind w:left="5832" w:hanging="341"/>
      </w:pPr>
      <w:rPr>
        <w:rFonts w:hint="default"/>
        <w:lang w:val="es-ES" w:eastAsia="es-ES" w:bidi="es-ES"/>
      </w:rPr>
    </w:lvl>
    <w:lvl w:ilvl="8">
      <w:numFmt w:val="bullet"/>
      <w:lvlText w:val="•"/>
      <w:lvlJc w:val="left"/>
      <w:pPr>
        <w:ind w:left="6605" w:hanging="341"/>
      </w:pPr>
      <w:rPr>
        <w:rFonts w:hint="default"/>
        <w:lang w:val="es-ES" w:eastAsia="es-ES" w:bidi="es-ES"/>
      </w:rPr>
    </w:lvl>
  </w:abstractNum>
  <w:abstractNum w:abstractNumId="154" w15:restartNumberingAfterBreak="0">
    <w:nsid w:val="7C8312EF"/>
    <w:multiLevelType w:val="multilevel"/>
    <w:tmpl w:val="7C8312EF"/>
    <w:lvl w:ilvl="0">
      <w:numFmt w:val="bullet"/>
      <w:lvlText w:val=""/>
      <w:lvlJc w:val="left"/>
      <w:pPr>
        <w:ind w:left="432" w:hanging="360"/>
      </w:pPr>
      <w:rPr>
        <w:rFonts w:ascii="Symbol" w:eastAsia="Symbol" w:hAnsi="Symbol" w:cs="Symbol" w:hint="default"/>
        <w:w w:val="100"/>
        <w:sz w:val="22"/>
        <w:szCs w:val="22"/>
        <w:lang w:val="es-ES" w:eastAsia="es-ES" w:bidi="es-ES"/>
      </w:rPr>
    </w:lvl>
    <w:lvl w:ilvl="1">
      <w:numFmt w:val="bullet"/>
      <w:lvlText w:val="•"/>
      <w:lvlJc w:val="left"/>
      <w:pPr>
        <w:ind w:left="1211" w:hanging="360"/>
      </w:pPr>
      <w:rPr>
        <w:rFonts w:hint="default"/>
        <w:lang w:val="es-ES" w:eastAsia="es-ES" w:bidi="es-ES"/>
      </w:rPr>
    </w:lvl>
    <w:lvl w:ilvl="2">
      <w:numFmt w:val="bullet"/>
      <w:lvlText w:val="•"/>
      <w:lvlJc w:val="left"/>
      <w:pPr>
        <w:ind w:left="1982" w:hanging="360"/>
      </w:pPr>
      <w:rPr>
        <w:rFonts w:hint="default"/>
        <w:lang w:val="es-ES" w:eastAsia="es-ES" w:bidi="es-ES"/>
      </w:rPr>
    </w:lvl>
    <w:lvl w:ilvl="3">
      <w:numFmt w:val="bullet"/>
      <w:lvlText w:val="•"/>
      <w:lvlJc w:val="left"/>
      <w:pPr>
        <w:ind w:left="2753" w:hanging="360"/>
      </w:pPr>
      <w:rPr>
        <w:rFonts w:hint="default"/>
        <w:lang w:val="es-ES" w:eastAsia="es-ES" w:bidi="es-ES"/>
      </w:rPr>
    </w:lvl>
    <w:lvl w:ilvl="4">
      <w:numFmt w:val="bullet"/>
      <w:lvlText w:val="•"/>
      <w:lvlJc w:val="left"/>
      <w:pPr>
        <w:ind w:left="3524" w:hanging="360"/>
      </w:pPr>
      <w:rPr>
        <w:rFonts w:hint="default"/>
        <w:lang w:val="es-ES" w:eastAsia="es-ES" w:bidi="es-ES"/>
      </w:rPr>
    </w:lvl>
    <w:lvl w:ilvl="5">
      <w:numFmt w:val="bullet"/>
      <w:lvlText w:val="•"/>
      <w:lvlJc w:val="left"/>
      <w:pPr>
        <w:ind w:left="4296" w:hanging="360"/>
      </w:pPr>
      <w:rPr>
        <w:rFonts w:hint="default"/>
        <w:lang w:val="es-ES" w:eastAsia="es-ES" w:bidi="es-ES"/>
      </w:rPr>
    </w:lvl>
    <w:lvl w:ilvl="6">
      <w:numFmt w:val="bullet"/>
      <w:lvlText w:val="•"/>
      <w:lvlJc w:val="left"/>
      <w:pPr>
        <w:ind w:left="5067" w:hanging="360"/>
      </w:pPr>
      <w:rPr>
        <w:rFonts w:hint="default"/>
        <w:lang w:val="es-ES" w:eastAsia="es-ES" w:bidi="es-ES"/>
      </w:rPr>
    </w:lvl>
    <w:lvl w:ilvl="7">
      <w:numFmt w:val="bullet"/>
      <w:lvlText w:val="•"/>
      <w:lvlJc w:val="left"/>
      <w:pPr>
        <w:ind w:left="5838" w:hanging="360"/>
      </w:pPr>
      <w:rPr>
        <w:rFonts w:hint="default"/>
        <w:lang w:val="es-ES" w:eastAsia="es-ES" w:bidi="es-ES"/>
      </w:rPr>
    </w:lvl>
    <w:lvl w:ilvl="8">
      <w:numFmt w:val="bullet"/>
      <w:lvlText w:val="•"/>
      <w:lvlJc w:val="left"/>
      <w:pPr>
        <w:ind w:left="6609" w:hanging="360"/>
      </w:pPr>
      <w:rPr>
        <w:rFonts w:hint="default"/>
        <w:lang w:val="es-ES" w:eastAsia="es-ES" w:bidi="es-ES"/>
      </w:rPr>
    </w:lvl>
  </w:abstractNum>
  <w:abstractNum w:abstractNumId="155" w15:restartNumberingAfterBreak="0">
    <w:nsid w:val="7FB10A4F"/>
    <w:multiLevelType w:val="multilevel"/>
    <w:tmpl w:val="7FB10A4F"/>
    <w:lvl w:ilvl="0">
      <w:numFmt w:val="bullet"/>
      <w:lvlText w:val=""/>
      <w:lvlJc w:val="left"/>
      <w:pPr>
        <w:ind w:left="370" w:hanging="284"/>
      </w:pPr>
      <w:rPr>
        <w:rFonts w:ascii="Symbol" w:eastAsia="Symbol" w:hAnsi="Symbol" w:cs="Symbol" w:hint="default"/>
        <w:w w:val="100"/>
        <w:sz w:val="22"/>
        <w:szCs w:val="22"/>
        <w:lang w:val="es-ES" w:eastAsia="es-ES" w:bidi="es-ES"/>
      </w:rPr>
    </w:lvl>
    <w:lvl w:ilvl="1">
      <w:numFmt w:val="bullet"/>
      <w:lvlText w:val="•"/>
      <w:lvlJc w:val="left"/>
      <w:pPr>
        <w:ind w:left="1157" w:hanging="284"/>
      </w:pPr>
      <w:rPr>
        <w:rFonts w:hint="default"/>
        <w:lang w:val="es-ES" w:eastAsia="es-ES" w:bidi="es-ES"/>
      </w:rPr>
    </w:lvl>
    <w:lvl w:ilvl="2">
      <w:numFmt w:val="bullet"/>
      <w:lvlText w:val="•"/>
      <w:lvlJc w:val="left"/>
      <w:pPr>
        <w:ind w:left="1934" w:hanging="284"/>
      </w:pPr>
      <w:rPr>
        <w:rFonts w:hint="default"/>
        <w:lang w:val="es-ES" w:eastAsia="es-ES" w:bidi="es-ES"/>
      </w:rPr>
    </w:lvl>
    <w:lvl w:ilvl="3">
      <w:numFmt w:val="bullet"/>
      <w:lvlText w:val="•"/>
      <w:lvlJc w:val="left"/>
      <w:pPr>
        <w:ind w:left="2711" w:hanging="284"/>
      </w:pPr>
      <w:rPr>
        <w:rFonts w:hint="default"/>
        <w:lang w:val="es-ES" w:eastAsia="es-ES" w:bidi="es-ES"/>
      </w:rPr>
    </w:lvl>
    <w:lvl w:ilvl="4">
      <w:numFmt w:val="bullet"/>
      <w:lvlText w:val="•"/>
      <w:lvlJc w:val="left"/>
      <w:pPr>
        <w:ind w:left="3488" w:hanging="284"/>
      </w:pPr>
      <w:rPr>
        <w:rFonts w:hint="default"/>
        <w:lang w:val="es-ES" w:eastAsia="es-ES" w:bidi="es-ES"/>
      </w:rPr>
    </w:lvl>
    <w:lvl w:ilvl="5">
      <w:numFmt w:val="bullet"/>
      <w:lvlText w:val="•"/>
      <w:lvlJc w:val="left"/>
      <w:pPr>
        <w:ind w:left="4266" w:hanging="284"/>
      </w:pPr>
      <w:rPr>
        <w:rFonts w:hint="default"/>
        <w:lang w:val="es-ES" w:eastAsia="es-ES" w:bidi="es-ES"/>
      </w:rPr>
    </w:lvl>
    <w:lvl w:ilvl="6">
      <w:numFmt w:val="bullet"/>
      <w:lvlText w:val="•"/>
      <w:lvlJc w:val="left"/>
      <w:pPr>
        <w:ind w:left="5043" w:hanging="284"/>
      </w:pPr>
      <w:rPr>
        <w:rFonts w:hint="default"/>
        <w:lang w:val="es-ES" w:eastAsia="es-ES" w:bidi="es-ES"/>
      </w:rPr>
    </w:lvl>
    <w:lvl w:ilvl="7">
      <w:numFmt w:val="bullet"/>
      <w:lvlText w:val="•"/>
      <w:lvlJc w:val="left"/>
      <w:pPr>
        <w:ind w:left="5820" w:hanging="284"/>
      </w:pPr>
      <w:rPr>
        <w:rFonts w:hint="default"/>
        <w:lang w:val="es-ES" w:eastAsia="es-ES" w:bidi="es-ES"/>
      </w:rPr>
    </w:lvl>
    <w:lvl w:ilvl="8">
      <w:numFmt w:val="bullet"/>
      <w:lvlText w:val="•"/>
      <w:lvlJc w:val="left"/>
      <w:pPr>
        <w:ind w:left="6597" w:hanging="284"/>
      </w:pPr>
      <w:rPr>
        <w:rFonts w:hint="default"/>
        <w:lang w:val="es-ES" w:eastAsia="es-ES" w:bidi="es-ES"/>
      </w:rPr>
    </w:lvl>
  </w:abstractNum>
  <w:num w:numId="1" w16cid:durableId="407508549">
    <w:abstractNumId w:val="68"/>
  </w:num>
  <w:num w:numId="2" w16cid:durableId="904028949">
    <w:abstractNumId w:val="120"/>
  </w:num>
  <w:num w:numId="3" w16cid:durableId="1002899973">
    <w:abstractNumId w:val="31"/>
  </w:num>
  <w:num w:numId="4" w16cid:durableId="1864971891">
    <w:abstractNumId w:val="29"/>
  </w:num>
  <w:num w:numId="5" w16cid:durableId="1365209697">
    <w:abstractNumId w:val="44"/>
  </w:num>
  <w:num w:numId="6" w16cid:durableId="1357774903">
    <w:abstractNumId w:val="118"/>
  </w:num>
  <w:num w:numId="7" w16cid:durableId="2057848109">
    <w:abstractNumId w:val="24"/>
  </w:num>
  <w:num w:numId="8" w16cid:durableId="1037243055">
    <w:abstractNumId w:val="11"/>
  </w:num>
  <w:num w:numId="9" w16cid:durableId="605432171">
    <w:abstractNumId w:val="6"/>
  </w:num>
  <w:num w:numId="10" w16cid:durableId="1957829413">
    <w:abstractNumId w:val="106"/>
  </w:num>
  <w:num w:numId="11" w16cid:durableId="1002465742">
    <w:abstractNumId w:val="121"/>
  </w:num>
  <w:num w:numId="12" w16cid:durableId="954096167">
    <w:abstractNumId w:val="147"/>
  </w:num>
  <w:num w:numId="13" w16cid:durableId="1140271219">
    <w:abstractNumId w:val="108"/>
  </w:num>
  <w:num w:numId="14" w16cid:durableId="827594062">
    <w:abstractNumId w:val="73"/>
  </w:num>
  <w:num w:numId="15" w16cid:durableId="324169045">
    <w:abstractNumId w:val="146"/>
  </w:num>
  <w:num w:numId="16" w16cid:durableId="390622013">
    <w:abstractNumId w:val="33"/>
  </w:num>
  <w:num w:numId="17" w16cid:durableId="319969080">
    <w:abstractNumId w:val="67"/>
  </w:num>
  <w:num w:numId="18" w16cid:durableId="2129424368">
    <w:abstractNumId w:val="51"/>
  </w:num>
  <w:num w:numId="19" w16cid:durableId="296763242">
    <w:abstractNumId w:val="145"/>
  </w:num>
  <w:num w:numId="20" w16cid:durableId="1801150344">
    <w:abstractNumId w:val="41"/>
  </w:num>
  <w:num w:numId="21" w16cid:durableId="1614824278">
    <w:abstractNumId w:val="143"/>
  </w:num>
  <w:num w:numId="22" w16cid:durableId="650911048">
    <w:abstractNumId w:val="64"/>
  </w:num>
  <w:num w:numId="23" w16cid:durableId="861208651">
    <w:abstractNumId w:val="140"/>
  </w:num>
  <w:num w:numId="24" w16cid:durableId="301349099">
    <w:abstractNumId w:val="117"/>
  </w:num>
  <w:num w:numId="25" w16cid:durableId="263610709">
    <w:abstractNumId w:val="1"/>
  </w:num>
  <w:num w:numId="26" w16cid:durableId="1116635129">
    <w:abstractNumId w:val="119"/>
  </w:num>
  <w:num w:numId="27" w16cid:durableId="1428767065">
    <w:abstractNumId w:val="3"/>
  </w:num>
  <w:num w:numId="28" w16cid:durableId="1321732183">
    <w:abstractNumId w:val="55"/>
  </w:num>
  <w:num w:numId="29" w16cid:durableId="1859654632">
    <w:abstractNumId w:val="49"/>
  </w:num>
  <w:num w:numId="30" w16cid:durableId="1363674134">
    <w:abstractNumId w:val="80"/>
  </w:num>
  <w:num w:numId="31" w16cid:durableId="565454853">
    <w:abstractNumId w:val="136"/>
  </w:num>
  <w:num w:numId="32" w16cid:durableId="1177960277">
    <w:abstractNumId w:val="47"/>
  </w:num>
  <w:num w:numId="33" w16cid:durableId="969558072">
    <w:abstractNumId w:val="83"/>
  </w:num>
  <w:num w:numId="34" w16cid:durableId="1754811309">
    <w:abstractNumId w:val="9"/>
  </w:num>
  <w:num w:numId="35" w16cid:durableId="113448307">
    <w:abstractNumId w:val="131"/>
  </w:num>
  <w:num w:numId="36" w16cid:durableId="1901670925">
    <w:abstractNumId w:val="35"/>
  </w:num>
  <w:num w:numId="37" w16cid:durableId="1952546233">
    <w:abstractNumId w:val="60"/>
  </w:num>
  <w:num w:numId="38" w16cid:durableId="592124862">
    <w:abstractNumId w:val="97"/>
  </w:num>
  <w:num w:numId="39" w16cid:durableId="2138529014">
    <w:abstractNumId w:val="103"/>
  </w:num>
  <w:num w:numId="40" w16cid:durableId="1925214139">
    <w:abstractNumId w:val="27"/>
  </w:num>
  <w:num w:numId="41" w16cid:durableId="560210977">
    <w:abstractNumId w:val="54"/>
  </w:num>
  <w:num w:numId="42" w16cid:durableId="68424027">
    <w:abstractNumId w:val="75"/>
  </w:num>
  <w:num w:numId="43" w16cid:durableId="337391184">
    <w:abstractNumId w:val="105"/>
  </w:num>
  <w:num w:numId="44" w16cid:durableId="946085588">
    <w:abstractNumId w:val="149"/>
  </w:num>
  <w:num w:numId="45" w16cid:durableId="1014570935">
    <w:abstractNumId w:val="21"/>
  </w:num>
  <w:num w:numId="46" w16cid:durableId="427771688">
    <w:abstractNumId w:val="71"/>
  </w:num>
  <w:num w:numId="47" w16cid:durableId="1243635538">
    <w:abstractNumId w:val="81"/>
  </w:num>
  <w:num w:numId="48" w16cid:durableId="543255432">
    <w:abstractNumId w:val="23"/>
  </w:num>
  <w:num w:numId="49" w16cid:durableId="463427406">
    <w:abstractNumId w:val="132"/>
  </w:num>
  <w:num w:numId="50" w16cid:durableId="1313409887">
    <w:abstractNumId w:val="130"/>
  </w:num>
  <w:num w:numId="51" w16cid:durableId="323708240">
    <w:abstractNumId w:val="39"/>
  </w:num>
  <w:num w:numId="52" w16cid:durableId="960380136">
    <w:abstractNumId w:val="112"/>
  </w:num>
  <w:num w:numId="53" w16cid:durableId="156842811">
    <w:abstractNumId w:val="15"/>
  </w:num>
  <w:num w:numId="54" w16cid:durableId="1208565637">
    <w:abstractNumId w:val="86"/>
  </w:num>
  <w:num w:numId="55" w16cid:durableId="1366637737">
    <w:abstractNumId w:val="148"/>
  </w:num>
  <w:num w:numId="56" w16cid:durableId="1033385618">
    <w:abstractNumId w:val="19"/>
  </w:num>
  <w:num w:numId="57" w16cid:durableId="1616935976">
    <w:abstractNumId w:val="150"/>
  </w:num>
  <w:num w:numId="58" w16cid:durableId="24523573">
    <w:abstractNumId w:val="94"/>
  </w:num>
  <w:num w:numId="59" w16cid:durableId="498038887">
    <w:abstractNumId w:val="133"/>
  </w:num>
  <w:num w:numId="60" w16cid:durableId="1363507146">
    <w:abstractNumId w:val="137"/>
  </w:num>
  <w:num w:numId="61" w16cid:durableId="1266689635">
    <w:abstractNumId w:val="13"/>
  </w:num>
  <w:num w:numId="62" w16cid:durableId="1153253756">
    <w:abstractNumId w:val="65"/>
  </w:num>
  <w:num w:numId="63" w16cid:durableId="13074146">
    <w:abstractNumId w:val="93"/>
  </w:num>
  <w:num w:numId="64" w16cid:durableId="424426053">
    <w:abstractNumId w:val="87"/>
  </w:num>
  <w:num w:numId="65" w16cid:durableId="1445611403">
    <w:abstractNumId w:val="89"/>
  </w:num>
  <w:num w:numId="66" w16cid:durableId="1920554475">
    <w:abstractNumId w:val="78"/>
  </w:num>
  <w:num w:numId="67" w16cid:durableId="1792162573">
    <w:abstractNumId w:val="18"/>
  </w:num>
  <w:num w:numId="68" w16cid:durableId="289865890">
    <w:abstractNumId w:val="22"/>
  </w:num>
  <w:num w:numId="69" w16cid:durableId="20086630">
    <w:abstractNumId w:val="101"/>
  </w:num>
  <w:num w:numId="70" w16cid:durableId="1564441164">
    <w:abstractNumId w:val="104"/>
  </w:num>
  <w:num w:numId="71" w16cid:durableId="807673694">
    <w:abstractNumId w:val="155"/>
  </w:num>
  <w:num w:numId="72" w16cid:durableId="490413983">
    <w:abstractNumId w:val="76"/>
  </w:num>
  <w:num w:numId="73" w16cid:durableId="1442841522">
    <w:abstractNumId w:val="123"/>
  </w:num>
  <w:num w:numId="74" w16cid:durableId="294725956">
    <w:abstractNumId w:val="59"/>
  </w:num>
  <w:num w:numId="75" w16cid:durableId="1048148895">
    <w:abstractNumId w:val="10"/>
  </w:num>
  <w:num w:numId="76" w16cid:durableId="2071032712">
    <w:abstractNumId w:val="48"/>
  </w:num>
  <w:num w:numId="77" w16cid:durableId="1101611460">
    <w:abstractNumId w:val="134"/>
  </w:num>
  <w:num w:numId="78" w16cid:durableId="1372194444">
    <w:abstractNumId w:val="153"/>
  </w:num>
  <w:num w:numId="79" w16cid:durableId="136143119">
    <w:abstractNumId w:val="38"/>
  </w:num>
  <w:num w:numId="80" w16cid:durableId="838616049">
    <w:abstractNumId w:val="113"/>
  </w:num>
  <w:num w:numId="81" w16cid:durableId="1027220419">
    <w:abstractNumId w:val="135"/>
  </w:num>
  <w:num w:numId="82" w16cid:durableId="1708023860">
    <w:abstractNumId w:val="154"/>
  </w:num>
  <w:num w:numId="83" w16cid:durableId="353966504">
    <w:abstractNumId w:val="50"/>
  </w:num>
  <w:num w:numId="84" w16cid:durableId="537859570">
    <w:abstractNumId w:val="17"/>
  </w:num>
  <w:num w:numId="85" w16cid:durableId="1524127558">
    <w:abstractNumId w:val="34"/>
  </w:num>
  <w:num w:numId="86" w16cid:durableId="1171919281">
    <w:abstractNumId w:val="96"/>
  </w:num>
  <w:num w:numId="87" w16cid:durableId="1274938801">
    <w:abstractNumId w:val="4"/>
  </w:num>
  <w:num w:numId="88" w16cid:durableId="801314758">
    <w:abstractNumId w:val="26"/>
  </w:num>
  <w:num w:numId="89" w16cid:durableId="1004942998">
    <w:abstractNumId w:val="52"/>
  </w:num>
  <w:num w:numId="90" w16cid:durableId="98112449">
    <w:abstractNumId w:val="2"/>
  </w:num>
  <w:num w:numId="91" w16cid:durableId="1459059462">
    <w:abstractNumId w:val="45"/>
  </w:num>
  <w:num w:numId="92" w16cid:durableId="1571964710">
    <w:abstractNumId w:val="128"/>
  </w:num>
  <w:num w:numId="93" w16cid:durableId="150028820">
    <w:abstractNumId w:val="43"/>
  </w:num>
  <w:num w:numId="94" w16cid:durableId="1442991011">
    <w:abstractNumId w:val="7"/>
  </w:num>
  <w:num w:numId="95" w16cid:durableId="730613309">
    <w:abstractNumId w:val="40"/>
  </w:num>
  <w:num w:numId="96" w16cid:durableId="1529291921">
    <w:abstractNumId w:val="46"/>
  </w:num>
  <w:num w:numId="97" w16cid:durableId="1093818166">
    <w:abstractNumId w:val="107"/>
  </w:num>
  <w:num w:numId="98" w16cid:durableId="724527064">
    <w:abstractNumId w:val="125"/>
  </w:num>
  <w:num w:numId="99" w16cid:durableId="1104036557">
    <w:abstractNumId w:val="110"/>
  </w:num>
  <w:num w:numId="100" w16cid:durableId="511799598">
    <w:abstractNumId w:val="8"/>
  </w:num>
  <w:num w:numId="101" w16cid:durableId="1933589167">
    <w:abstractNumId w:val="85"/>
  </w:num>
  <w:num w:numId="102" w16cid:durableId="660961573">
    <w:abstractNumId w:val="98"/>
  </w:num>
  <w:num w:numId="103" w16cid:durableId="2066828939">
    <w:abstractNumId w:val="61"/>
  </w:num>
  <w:num w:numId="104" w16cid:durableId="1422793858">
    <w:abstractNumId w:val="91"/>
  </w:num>
  <w:num w:numId="105" w16cid:durableId="1697733523">
    <w:abstractNumId w:val="129"/>
  </w:num>
  <w:num w:numId="106" w16cid:durableId="735854724">
    <w:abstractNumId w:val="88"/>
  </w:num>
  <w:num w:numId="107" w16cid:durableId="894198971">
    <w:abstractNumId w:val="63"/>
  </w:num>
  <w:num w:numId="108" w16cid:durableId="899555131">
    <w:abstractNumId w:val="57"/>
  </w:num>
  <w:num w:numId="109" w16cid:durableId="301927741">
    <w:abstractNumId w:val="66"/>
  </w:num>
  <w:num w:numId="110" w16cid:durableId="9600113">
    <w:abstractNumId w:val="82"/>
  </w:num>
  <w:num w:numId="111" w16cid:durableId="725445502">
    <w:abstractNumId w:val="92"/>
  </w:num>
  <w:num w:numId="112" w16cid:durableId="2113695376">
    <w:abstractNumId w:val="152"/>
  </w:num>
  <w:num w:numId="113" w16cid:durableId="407726958">
    <w:abstractNumId w:val="109"/>
  </w:num>
  <w:num w:numId="114" w16cid:durableId="411968038">
    <w:abstractNumId w:val="0"/>
  </w:num>
  <w:num w:numId="115" w16cid:durableId="2136214468">
    <w:abstractNumId w:val="115"/>
  </w:num>
  <w:num w:numId="116" w16cid:durableId="695621225">
    <w:abstractNumId w:val="100"/>
  </w:num>
  <w:num w:numId="117" w16cid:durableId="713501814">
    <w:abstractNumId w:val="144"/>
  </w:num>
  <w:num w:numId="118" w16cid:durableId="24789435">
    <w:abstractNumId w:val="30"/>
  </w:num>
  <w:num w:numId="119" w16cid:durableId="536814085">
    <w:abstractNumId w:val="127"/>
  </w:num>
  <w:num w:numId="120" w16cid:durableId="524682301">
    <w:abstractNumId w:val="5"/>
  </w:num>
  <w:num w:numId="121" w16cid:durableId="1353803386">
    <w:abstractNumId w:val="84"/>
  </w:num>
  <w:num w:numId="122" w16cid:durableId="920065660">
    <w:abstractNumId w:val="20"/>
  </w:num>
  <w:num w:numId="123" w16cid:durableId="668556214">
    <w:abstractNumId w:val="114"/>
  </w:num>
  <w:num w:numId="124" w16cid:durableId="1816331692">
    <w:abstractNumId w:val="25"/>
  </w:num>
  <w:num w:numId="125" w16cid:durableId="1622958499">
    <w:abstractNumId w:val="126"/>
  </w:num>
  <w:num w:numId="126" w16cid:durableId="1423184769">
    <w:abstractNumId w:val="90"/>
  </w:num>
  <w:num w:numId="127" w16cid:durableId="2085712971">
    <w:abstractNumId w:val="139"/>
  </w:num>
  <w:num w:numId="128" w16cid:durableId="566379085">
    <w:abstractNumId w:val="70"/>
  </w:num>
  <w:num w:numId="129" w16cid:durableId="551112597">
    <w:abstractNumId w:val="116"/>
  </w:num>
  <w:num w:numId="130" w16cid:durableId="245456751">
    <w:abstractNumId w:val="14"/>
  </w:num>
  <w:num w:numId="131" w16cid:durableId="197663908">
    <w:abstractNumId w:val="142"/>
  </w:num>
  <w:num w:numId="132" w16cid:durableId="761266472">
    <w:abstractNumId w:val="12"/>
  </w:num>
  <w:num w:numId="133" w16cid:durableId="720591935">
    <w:abstractNumId w:val="37"/>
  </w:num>
  <w:num w:numId="134" w16cid:durableId="1816873252">
    <w:abstractNumId w:val="95"/>
  </w:num>
  <w:num w:numId="135" w16cid:durableId="356546928">
    <w:abstractNumId w:val="28"/>
  </w:num>
  <w:num w:numId="136" w16cid:durableId="560554172">
    <w:abstractNumId w:val="72"/>
  </w:num>
  <w:num w:numId="137" w16cid:durableId="1000890701">
    <w:abstractNumId w:val="102"/>
  </w:num>
  <w:num w:numId="138" w16cid:durableId="1751342921">
    <w:abstractNumId w:val="99"/>
  </w:num>
  <w:num w:numId="139" w16cid:durableId="1486583400">
    <w:abstractNumId w:val="32"/>
  </w:num>
  <w:num w:numId="140" w16cid:durableId="1704936355">
    <w:abstractNumId w:val="141"/>
  </w:num>
  <w:num w:numId="141" w16cid:durableId="1026760554">
    <w:abstractNumId w:val="124"/>
  </w:num>
  <w:num w:numId="142" w16cid:durableId="344937938">
    <w:abstractNumId w:val="16"/>
  </w:num>
  <w:num w:numId="143" w16cid:durableId="250043706">
    <w:abstractNumId w:val="53"/>
  </w:num>
  <w:num w:numId="144" w16cid:durableId="1710953088">
    <w:abstractNumId w:val="69"/>
  </w:num>
  <w:num w:numId="145" w16cid:durableId="971791987">
    <w:abstractNumId w:val="111"/>
  </w:num>
  <w:num w:numId="146" w16cid:durableId="320545583">
    <w:abstractNumId w:val="36"/>
  </w:num>
  <w:num w:numId="147" w16cid:durableId="513345653">
    <w:abstractNumId w:val="122"/>
  </w:num>
  <w:num w:numId="148" w16cid:durableId="806894660">
    <w:abstractNumId w:val="138"/>
  </w:num>
  <w:num w:numId="149" w16cid:durableId="607548299">
    <w:abstractNumId w:val="77"/>
  </w:num>
  <w:num w:numId="150" w16cid:durableId="1006640435">
    <w:abstractNumId w:val="58"/>
  </w:num>
  <w:num w:numId="151" w16cid:durableId="1226985165">
    <w:abstractNumId w:val="62"/>
  </w:num>
  <w:num w:numId="152" w16cid:durableId="1859394430">
    <w:abstractNumId w:val="42"/>
  </w:num>
  <w:num w:numId="153" w16cid:durableId="1416198991">
    <w:abstractNumId w:val="79"/>
  </w:num>
  <w:num w:numId="154" w16cid:durableId="259683675">
    <w:abstractNumId w:val="151"/>
  </w:num>
  <w:num w:numId="155" w16cid:durableId="116998533">
    <w:abstractNumId w:val="56"/>
  </w:num>
  <w:num w:numId="156" w16cid:durableId="72367879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51"/>
    <w:rsid w:val="00005275"/>
    <w:rsid w:val="0001153B"/>
    <w:rsid w:val="00012B96"/>
    <w:rsid w:val="00012F51"/>
    <w:rsid w:val="00025C0D"/>
    <w:rsid w:val="00032C54"/>
    <w:rsid w:val="00033CF2"/>
    <w:rsid w:val="0005046F"/>
    <w:rsid w:val="0005150F"/>
    <w:rsid w:val="00053EE1"/>
    <w:rsid w:val="00055304"/>
    <w:rsid w:val="00065CE7"/>
    <w:rsid w:val="0006704B"/>
    <w:rsid w:val="00081CFD"/>
    <w:rsid w:val="000823C9"/>
    <w:rsid w:val="000834BB"/>
    <w:rsid w:val="000839D0"/>
    <w:rsid w:val="00087112"/>
    <w:rsid w:val="0008731A"/>
    <w:rsid w:val="00095808"/>
    <w:rsid w:val="0009629A"/>
    <w:rsid w:val="00096C68"/>
    <w:rsid w:val="000978CE"/>
    <w:rsid w:val="000A0DB4"/>
    <w:rsid w:val="000A34D8"/>
    <w:rsid w:val="000A3E74"/>
    <w:rsid w:val="000B2A55"/>
    <w:rsid w:val="000B2D63"/>
    <w:rsid w:val="000C22D0"/>
    <w:rsid w:val="000C4BFE"/>
    <w:rsid w:val="000C53D6"/>
    <w:rsid w:val="000D0488"/>
    <w:rsid w:val="000D1E02"/>
    <w:rsid w:val="000D20C4"/>
    <w:rsid w:val="000D2CE6"/>
    <w:rsid w:val="000D4532"/>
    <w:rsid w:val="000D65DB"/>
    <w:rsid w:val="000D6FCE"/>
    <w:rsid w:val="000E2D2E"/>
    <w:rsid w:val="000E7271"/>
    <w:rsid w:val="000E784F"/>
    <w:rsid w:val="000F1DC2"/>
    <w:rsid w:val="000F3C7F"/>
    <w:rsid w:val="000F7CED"/>
    <w:rsid w:val="000F7D93"/>
    <w:rsid w:val="001004E0"/>
    <w:rsid w:val="00102566"/>
    <w:rsid w:val="0010257D"/>
    <w:rsid w:val="0010407B"/>
    <w:rsid w:val="00105064"/>
    <w:rsid w:val="00105F0A"/>
    <w:rsid w:val="0011512B"/>
    <w:rsid w:val="001161F1"/>
    <w:rsid w:val="00121C45"/>
    <w:rsid w:val="00122114"/>
    <w:rsid w:val="00126493"/>
    <w:rsid w:val="0013242D"/>
    <w:rsid w:val="00134D4C"/>
    <w:rsid w:val="00137A0A"/>
    <w:rsid w:val="00141C45"/>
    <w:rsid w:val="00142ADC"/>
    <w:rsid w:val="00147374"/>
    <w:rsid w:val="0015084A"/>
    <w:rsid w:val="00162555"/>
    <w:rsid w:val="0016325C"/>
    <w:rsid w:val="00163D7B"/>
    <w:rsid w:val="00172880"/>
    <w:rsid w:val="00173216"/>
    <w:rsid w:val="00180417"/>
    <w:rsid w:val="00182B38"/>
    <w:rsid w:val="00183382"/>
    <w:rsid w:val="001834E2"/>
    <w:rsid w:val="001836A5"/>
    <w:rsid w:val="001837CD"/>
    <w:rsid w:val="00184226"/>
    <w:rsid w:val="001849F5"/>
    <w:rsid w:val="001924CC"/>
    <w:rsid w:val="00193B2C"/>
    <w:rsid w:val="00195F71"/>
    <w:rsid w:val="001B0539"/>
    <w:rsid w:val="001B7A31"/>
    <w:rsid w:val="001C19AC"/>
    <w:rsid w:val="001C209E"/>
    <w:rsid w:val="001C2673"/>
    <w:rsid w:val="001C3304"/>
    <w:rsid w:val="001C3FA4"/>
    <w:rsid w:val="001C5C3C"/>
    <w:rsid w:val="001D6A63"/>
    <w:rsid w:val="001D7A9D"/>
    <w:rsid w:val="001E673E"/>
    <w:rsid w:val="001E7B21"/>
    <w:rsid w:val="001F4C58"/>
    <w:rsid w:val="00205902"/>
    <w:rsid w:val="00210F08"/>
    <w:rsid w:val="00212E8A"/>
    <w:rsid w:val="00213666"/>
    <w:rsid w:val="0021724D"/>
    <w:rsid w:val="00221501"/>
    <w:rsid w:val="002228CA"/>
    <w:rsid w:val="0022306A"/>
    <w:rsid w:val="0022452C"/>
    <w:rsid w:val="002249AF"/>
    <w:rsid w:val="00226EC8"/>
    <w:rsid w:val="00241EC7"/>
    <w:rsid w:val="00245911"/>
    <w:rsid w:val="0024619B"/>
    <w:rsid w:val="0024711D"/>
    <w:rsid w:val="002535D3"/>
    <w:rsid w:val="00253723"/>
    <w:rsid w:val="00265EC7"/>
    <w:rsid w:val="0026628C"/>
    <w:rsid w:val="00270ECD"/>
    <w:rsid w:val="00272D0B"/>
    <w:rsid w:val="002768DE"/>
    <w:rsid w:val="00281CDE"/>
    <w:rsid w:val="00282170"/>
    <w:rsid w:val="0028636E"/>
    <w:rsid w:val="0028646E"/>
    <w:rsid w:val="00286C88"/>
    <w:rsid w:val="00291D0C"/>
    <w:rsid w:val="00295F2F"/>
    <w:rsid w:val="002A3412"/>
    <w:rsid w:val="002A491A"/>
    <w:rsid w:val="002A4991"/>
    <w:rsid w:val="002A635D"/>
    <w:rsid w:val="002A75CF"/>
    <w:rsid w:val="002B5836"/>
    <w:rsid w:val="002B5A88"/>
    <w:rsid w:val="002C34A6"/>
    <w:rsid w:val="002D24E5"/>
    <w:rsid w:val="002D41C7"/>
    <w:rsid w:val="002D456F"/>
    <w:rsid w:val="002D4C47"/>
    <w:rsid w:val="002D5FA9"/>
    <w:rsid w:val="002D73E0"/>
    <w:rsid w:val="002E2390"/>
    <w:rsid w:val="002E290A"/>
    <w:rsid w:val="002E362D"/>
    <w:rsid w:val="002E6BBB"/>
    <w:rsid w:val="002F032C"/>
    <w:rsid w:val="002F1BF1"/>
    <w:rsid w:val="002F2FA6"/>
    <w:rsid w:val="002F6006"/>
    <w:rsid w:val="002F61E4"/>
    <w:rsid w:val="002F6666"/>
    <w:rsid w:val="0030033B"/>
    <w:rsid w:val="00300921"/>
    <w:rsid w:val="00302AB3"/>
    <w:rsid w:val="00306FBE"/>
    <w:rsid w:val="00307474"/>
    <w:rsid w:val="00311993"/>
    <w:rsid w:val="00320F39"/>
    <w:rsid w:val="003229CB"/>
    <w:rsid w:val="003310E3"/>
    <w:rsid w:val="003337B2"/>
    <w:rsid w:val="003340C1"/>
    <w:rsid w:val="00340862"/>
    <w:rsid w:val="00356941"/>
    <w:rsid w:val="00356E09"/>
    <w:rsid w:val="00357786"/>
    <w:rsid w:val="00357F8F"/>
    <w:rsid w:val="00361C97"/>
    <w:rsid w:val="003621FE"/>
    <w:rsid w:val="003701AF"/>
    <w:rsid w:val="00372C25"/>
    <w:rsid w:val="00382973"/>
    <w:rsid w:val="00383F0E"/>
    <w:rsid w:val="0039102A"/>
    <w:rsid w:val="00395638"/>
    <w:rsid w:val="003967FF"/>
    <w:rsid w:val="00396C39"/>
    <w:rsid w:val="003A1794"/>
    <w:rsid w:val="003A680C"/>
    <w:rsid w:val="003A77E6"/>
    <w:rsid w:val="003B5389"/>
    <w:rsid w:val="003C1D05"/>
    <w:rsid w:val="003C663C"/>
    <w:rsid w:val="003C6A62"/>
    <w:rsid w:val="003D165B"/>
    <w:rsid w:val="003D751E"/>
    <w:rsid w:val="003E12BE"/>
    <w:rsid w:val="003E62AE"/>
    <w:rsid w:val="003F169B"/>
    <w:rsid w:val="003F7380"/>
    <w:rsid w:val="004005E3"/>
    <w:rsid w:val="00401BCE"/>
    <w:rsid w:val="00410BED"/>
    <w:rsid w:val="00411056"/>
    <w:rsid w:val="00413D49"/>
    <w:rsid w:val="004160F1"/>
    <w:rsid w:val="00420C1E"/>
    <w:rsid w:val="0042517F"/>
    <w:rsid w:val="00431D55"/>
    <w:rsid w:val="0043625C"/>
    <w:rsid w:val="00457D3C"/>
    <w:rsid w:val="004603E9"/>
    <w:rsid w:val="00472A9E"/>
    <w:rsid w:val="00472C62"/>
    <w:rsid w:val="00473872"/>
    <w:rsid w:val="004804F2"/>
    <w:rsid w:val="00486F33"/>
    <w:rsid w:val="004930D9"/>
    <w:rsid w:val="00497436"/>
    <w:rsid w:val="004A0CB0"/>
    <w:rsid w:val="004A51B1"/>
    <w:rsid w:val="004A6C51"/>
    <w:rsid w:val="004B4564"/>
    <w:rsid w:val="004B5F57"/>
    <w:rsid w:val="004C08EF"/>
    <w:rsid w:val="004C4A84"/>
    <w:rsid w:val="004C53C7"/>
    <w:rsid w:val="004C6C11"/>
    <w:rsid w:val="004D15ED"/>
    <w:rsid w:val="004D48A7"/>
    <w:rsid w:val="004E03E3"/>
    <w:rsid w:val="004E1058"/>
    <w:rsid w:val="004E4049"/>
    <w:rsid w:val="004E582D"/>
    <w:rsid w:val="004E58F6"/>
    <w:rsid w:val="004F0EEA"/>
    <w:rsid w:val="004F1D7D"/>
    <w:rsid w:val="004F3F87"/>
    <w:rsid w:val="004F52EE"/>
    <w:rsid w:val="005045C8"/>
    <w:rsid w:val="00505DF2"/>
    <w:rsid w:val="00506C51"/>
    <w:rsid w:val="00516656"/>
    <w:rsid w:val="00516C5A"/>
    <w:rsid w:val="005248BF"/>
    <w:rsid w:val="00524FD8"/>
    <w:rsid w:val="005275EE"/>
    <w:rsid w:val="00527659"/>
    <w:rsid w:val="00540DAF"/>
    <w:rsid w:val="00542C89"/>
    <w:rsid w:val="005445A0"/>
    <w:rsid w:val="00547CB9"/>
    <w:rsid w:val="005501E6"/>
    <w:rsid w:val="00560025"/>
    <w:rsid w:val="00565527"/>
    <w:rsid w:val="0057411F"/>
    <w:rsid w:val="00574372"/>
    <w:rsid w:val="00574F54"/>
    <w:rsid w:val="00577112"/>
    <w:rsid w:val="00577D7A"/>
    <w:rsid w:val="00585596"/>
    <w:rsid w:val="005918B5"/>
    <w:rsid w:val="00592C4A"/>
    <w:rsid w:val="005938A5"/>
    <w:rsid w:val="00593ABC"/>
    <w:rsid w:val="00596618"/>
    <w:rsid w:val="005A30E9"/>
    <w:rsid w:val="005A4E8D"/>
    <w:rsid w:val="005A6F2B"/>
    <w:rsid w:val="005B567A"/>
    <w:rsid w:val="005B7C15"/>
    <w:rsid w:val="005C0E64"/>
    <w:rsid w:val="005C60EC"/>
    <w:rsid w:val="005D14A2"/>
    <w:rsid w:val="005D3278"/>
    <w:rsid w:val="005D327A"/>
    <w:rsid w:val="005D566D"/>
    <w:rsid w:val="005D721D"/>
    <w:rsid w:val="005E7AFE"/>
    <w:rsid w:val="005F03B8"/>
    <w:rsid w:val="005F6BBE"/>
    <w:rsid w:val="00601C05"/>
    <w:rsid w:val="00605CA3"/>
    <w:rsid w:val="006224A2"/>
    <w:rsid w:val="00623222"/>
    <w:rsid w:val="006240D6"/>
    <w:rsid w:val="00627DF2"/>
    <w:rsid w:val="00632A5A"/>
    <w:rsid w:val="0063734F"/>
    <w:rsid w:val="00650767"/>
    <w:rsid w:val="00651AD5"/>
    <w:rsid w:val="00657D96"/>
    <w:rsid w:val="00661AD6"/>
    <w:rsid w:val="00662132"/>
    <w:rsid w:val="00666EC2"/>
    <w:rsid w:val="0067317C"/>
    <w:rsid w:val="006800B0"/>
    <w:rsid w:val="00680664"/>
    <w:rsid w:val="006940BF"/>
    <w:rsid w:val="006944CE"/>
    <w:rsid w:val="00697087"/>
    <w:rsid w:val="006A347D"/>
    <w:rsid w:val="006A65B8"/>
    <w:rsid w:val="006B1C3C"/>
    <w:rsid w:val="006B1C94"/>
    <w:rsid w:val="006B5591"/>
    <w:rsid w:val="006B7FFA"/>
    <w:rsid w:val="006C1C32"/>
    <w:rsid w:val="006C564C"/>
    <w:rsid w:val="006C608B"/>
    <w:rsid w:val="006D01A7"/>
    <w:rsid w:val="006D572F"/>
    <w:rsid w:val="006E3E83"/>
    <w:rsid w:val="006E6F44"/>
    <w:rsid w:val="006F0DCE"/>
    <w:rsid w:val="006F14F2"/>
    <w:rsid w:val="006F5820"/>
    <w:rsid w:val="006F5870"/>
    <w:rsid w:val="00707CCE"/>
    <w:rsid w:val="0071490E"/>
    <w:rsid w:val="00715F8C"/>
    <w:rsid w:val="00717AAD"/>
    <w:rsid w:val="00721FD0"/>
    <w:rsid w:val="00727E55"/>
    <w:rsid w:val="00737503"/>
    <w:rsid w:val="00743408"/>
    <w:rsid w:val="007476EB"/>
    <w:rsid w:val="00750D1A"/>
    <w:rsid w:val="00750D4C"/>
    <w:rsid w:val="0075765C"/>
    <w:rsid w:val="0076024C"/>
    <w:rsid w:val="00766B3F"/>
    <w:rsid w:val="007671C0"/>
    <w:rsid w:val="00772BA1"/>
    <w:rsid w:val="0078181C"/>
    <w:rsid w:val="00784001"/>
    <w:rsid w:val="0079249F"/>
    <w:rsid w:val="00795C40"/>
    <w:rsid w:val="00796288"/>
    <w:rsid w:val="007A59C6"/>
    <w:rsid w:val="007B318D"/>
    <w:rsid w:val="007E2606"/>
    <w:rsid w:val="007E6571"/>
    <w:rsid w:val="007E76EC"/>
    <w:rsid w:val="007F2AD3"/>
    <w:rsid w:val="00800F68"/>
    <w:rsid w:val="00802270"/>
    <w:rsid w:val="008039CB"/>
    <w:rsid w:val="0081155A"/>
    <w:rsid w:val="0081182A"/>
    <w:rsid w:val="00811E10"/>
    <w:rsid w:val="00815C49"/>
    <w:rsid w:val="0081605E"/>
    <w:rsid w:val="008166EF"/>
    <w:rsid w:val="00820A3D"/>
    <w:rsid w:val="00826A97"/>
    <w:rsid w:val="00834886"/>
    <w:rsid w:val="008421FE"/>
    <w:rsid w:val="008421FF"/>
    <w:rsid w:val="00842549"/>
    <w:rsid w:val="00844BA3"/>
    <w:rsid w:val="00845194"/>
    <w:rsid w:val="00845D3A"/>
    <w:rsid w:val="00847435"/>
    <w:rsid w:val="008520F1"/>
    <w:rsid w:val="008600CC"/>
    <w:rsid w:val="008625D9"/>
    <w:rsid w:val="00866795"/>
    <w:rsid w:val="00867BEF"/>
    <w:rsid w:val="0087069B"/>
    <w:rsid w:val="00875AEB"/>
    <w:rsid w:val="00881095"/>
    <w:rsid w:val="00882FEA"/>
    <w:rsid w:val="00890746"/>
    <w:rsid w:val="0089174D"/>
    <w:rsid w:val="008A2967"/>
    <w:rsid w:val="008A618D"/>
    <w:rsid w:val="008A7F9D"/>
    <w:rsid w:val="008B0CE3"/>
    <w:rsid w:val="008B3593"/>
    <w:rsid w:val="008C1018"/>
    <w:rsid w:val="008C20EB"/>
    <w:rsid w:val="008C2C2B"/>
    <w:rsid w:val="008C5108"/>
    <w:rsid w:val="008D25BE"/>
    <w:rsid w:val="008D6587"/>
    <w:rsid w:val="008D70CB"/>
    <w:rsid w:val="008D7F7C"/>
    <w:rsid w:val="008E060A"/>
    <w:rsid w:val="008E0911"/>
    <w:rsid w:val="008F63A1"/>
    <w:rsid w:val="008F68FB"/>
    <w:rsid w:val="00901865"/>
    <w:rsid w:val="00905463"/>
    <w:rsid w:val="00906DE7"/>
    <w:rsid w:val="00911241"/>
    <w:rsid w:val="00920C5B"/>
    <w:rsid w:val="00920F27"/>
    <w:rsid w:val="00923B47"/>
    <w:rsid w:val="00931EC3"/>
    <w:rsid w:val="00932465"/>
    <w:rsid w:val="009330C3"/>
    <w:rsid w:val="009334BC"/>
    <w:rsid w:val="00944B1F"/>
    <w:rsid w:val="0094614D"/>
    <w:rsid w:val="00946C0F"/>
    <w:rsid w:val="00947B0F"/>
    <w:rsid w:val="009524FA"/>
    <w:rsid w:val="009530CE"/>
    <w:rsid w:val="009535C3"/>
    <w:rsid w:val="00954549"/>
    <w:rsid w:val="009566C9"/>
    <w:rsid w:val="00956F66"/>
    <w:rsid w:val="009625A2"/>
    <w:rsid w:val="00965569"/>
    <w:rsid w:val="0096629E"/>
    <w:rsid w:val="009662AD"/>
    <w:rsid w:val="00967556"/>
    <w:rsid w:val="00973D57"/>
    <w:rsid w:val="009779D7"/>
    <w:rsid w:val="009813E8"/>
    <w:rsid w:val="00981E16"/>
    <w:rsid w:val="0098269E"/>
    <w:rsid w:val="009961F3"/>
    <w:rsid w:val="00997B9E"/>
    <w:rsid w:val="009A116B"/>
    <w:rsid w:val="009A53C2"/>
    <w:rsid w:val="009A6119"/>
    <w:rsid w:val="009B17A2"/>
    <w:rsid w:val="009C0416"/>
    <w:rsid w:val="009C0BB6"/>
    <w:rsid w:val="009C13B9"/>
    <w:rsid w:val="009C1AB1"/>
    <w:rsid w:val="009C7ED9"/>
    <w:rsid w:val="009E2D71"/>
    <w:rsid w:val="009E3B16"/>
    <w:rsid w:val="009E5E3B"/>
    <w:rsid w:val="009E6AAF"/>
    <w:rsid w:val="009F4BF2"/>
    <w:rsid w:val="009F60E5"/>
    <w:rsid w:val="009F67D4"/>
    <w:rsid w:val="009F724B"/>
    <w:rsid w:val="00A00F09"/>
    <w:rsid w:val="00A016AB"/>
    <w:rsid w:val="00A13FDF"/>
    <w:rsid w:val="00A20DCA"/>
    <w:rsid w:val="00A20F1E"/>
    <w:rsid w:val="00A2267C"/>
    <w:rsid w:val="00A2639C"/>
    <w:rsid w:val="00A301F4"/>
    <w:rsid w:val="00A309E3"/>
    <w:rsid w:val="00A332EE"/>
    <w:rsid w:val="00A43A33"/>
    <w:rsid w:val="00A465C7"/>
    <w:rsid w:val="00A55335"/>
    <w:rsid w:val="00A55EA9"/>
    <w:rsid w:val="00A613D8"/>
    <w:rsid w:val="00A64D7D"/>
    <w:rsid w:val="00A6792F"/>
    <w:rsid w:val="00A70939"/>
    <w:rsid w:val="00A73E89"/>
    <w:rsid w:val="00A76332"/>
    <w:rsid w:val="00A76C18"/>
    <w:rsid w:val="00A808F3"/>
    <w:rsid w:val="00A8121E"/>
    <w:rsid w:val="00A81BBA"/>
    <w:rsid w:val="00A86600"/>
    <w:rsid w:val="00A86B7E"/>
    <w:rsid w:val="00A87682"/>
    <w:rsid w:val="00A928E1"/>
    <w:rsid w:val="00A9428E"/>
    <w:rsid w:val="00A973C7"/>
    <w:rsid w:val="00A976C4"/>
    <w:rsid w:val="00AA0DFA"/>
    <w:rsid w:val="00AA2552"/>
    <w:rsid w:val="00AA266A"/>
    <w:rsid w:val="00AA26AA"/>
    <w:rsid w:val="00AA26E4"/>
    <w:rsid w:val="00AA5A29"/>
    <w:rsid w:val="00AB4D6D"/>
    <w:rsid w:val="00AC06ED"/>
    <w:rsid w:val="00AC56CB"/>
    <w:rsid w:val="00AC73B3"/>
    <w:rsid w:val="00AD225D"/>
    <w:rsid w:val="00AD2BB2"/>
    <w:rsid w:val="00AE1FAB"/>
    <w:rsid w:val="00AE4A05"/>
    <w:rsid w:val="00AE5FFD"/>
    <w:rsid w:val="00AF11F2"/>
    <w:rsid w:val="00AF123A"/>
    <w:rsid w:val="00AF1F85"/>
    <w:rsid w:val="00AF6099"/>
    <w:rsid w:val="00AF63D1"/>
    <w:rsid w:val="00B16B64"/>
    <w:rsid w:val="00B2290A"/>
    <w:rsid w:val="00B27EA2"/>
    <w:rsid w:val="00B304A0"/>
    <w:rsid w:val="00B32EB4"/>
    <w:rsid w:val="00B3452C"/>
    <w:rsid w:val="00B3744C"/>
    <w:rsid w:val="00B40575"/>
    <w:rsid w:val="00B4060C"/>
    <w:rsid w:val="00B41CA2"/>
    <w:rsid w:val="00B42F70"/>
    <w:rsid w:val="00B43078"/>
    <w:rsid w:val="00B4412B"/>
    <w:rsid w:val="00B4695C"/>
    <w:rsid w:val="00B50B1B"/>
    <w:rsid w:val="00B518F6"/>
    <w:rsid w:val="00B544DE"/>
    <w:rsid w:val="00B56225"/>
    <w:rsid w:val="00B572BB"/>
    <w:rsid w:val="00B61BC2"/>
    <w:rsid w:val="00B707CF"/>
    <w:rsid w:val="00B709C5"/>
    <w:rsid w:val="00B71FE5"/>
    <w:rsid w:val="00B731C3"/>
    <w:rsid w:val="00B90242"/>
    <w:rsid w:val="00B92362"/>
    <w:rsid w:val="00B9495C"/>
    <w:rsid w:val="00BA0E84"/>
    <w:rsid w:val="00BA2568"/>
    <w:rsid w:val="00BA2681"/>
    <w:rsid w:val="00BA66B9"/>
    <w:rsid w:val="00BA7D83"/>
    <w:rsid w:val="00BB5D6C"/>
    <w:rsid w:val="00BB7CE5"/>
    <w:rsid w:val="00BC0D24"/>
    <w:rsid w:val="00BC395A"/>
    <w:rsid w:val="00BC55BF"/>
    <w:rsid w:val="00BC7418"/>
    <w:rsid w:val="00BD33F4"/>
    <w:rsid w:val="00BD4A22"/>
    <w:rsid w:val="00BE20D3"/>
    <w:rsid w:val="00BE4FBC"/>
    <w:rsid w:val="00BE5607"/>
    <w:rsid w:val="00BE6182"/>
    <w:rsid w:val="00BF6543"/>
    <w:rsid w:val="00C00E90"/>
    <w:rsid w:val="00C025CB"/>
    <w:rsid w:val="00C0325A"/>
    <w:rsid w:val="00C03BCA"/>
    <w:rsid w:val="00C044F4"/>
    <w:rsid w:val="00C05D76"/>
    <w:rsid w:val="00C11326"/>
    <w:rsid w:val="00C13E36"/>
    <w:rsid w:val="00C14381"/>
    <w:rsid w:val="00C16FDB"/>
    <w:rsid w:val="00C23035"/>
    <w:rsid w:val="00C25C6A"/>
    <w:rsid w:val="00C26B33"/>
    <w:rsid w:val="00C32795"/>
    <w:rsid w:val="00C34165"/>
    <w:rsid w:val="00C34176"/>
    <w:rsid w:val="00C37267"/>
    <w:rsid w:val="00C41F13"/>
    <w:rsid w:val="00C437B5"/>
    <w:rsid w:val="00C533CE"/>
    <w:rsid w:val="00C5433A"/>
    <w:rsid w:val="00C60BCD"/>
    <w:rsid w:val="00C614AE"/>
    <w:rsid w:val="00C66F95"/>
    <w:rsid w:val="00C7460F"/>
    <w:rsid w:val="00C76B16"/>
    <w:rsid w:val="00C76CA3"/>
    <w:rsid w:val="00C8079C"/>
    <w:rsid w:val="00C9098F"/>
    <w:rsid w:val="00C90BD9"/>
    <w:rsid w:val="00C95197"/>
    <w:rsid w:val="00C96695"/>
    <w:rsid w:val="00C97BAE"/>
    <w:rsid w:val="00CB021C"/>
    <w:rsid w:val="00CC234B"/>
    <w:rsid w:val="00CC2C58"/>
    <w:rsid w:val="00CC55CB"/>
    <w:rsid w:val="00CC78A7"/>
    <w:rsid w:val="00CD57C4"/>
    <w:rsid w:val="00CE3482"/>
    <w:rsid w:val="00CF238E"/>
    <w:rsid w:val="00CF2D31"/>
    <w:rsid w:val="00D001DA"/>
    <w:rsid w:val="00D00E11"/>
    <w:rsid w:val="00D1166A"/>
    <w:rsid w:val="00D12E7A"/>
    <w:rsid w:val="00D27650"/>
    <w:rsid w:val="00D412DA"/>
    <w:rsid w:val="00D4462C"/>
    <w:rsid w:val="00D5395F"/>
    <w:rsid w:val="00D60B4F"/>
    <w:rsid w:val="00D60E3F"/>
    <w:rsid w:val="00D62781"/>
    <w:rsid w:val="00D62E9A"/>
    <w:rsid w:val="00D65CD0"/>
    <w:rsid w:val="00D6691A"/>
    <w:rsid w:val="00D672DD"/>
    <w:rsid w:val="00D67448"/>
    <w:rsid w:val="00D70249"/>
    <w:rsid w:val="00D725B6"/>
    <w:rsid w:val="00D72CBD"/>
    <w:rsid w:val="00D76830"/>
    <w:rsid w:val="00D76A65"/>
    <w:rsid w:val="00D86F30"/>
    <w:rsid w:val="00D920C5"/>
    <w:rsid w:val="00D9586D"/>
    <w:rsid w:val="00D96A89"/>
    <w:rsid w:val="00DA15BA"/>
    <w:rsid w:val="00DA76FB"/>
    <w:rsid w:val="00DB2941"/>
    <w:rsid w:val="00DB4B4B"/>
    <w:rsid w:val="00DC5268"/>
    <w:rsid w:val="00DD049E"/>
    <w:rsid w:val="00DD0EBC"/>
    <w:rsid w:val="00DD18B9"/>
    <w:rsid w:val="00DE13E9"/>
    <w:rsid w:val="00DE2F1C"/>
    <w:rsid w:val="00DE664B"/>
    <w:rsid w:val="00DF31F4"/>
    <w:rsid w:val="00DF6526"/>
    <w:rsid w:val="00E12120"/>
    <w:rsid w:val="00E157C8"/>
    <w:rsid w:val="00E336C8"/>
    <w:rsid w:val="00E3626E"/>
    <w:rsid w:val="00E424A8"/>
    <w:rsid w:val="00E432BF"/>
    <w:rsid w:val="00E46E09"/>
    <w:rsid w:val="00E526C2"/>
    <w:rsid w:val="00E528AA"/>
    <w:rsid w:val="00E62DBC"/>
    <w:rsid w:val="00E654C9"/>
    <w:rsid w:val="00E668DB"/>
    <w:rsid w:val="00E67D71"/>
    <w:rsid w:val="00E67EE6"/>
    <w:rsid w:val="00E704B0"/>
    <w:rsid w:val="00E85643"/>
    <w:rsid w:val="00E9051E"/>
    <w:rsid w:val="00E90FF8"/>
    <w:rsid w:val="00E9380B"/>
    <w:rsid w:val="00EA2DB2"/>
    <w:rsid w:val="00EA30BF"/>
    <w:rsid w:val="00EA5EAF"/>
    <w:rsid w:val="00EA7F55"/>
    <w:rsid w:val="00EB1A4E"/>
    <w:rsid w:val="00EB1E1A"/>
    <w:rsid w:val="00EC1ACF"/>
    <w:rsid w:val="00EC4403"/>
    <w:rsid w:val="00ED17B6"/>
    <w:rsid w:val="00ED7F59"/>
    <w:rsid w:val="00EE5E68"/>
    <w:rsid w:val="00EF1400"/>
    <w:rsid w:val="00EF5D89"/>
    <w:rsid w:val="00F04DE8"/>
    <w:rsid w:val="00F13C93"/>
    <w:rsid w:val="00F14062"/>
    <w:rsid w:val="00F17FA7"/>
    <w:rsid w:val="00F22115"/>
    <w:rsid w:val="00F2255F"/>
    <w:rsid w:val="00F228B8"/>
    <w:rsid w:val="00F22EAD"/>
    <w:rsid w:val="00F23337"/>
    <w:rsid w:val="00F248AA"/>
    <w:rsid w:val="00F256A2"/>
    <w:rsid w:val="00F2688D"/>
    <w:rsid w:val="00F274E6"/>
    <w:rsid w:val="00F31119"/>
    <w:rsid w:val="00F32AE2"/>
    <w:rsid w:val="00F34B3B"/>
    <w:rsid w:val="00F351F3"/>
    <w:rsid w:val="00F3685B"/>
    <w:rsid w:val="00F372B6"/>
    <w:rsid w:val="00F41783"/>
    <w:rsid w:val="00F46049"/>
    <w:rsid w:val="00F51163"/>
    <w:rsid w:val="00F51C49"/>
    <w:rsid w:val="00F526D0"/>
    <w:rsid w:val="00F52E09"/>
    <w:rsid w:val="00F6089E"/>
    <w:rsid w:val="00F6328D"/>
    <w:rsid w:val="00F65EE4"/>
    <w:rsid w:val="00F756EA"/>
    <w:rsid w:val="00F76414"/>
    <w:rsid w:val="00F81F2E"/>
    <w:rsid w:val="00F83B36"/>
    <w:rsid w:val="00F85547"/>
    <w:rsid w:val="00F9302C"/>
    <w:rsid w:val="00F931EE"/>
    <w:rsid w:val="00F96D7E"/>
    <w:rsid w:val="00FA20B7"/>
    <w:rsid w:val="00FA319F"/>
    <w:rsid w:val="00FA4336"/>
    <w:rsid w:val="00FA7C54"/>
    <w:rsid w:val="00FA7C5F"/>
    <w:rsid w:val="00FC3015"/>
    <w:rsid w:val="00FD0097"/>
    <w:rsid w:val="00FD0EBD"/>
    <w:rsid w:val="00FD671B"/>
    <w:rsid w:val="00FD6841"/>
    <w:rsid w:val="00FE24CE"/>
    <w:rsid w:val="00FE5DC4"/>
    <w:rsid w:val="00FF1549"/>
    <w:rsid w:val="00FF6D34"/>
    <w:rsid w:val="62591653"/>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0FE1015"/>
  <w15:docId w15:val="{454F2829-66B7-4848-8FE8-AC5E4402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Narrow" w:eastAsia="Arial Narrow" w:hAnsi="Arial Narrow" w:cs="Arial Narrow"/>
      <w:sz w:val="22"/>
      <w:szCs w:val="22"/>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rPr>
      <w:sz w:val="20"/>
      <w:szCs w:val="20"/>
    </w:rPr>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Encabezado">
    <w:name w:val="header"/>
    <w:basedOn w:val="Normal"/>
    <w:link w:val="EncabezadoCar"/>
    <w:uiPriority w:val="99"/>
    <w:semiHidden/>
    <w:unhideWhenUsed/>
    <w:qFormat/>
    <w:pPr>
      <w:tabs>
        <w:tab w:val="center" w:pos="4252"/>
        <w:tab w:val="right" w:pos="8504"/>
      </w:tabs>
    </w:pPr>
  </w:style>
  <w:style w:type="paragraph" w:styleId="Piedepgina">
    <w:name w:val="footer"/>
    <w:basedOn w:val="Normal"/>
    <w:link w:val="PiedepginaCar"/>
    <w:uiPriority w:val="99"/>
    <w:semiHidden/>
    <w:unhideWhenUsed/>
    <w:qFormat/>
    <w:pPr>
      <w:tabs>
        <w:tab w:val="center" w:pos="4252"/>
        <w:tab w:val="right" w:pos="8504"/>
      </w:tabs>
    </w:pPr>
  </w:style>
  <w:style w:type="paragraph" w:styleId="Textoindependiente">
    <w:name w:val="Body Text"/>
    <w:basedOn w:val="Normal"/>
    <w:uiPriority w:val="1"/>
    <w:qFormat/>
    <w:rPr>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character" w:customStyle="1" w:styleId="TextodegloboCar">
    <w:name w:val="Texto de globo Car"/>
    <w:basedOn w:val="Fuentedeprrafopredeter"/>
    <w:link w:val="Textodeglobo"/>
    <w:uiPriority w:val="99"/>
    <w:semiHidden/>
    <w:rPr>
      <w:rFonts w:ascii="Segoe UI" w:eastAsia="Arial Narrow" w:hAnsi="Segoe UI" w:cs="Segoe UI"/>
      <w:sz w:val="18"/>
      <w:szCs w:val="18"/>
      <w:lang w:val="es-ES" w:eastAsia="es-ES" w:bidi="es-E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PrrafodelistaCar">
    <w:name w:val="Párrafo de lista Car"/>
    <w:link w:val="Prrafodelista"/>
    <w:uiPriority w:val="34"/>
    <w:locked/>
    <w:rPr>
      <w:rFonts w:ascii="Arial Narrow" w:eastAsia="Arial Narrow" w:hAnsi="Arial Narrow" w:cs="Arial Narrow"/>
      <w:lang w:val="es-ES" w:eastAsia="es-ES" w:bidi="es-ES"/>
    </w:rPr>
  </w:style>
  <w:style w:type="paragraph" w:customStyle="1" w:styleId="Revisin1">
    <w:name w:val="Revisión1"/>
    <w:hidden/>
    <w:uiPriority w:val="99"/>
    <w:semiHidden/>
    <w:qFormat/>
    <w:rPr>
      <w:rFonts w:ascii="Arial Narrow" w:eastAsia="Arial Narrow" w:hAnsi="Arial Narrow" w:cs="Arial Narrow"/>
      <w:sz w:val="22"/>
      <w:szCs w:val="22"/>
      <w:lang w:val="es-ES" w:eastAsia="es-ES" w:bidi="es-ES"/>
    </w:rPr>
  </w:style>
  <w:style w:type="character" w:customStyle="1" w:styleId="markedcontent">
    <w:name w:val="markedcontent"/>
    <w:basedOn w:val="Fuentedeprrafopredeter"/>
    <w:qFormat/>
  </w:style>
  <w:style w:type="character" w:customStyle="1" w:styleId="jerftexto1">
    <w:name w:val="jerf_texto1"/>
    <w:basedOn w:val="Fuentedeprrafopredeter"/>
    <w:qFormat/>
  </w:style>
  <w:style w:type="character" w:customStyle="1" w:styleId="TextocomentarioCar">
    <w:name w:val="Texto comentario Car"/>
    <w:basedOn w:val="Fuentedeprrafopredeter"/>
    <w:link w:val="Textocomentario"/>
    <w:uiPriority w:val="99"/>
    <w:qFormat/>
    <w:rPr>
      <w:rFonts w:ascii="Arial Narrow" w:eastAsia="Arial Narrow" w:hAnsi="Arial Narrow" w:cs="Arial Narrow"/>
      <w:sz w:val="20"/>
      <w:szCs w:val="20"/>
      <w:lang w:val="es-ES" w:eastAsia="es-ES" w:bidi="es-ES"/>
    </w:rPr>
  </w:style>
  <w:style w:type="character" w:customStyle="1" w:styleId="AsuntodelcomentarioCar">
    <w:name w:val="Asunto del comentario Car"/>
    <w:basedOn w:val="TextocomentarioCar"/>
    <w:link w:val="Asuntodelcomentario"/>
    <w:uiPriority w:val="99"/>
    <w:semiHidden/>
    <w:qFormat/>
    <w:rPr>
      <w:rFonts w:ascii="Arial Narrow" w:eastAsia="Arial Narrow" w:hAnsi="Arial Narrow" w:cs="Arial Narrow"/>
      <w:b/>
      <w:bCs/>
      <w:sz w:val="20"/>
      <w:szCs w:val="20"/>
      <w:lang w:val="es-ES" w:eastAsia="es-ES" w:bidi="es-ES"/>
    </w:rPr>
  </w:style>
  <w:style w:type="character" w:customStyle="1" w:styleId="EncabezadoCar">
    <w:name w:val="Encabezado Car"/>
    <w:basedOn w:val="Fuentedeprrafopredeter"/>
    <w:link w:val="Encabezado"/>
    <w:uiPriority w:val="99"/>
    <w:semiHidden/>
    <w:qFormat/>
    <w:rPr>
      <w:rFonts w:ascii="Arial Narrow" w:eastAsia="Arial Narrow" w:hAnsi="Arial Narrow" w:cs="Arial Narrow"/>
      <w:lang w:val="es-ES" w:eastAsia="es-ES" w:bidi="es-ES"/>
    </w:rPr>
  </w:style>
  <w:style w:type="character" w:customStyle="1" w:styleId="PiedepginaCar">
    <w:name w:val="Pie de página Car"/>
    <w:basedOn w:val="Fuentedeprrafopredeter"/>
    <w:link w:val="Piedepgina"/>
    <w:uiPriority w:val="99"/>
    <w:semiHidden/>
    <w:qFormat/>
    <w:rPr>
      <w:rFonts w:ascii="Arial Narrow" w:eastAsia="Arial Narrow" w:hAnsi="Arial Narrow" w:cs="Arial Narrow"/>
      <w:lang w:val="es-ES" w:eastAsia="es-ES" w:bidi="es-ES"/>
    </w:rPr>
  </w:style>
  <w:style w:type="paragraph" w:styleId="Revisin">
    <w:name w:val="Revision"/>
    <w:hidden/>
    <w:uiPriority w:val="99"/>
    <w:unhideWhenUsed/>
    <w:rsid w:val="008D25BE"/>
    <w:rPr>
      <w:rFonts w:ascii="Arial Narrow" w:eastAsia="Arial Narrow" w:hAnsi="Arial Narrow" w:cs="Arial Narrow"/>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3A309F25E684EA7D219055E99EE37" ma:contentTypeVersion="10" ma:contentTypeDescription="Crear nuevo documento." ma:contentTypeScope="" ma:versionID="2693beb016569484276c772142d831d7">
  <xsd:schema xmlns:xsd="http://www.w3.org/2001/XMLSchema" xmlns:xs="http://www.w3.org/2001/XMLSchema" xmlns:p="http://schemas.microsoft.com/office/2006/metadata/properties" xmlns:ns3="500e4ccc-1bcc-40a4-a0a6-069949a5f55e" targetNamespace="http://schemas.microsoft.com/office/2006/metadata/properties" ma:root="true" ma:fieldsID="85958c4acba08cde94a188d7628f5bc6" ns3:_="">
    <xsd:import namespace="500e4ccc-1bcc-40a4-a0a6-069949a5f5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e4ccc-1bcc-40a4-a0a6-069949a5f5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00e4ccc-1bcc-40a4-a0a6-069949a5f55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131F-E5F0-4E49-9976-297358D345A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9E3110-DFF7-448B-A03A-E723C65EDA06}">
  <ds:schemaRefs/>
</ds:datastoreItem>
</file>

<file path=customXml/itemProps4.xml><?xml version="1.0" encoding="utf-8"?>
<ds:datastoreItem xmlns:ds="http://schemas.openxmlformats.org/officeDocument/2006/customXml" ds:itemID="{91D52C4E-6309-48CA-BCBD-A720CDF3BDB8}">
  <ds:schemaRefs/>
</ds:datastoreItem>
</file>

<file path=customXml/itemProps5.xml><?xml version="1.0" encoding="utf-8"?>
<ds:datastoreItem xmlns:ds="http://schemas.openxmlformats.org/officeDocument/2006/customXml" ds:itemID="{987AEF37-666D-4B45-8351-B2B9E717FDE8}">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71</Pages>
  <Words>28199</Words>
  <Characters>155100</Characters>
  <Application>Microsoft Office Word</Application>
  <DocSecurity>0</DocSecurity>
  <Lines>1292</Lines>
  <Paragraphs>365</Paragraphs>
  <ScaleCrop>false</ScaleCrop>
  <Company/>
  <LinksUpToDate>false</LinksUpToDate>
  <CharactersWithSpaces>182934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dc:creator>
  <cp:lastModifiedBy>Milagros Jesus Tito Cama</cp:lastModifiedBy>
  <cp:revision>4</cp:revision>
  <dcterms:created xsi:type="dcterms:W3CDTF">2025-08-18T15:45:00Z</dcterms:created>
  <dcterms:modified xsi:type="dcterms:W3CDTF">2025-08-27T15:34:00Z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889CC99F84974FDC9B22718196CADF94_13</vt:lpwstr>
  </property>
</Properties>
</file>