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80CFA" w14:textId="77777777" w:rsidR="008748C1" w:rsidRDefault="008748C1">
      <w:pPr>
        <w:spacing w:after="0" w:line="240" w:lineRule="auto"/>
        <w:rPr>
          <w:snapToGrid w:val="0"/>
          <w:lang w:eastAsia="es-ES"/>
        </w:rPr>
      </w:pPr>
    </w:p>
    <w:p w14:paraId="52980CFB" w14:textId="77777777" w:rsidR="008748C1" w:rsidRDefault="008748C1">
      <w:pPr>
        <w:spacing w:after="0" w:line="240" w:lineRule="auto"/>
        <w:rPr>
          <w:snapToGrid w:val="0"/>
          <w:lang w:eastAsia="es-ES"/>
        </w:rPr>
      </w:pPr>
    </w:p>
    <w:p w14:paraId="52980CFC" w14:textId="77777777" w:rsidR="008748C1" w:rsidRDefault="008748C1">
      <w:pPr>
        <w:spacing w:after="0" w:line="240" w:lineRule="auto"/>
        <w:rPr>
          <w:snapToGrid w:val="0"/>
          <w:lang w:eastAsia="es-ES"/>
        </w:rPr>
      </w:pPr>
    </w:p>
    <w:p w14:paraId="52980CFD" w14:textId="77777777" w:rsidR="008748C1" w:rsidRDefault="008748C1">
      <w:pPr>
        <w:spacing w:after="0" w:line="240" w:lineRule="auto"/>
        <w:rPr>
          <w:snapToGrid w:val="0"/>
          <w:lang w:eastAsia="es-ES"/>
        </w:rPr>
      </w:pPr>
    </w:p>
    <w:p w14:paraId="52980CFE" w14:textId="77777777" w:rsidR="008748C1" w:rsidRDefault="008748C1">
      <w:pPr>
        <w:spacing w:after="0" w:line="240" w:lineRule="auto"/>
        <w:rPr>
          <w:snapToGrid w:val="0"/>
          <w:lang w:eastAsia="es-ES"/>
        </w:rPr>
      </w:pPr>
    </w:p>
    <w:p w14:paraId="52980CFF" w14:textId="77777777" w:rsidR="008748C1" w:rsidRDefault="008748C1">
      <w:pPr>
        <w:spacing w:after="0" w:line="240" w:lineRule="auto"/>
        <w:rPr>
          <w:snapToGrid w:val="0"/>
          <w:lang w:eastAsia="es-ES"/>
        </w:rPr>
      </w:pPr>
    </w:p>
    <w:p w14:paraId="52980D00" w14:textId="77777777" w:rsidR="008748C1" w:rsidRDefault="008748C1">
      <w:pPr>
        <w:spacing w:after="0" w:line="240" w:lineRule="auto"/>
        <w:rPr>
          <w:snapToGrid w:val="0"/>
          <w:lang w:eastAsia="es-ES"/>
        </w:rPr>
      </w:pPr>
    </w:p>
    <w:p w14:paraId="52980D01" w14:textId="77777777" w:rsidR="008748C1" w:rsidRDefault="008748C1">
      <w:pPr>
        <w:spacing w:after="0" w:line="240" w:lineRule="auto"/>
        <w:rPr>
          <w:snapToGrid w:val="0"/>
          <w:lang w:eastAsia="es-ES"/>
        </w:rPr>
      </w:pPr>
    </w:p>
    <w:p w14:paraId="52980D02" w14:textId="77777777" w:rsidR="008748C1" w:rsidRDefault="008748C1">
      <w:pPr>
        <w:spacing w:after="0" w:line="240" w:lineRule="auto"/>
        <w:rPr>
          <w:snapToGrid w:val="0"/>
          <w:lang w:eastAsia="es-ES"/>
        </w:rPr>
      </w:pPr>
    </w:p>
    <w:p w14:paraId="52980D03" w14:textId="77777777" w:rsidR="008748C1" w:rsidRDefault="008748C1">
      <w:pPr>
        <w:spacing w:after="0" w:line="240" w:lineRule="auto"/>
        <w:rPr>
          <w:snapToGrid w:val="0"/>
          <w:lang w:eastAsia="es-ES"/>
        </w:rPr>
      </w:pPr>
    </w:p>
    <w:p w14:paraId="52980D04" w14:textId="77777777" w:rsidR="008748C1" w:rsidRDefault="00000000">
      <w:pPr>
        <w:keepNext/>
        <w:widowControl w:val="0"/>
        <w:spacing w:before="240" w:after="60" w:line="240" w:lineRule="auto"/>
        <w:jc w:val="center"/>
        <w:outlineLvl w:val="0"/>
        <w:rPr>
          <w:rFonts w:ascii="Arial" w:eastAsia="Times New Roman" w:hAnsi="Arial" w:cs="Times New Roman"/>
          <w:bCs/>
          <w:snapToGrid w:val="0"/>
          <w:kern w:val="28"/>
          <w:sz w:val="44"/>
          <w:szCs w:val="44"/>
          <w:lang w:eastAsia="es-ES"/>
        </w:rPr>
      </w:pPr>
      <w:r>
        <w:rPr>
          <w:rFonts w:eastAsia="Times New Roman" w:cs="Times New Roman"/>
          <w:b/>
          <w:bCs/>
          <w:snapToGrid w:val="0"/>
          <w:kern w:val="28"/>
          <w:sz w:val="44"/>
          <w:szCs w:val="44"/>
          <w:lang w:eastAsia="es-ES"/>
        </w:rPr>
        <w:t>CAPÍTULO I</w:t>
      </w:r>
      <w:r>
        <w:rPr>
          <w:rFonts w:eastAsia="Times New Roman" w:cs="Times New Roman"/>
          <w:b/>
          <w:bCs/>
          <w:snapToGrid w:val="0"/>
          <w:kern w:val="28"/>
          <w:sz w:val="44"/>
          <w:szCs w:val="44"/>
          <w:lang w:eastAsia="es-ES"/>
        </w:rPr>
        <w:br/>
      </w:r>
      <w:r>
        <w:rPr>
          <w:rFonts w:eastAsia="Times New Roman" w:cs="Times New Roman"/>
          <w:b/>
          <w:bCs/>
          <w:snapToGrid w:val="0"/>
          <w:kern w:val="28"/>
          <w:sz w:val="44"/>
          <w:szCs w:val="44"/>
          <w:lang w:eastAsia="es-ES"/>
        </w:rPr>
        <w:br/>
      </w:r>
      <w:r>
        <w:rPr>
          <w:rFonts w:eastAsia="Times New Roman" w:cs="Times New Roman"/>
          <w:b/>
          <w:bCs/>
          <w:snapToGrid w:val="0"/>
          <w:kern w:val="28"/>
          <w:sz w:val="36"/>
          <w:szCs w:val="36"/>
          <w:lang w:eastAsia="es-ES"/>
        </w:rPr>
        <w:t>DISPOSICIONES GENERALES</w:t>
      </w:r>
      <w:r>
        <w:rPr>
          <w:rStyle w:val="Refdenotaalpie"/>
          <w:rFonts w:eastAsia="Times New Roman" w:cs="Times New Roman"/>
          <w:b/>
          <w:bCs/>
          <w:snapToGrid w:val="0"/>
          <w:kern w:val="28"/>
          <w:sz w:val="36"/>
          <w:szCs w:val="36"/>
          <w:lang w:eastAsia="es-ES"/>
        </w:rPr>
        <w:footnoteReference w:id="1"/>
      </w:r>
    </w:p>
    <w:p w14:paraId="52980D05" w14:textId="77777777" w:rsidR="008748C1" w:rsidRDefault="00000000">
      <w:pPr>
        <w:keepNext/>
        <w:numPr>
          <w:ilvl w:val="0"/>
          <w:numId w:val="4"/>
        </w:numPr>
        <w:spacing w:before="240" w:after="120" w:line="240" w:lineRule="auto"/>
        <w:ind w:left="0" w:hanging="284"/>
        <w:outlineLvl w:val="1"/>
        <w:rPr>
          <w:rFonts w:eastAsia="Times New Roman" w:cs="Times New Roman"/>
          <w:b/>
          <w:bCs/>
          <w:szCs w:val="24"/>
          <w:lang w:eastAsia="es-ES"/>
        </w:rPr>
      </w:pPr>
      <w:r>
        <w:rPr>
          <w:rFonts w:eastAsia="Times New Roman" w:cs="Times New Roman"/>
          <w:b/>
          <w:bCs/>
          <w:szCs w:val="24"/>
          <w:u w:val="single"/>
          <w:lang w:eastAsia="es-ES"/>
        </w:rPr>
        <w:br w:type="page"/>
      </w:r>
      <w:r>
        <w:rPr>
          <w:rFonts w:eastAsia="Times New Roman" w:cs="Times New Roman"/>
          <w:b/>
          <w:bCs/>
          <w:szCs w:val="24"/>
          <w:lang w:eastAsia="es-ES"/>
        </w:rPr>
        <w:lastRenderedPageBreak/>
        <w:t>OBJETIVOS</w:t>
      </w:r>
    </w:p>
    <w:p w14:paraId="52980D06" w14:textId="77777777" w:rsidR="008748C1" w:rsidRDefault="00000000">
      <w:pPr>
        <w:spacing w:before="60" w:after="60" w:line="240" w:lineRule="auto"/>
        <w:jc w:val="both"/>
        <w:rPr>
          <w:rFonts w:eastAsia="Times New Roman" w:cs="Times New Roman"/>
          <w:lang w:eastAsia="es-ES"/>
        </w:rPr>
      </w:pPr>
      <w:r>
        <w:rPr>
          <w:rFonts w:eastAsia="Times New Roman" w:cs="Times New Roman"/>
          <w:lang w:eastAsia="es-ES"/>
        </w:rPr>
        <w:t xml:space="preserve">La Superintendencia de Banca, Seguros y Administradoras Privadas de Fondos de Pensiones, en adelante Superintendencia, ha elaborado el presente Manual de Contabilidad para las Administradoras Privadas de Fondos de Pensiones, en adelante Manual de Contabilidad para las AFP, de acuerdo con las Normas Internacionales de Información Financiera (NIIF) emitidas por el International </w:t>
      </w:r>
      <w:proofErr w:type="spellStart"/>
      <w:r>
        <w:rPr>
          <w:rFonts w:eastAsia="Times New Roman" w:cs="Times New Roman"/>
          <w:lang w:eastAsia="es-ES"/>
        </w:rPr>
        <w:t>Accounting</w:t>
      </w:r>
      <w:proofErr w:type="spellEnd"/>
      <w:r>
        <w:rPr>
          <w:rFonts w:eastAsia="Times New Roman" w:cs="Times New Roman"/>
          <w:lang w:eastAsia="es-ES"/>
        </w:rPr>
        <w:t xml:space="preserve"> </w:t>
      </w:r>
      <w:proofErr w:type="spellStart"/>
      <w:r>
        <w:rPr>
          <w:rFonts w:eastAsia="Times New Roman" w:cs="Times New Roman"/>
          <w:lang w:eastAsia="es-ES"/>
        </w:rPr>
        <w:t>Standards</w:t>
      </w:r>
      <w:proofErr w:type="spellEnd"/>
      <w:r>
        <w:rPr>
          <w:rFonts w:eastAsia="Times New Roman" w:cs="Times New Roman"/>
          <w:lang w:eastAsia="es-ES"/>
        </w:rPr>
        <w:t xml:space="preserve"> </w:t>
      </w:r>
      <w:proofErr w:type="spellStart"/>
      <w:r>
        <w:rPr>
          <w:rFonts w:eastAsia="Times New Roman" w:cs="Times New Roman"/>
          <w:lang w:eastAsia="es-ES"/>
        </w:rPr>
        <w:t>Board</w:t>
      </w:r>
      <w:proofErr w:type="spellEnd"/>
      <w:r>
        <w:rPr>
          <w:rFonts w:eastAsia="Times New Roman" w:cs="Times New Roman"/>
          <w:lang w:eastAsia="es-ES"/>
        </w:rPr>
        <w:t xml:space="preserve"> (IASB) que han sido aprobadas en el país por el Consejo Normativo de Contabilidad, y con las normas y prácticas contables prudentes de uso internacional establecidos para las empresas supervisadas.</w:t>
      </w:r>
    </w:p>
    <w:p w14:paraId="52980D07" w14:textId="77777777" w:rsidR="008748C1" w:rsidRDefault="00000000">
      <w:pPr>
        <w:spacing w:before="60" w:after="60" w:line="240" w:lineRule="auto"/>
        <w:jc w:val="both"/>
        <w:rPr>
          <w:rFonts w:eastAsia="Times New Roman" w:cs="Times New Roman"/>
          <w:lang w:eastAsia="es-ES"/>
        </w:rPr>
      </w:pPr>
      <w:r>
        <w:rPr>
          <w:rFonts w:eastAsia="Times New Roman" w:cs="Times New Roman"/>
          <w:lang w:eastAsia="es-ES"/>
        </w:rPr>
        <w:t>El Manual de Contabilidad para las AFP tiene como principales objetivos:</w:t>
      </w:r>
    </w:p>
    <w:p w14:paraId="52980D08" w14:textId="77777777" w:rsidR="008748C1" w:rsidRDefault="00000000">
      <w:pPr>
        <w:numPr>
          <w:ilvl w:val="0"/>
          <w:numId w:val="5"/>
        </w:numPr>
        <w:spacing w:before="20" w:after="20" w:line="240" w:lineRule="auto"/>
        <w:ind w:left="284" w:hanging="284"/>
        <w:jc w:val="both"/>
        <w:rPr>
          <w:rFonts w:eastAsia="Times New Roman" w:cs="Times New Roman"/>
          <w:lang w:eastAsia="es-ES"/>
        </w:rPr>
      </w:pPr>
      <w:r>
        <w:rPr>
          <w:rFonts w:eastAsia="Times New Roman" w:cs="Times New Roman"/>
          <w:lang w:eastAsia="es-ES"/>
        </w:rPr>
        <w:t>Uniformar el registro contable de las operaciones que realizan las administradoras privadas de fondos de pensiones, en adelante AFP, por cuenta propia, de acuerdo con la Ley del Sistema Privado de Administración de Fondos de Pensiones, en adelante Ley del SPP, así como con las normas dispuestas por esta Superintendencia.</w:t>
      </w:r>
    </w:p>
    <w:p w14:paraId="52980D09" w14:textId="77777777" w:rsidR="008748C1" w:rsidRDefault="00000000">
      <w:pPr>
        <w:numPr>
          <w:ilvl w:val="0"/>
          <w:numId w:val="5"/>
        </w:numPr>
        <w:spacing w:before="20" w:after="20" w:line="240" w:lineRule="auto"/>
        <w:ind w:left="284" w:hanging="284"/>
        <w:jc w:val="both"/>
        <w:rPr>
          <w:rFonts w:eastAsia="Times New Roman" w:cs="Times New Roman"/>
          <w:lang w:eastAsia="es-ES"/>
        </w:rPr>
      </w:pPr>
      <w:r>
        <w:rPr>
          <w:rFonts w:eastAsia="Times New Roman" w:cs="Times New Roman"/>
          <w:lang w:eastAsia="es-ES"/>
        </w:rPr>
        <w:t>Obtener estados financieros que reflejen de manera transparente, la situación económico-financiera y los resultados de la gestión de las AFP.</w:t>
      </w:r>
    </w:p>
    <w:p w14:paraId="52980D0A" w14:textId="77777777" w:rsidR="008748C1" w:rsidRDefault="00000000">
      <w:pPr>
        <w:numPr>
          <w:ilvl w:val="0"/>
          <w:numId w:val="5"/>
        </w:numPr>
        <w:spacing w:before="20" w:after="20" w:line="240" w:lineRule="auto"/>
        <w:ind w:left="284" w:hanging="284"/>
        <w:jc w:val="both"/>
        <w:rPr>
          <w:rFonts w:eastAsia="Times New Roman" w:cs="Times New Roman"/>
          <w:lang w:eastAsia="es-ES"/>
        </w:rPr>
      </w:pPr>
      <w:r>
        <w:rPr>
          <w:rFonts w:eastAsia="Times New Roman" w:cs="Times New Roman"/>
          <w:lang w:eastAsia="es-ES"/>
        </w:rPr>
        <w:t>Permitir que la información financiera constituya un instrumento útil para el análisis y el autocontrol; así como para la toma de decisiones por parte de la administración, dirección y propietarios de las AFP.</w:t>
      </w:r>
    </w:p>
    <w:p w14:paraId="52980D0B" w14:textId="77777777" w:rsidR="008748C1" w:rsidRDefault="00000000">
      <w:pPr>
        <w:numPr>
          <w:ilvl w:val="0"/>
          <w:numId w:val="5"/>
        </w:numPr>
        <w:spacing w:before="20" w:after="20" w:line="240" w:lineRule="auto"/>
        <w:ind w:left="284" w:hanging="284"/>
        <w:jc w:val="both"/>
        <w:rPr>
          <w:rFonts w:ascii="Arial" w:eastAsia="Times New Roman" w:hAnsi="Arial" w:cs="Times New Roman"/>
          <w:sz w:val="20"/>
          <w:szCs w:val="24"/>
          <w:lang w:eastAsia="es-ES"/>
        </w:rPr>
      </w:pPr>
      <w:r>
        <w:rPr>
          <w:rFonts w:eastAsia="Times New Roman" w:cs="Times New Roman"/>
          <w:lang w:eastAsia="es-ES"/>
        </w:rPr>
        <w:t>Constituir una base de datos homogénea que permita el seguimiento y control de las AFP, tanto a nivel individual como del sistema</w:t>
      </w:r>
      <w:r>
        <w:rPr>
          <w:rFonts w:ascii="Arial" w:eastAsia="Times New Roman" w:hAnsi="Arial" w:cs="Times New Roman"/>
          <w:sz w:val="20"/>
          <w:szCs w:val="24"/>
          <w:lang w:eastAsia="es-ES"/>
        </w:rPr>
        <w:t>.</w:t>
      </w:r>
    </w:p>
    <w:p w14:paraId="52980D0C" w14:textId="77777777" w:rsidR="008748C1" w:rsidRDefault="00000000">
      <w:pPr>
        <w:keepNext/>
        <w:numPr>
          <w:ilvl w:val="0"/>
          <w:numId w:val="4"/>
        </w:numPr>
        <w:spacing w:before="240" w:after="120" w:line="240" w:lineRule="auto"/>
        <w:ind w:left="0" w:hanging="284"/>
        <w:outlineLvl w:val="1"/>
        <w:rPr>
          <w:rFonts w:eastAsia="Times New Roman" w:cs="Times New Roman"/>
          <w:b/>
          <w:bCs/>
          <w:szCs w:val="24"/>
          <w:u w:val="single"/>
          <w:lang w:eastAsia="es-ES"/>
        </w:rPr>
      </w:pPr>
      <w:r>
        <w:rPr>
          <w:rFonts w:eastAsia="Times New Roman" w:cs="Times New Roman"/>
          <w:b/>
          <w:bCs/>
          <w:szCs w:val="24"/>
          <w:lang w:eastAsia="es-ES"/>
        </w:rPr>
        <w:t>ALCANCES</w:t>
      </w:r>
    </w:p>
    <w:p w14:paraId="52980D0D" w14:textId="77777777" w:rsidR="008748C1" w:rsidRDefault="00000000">
      <w:pPr>
        <w:numPr>
          <w:ilvl w:val="0"/>
          <w:numId w:val="5"/>
        </w:numPr>
        <w:spacing w:before="20" w:after="20" w:line="240" w:lineRule="auto"/>
        <w:ind w:left="284" w:hanging="284"/>
        <w:jc w:val="both"/>
        <w:rPr>
          <w:rFonts w:eastAsia="Times New Roman" w:cs="Times New Roman"/>
          <w:lang w:eastAsia="es-ES"/>
        </w:rPr>
      </w:pPr>
      <w:r>
        <w:rPr>
          <w:rFonts w:eastAsia="Times New Roman" w:cs="Times New Roman"/>
          <w:lang w:eastAsia="es-ES"/>
        </w:rPr>
        <w:t>El Manual de Contabilidad para las AFP y las disposiciones en él contenidas, deben ser aplicados para el registro de contable de las operaciones permitidas a las AFP por cuenta propia.</w:t>
      </w:r>
    </w:p>
    <w:p w14:paraId="52980D0E" w14:textId="77777777" w:rsidR="008748C1" w:rsidRDefault="00000000">
      <w:pPr>
        <w:numPr>
          <w:ilvl w:val="0"/>
          <w:numId w:val="5"/>
        </w:numPr>
        <w:spacing w:before="20" w:after="20" w:line="240" w:lineRule="auto"/>
        <w:ind w:left="284" w:hanging="284"/>
        <w:jc w:val="both"/>
        <w:rPr>
          <w:rFonts w:eastAsia="Times New Roman" w:cs="Times New Roman"/>
          <w:lang w:eastAsia="es-ES"/>
        </w:rPr>
      </w:pPr>
      <w:r>
        <w:rPr>
          <w:rFonts w:eastAsia="Times New Roman" w:cs="Times New Roman"/>
          <w:lang w:eastAsia="es-ES"/>
        </w:rPr>
        <w:t>Las cuentas contenidas en el Manual de Contabilidad no implican de por sí autorización para realizar las operaciones relacionadas con tales cuentas; debiendo las AFP efectuar sólo las operaciones que les permita la Ley del SPP.</w:t>
      </w:r>
    </w:p>
    <w:p w14:paraId="52980D0F" w14:textId="77777777" w:rsidR="008748C1" w:rsidRDefault="00000000">
      <w:pPr>
        <w:numPr>
          <w:ilvl w:val="0"/>
          <w:numId w:val="5"/>
        </w:numPr>
        <w:spacing w:before="20" w:after="20" w:line="240" w:lineRule="auto"/>
        <w:ind w:left="284" w:hanging="284"/>
        <w:jc w:val="both"/>
        <w:rPr>
          <w:rFonts w:eastAsia="Times New Roman" w:cs="Times New Roman"/>
          <w:lang w:eastAsia="es-ES"/>
        </w:rPr>
      </w:pPr>
      <w:r>
        <w:rPr>
          <w:rFonts w:eastAsia="Times New Roman" w:cs="Times New Roman"/>
          <w:lang w:eastAsia="es-ES"/>
        </w:rPr>
        <w:t>Las disposiciones del presente Manual de Contabilidad son aplicables a los estados financieros anuales, así como a los estados financieros que son presentados en una periodicidad mensual, trimestral o semestral, según corresponda, de acuerdo con lo establecido en el Capítulo II.</w:t>
      </w:r>
    </w:p>
    <w:p w14:paraId="52980D10" w14:textId="77777777" w:rsidR="008748C1" w:rsidRDefault="008748C1">
      <w:pPr>
        <w:spacing w:after="0" w:line="240" w:lineRule="auto"/>
        <w:jc w:val="both"/>
        <w:rPr>
          <w:rFonts w:ascii="Arial" w:eastAsia="Times New Roman" w:hAnsi="Arial" w:cs="Times New Roman"/>
          <w:sz w:val="20"/>
          <w:szCs w:val="24"/>
          <w:lang w:eastAsia="es-ES"/>
        </w:rPr>
      </w:pPr>
    </w:p>
    <w:p w14:paraId="52980D11" w14:textId="77777777" w:rsidR="008748C1" w:rsidRDefault="00000000">
      <w:pPr>
        <w:keepNext/>
        <w:numPr>
          <w:ilvl w:val="0"/>
          <w:numId w:val="4"/>
        </w:numPr>
        <w:spacing w:after="0" w:line="240" w:lineRule="auto"/>
        <w:ind w:left="0" w:hanging="284"/>
        <w:outlineLvl w:val="1"/>
        <w:rPr>
          <w:rFonts w:eastAsia="Times New Roman" w:cs="Times New Roman"/>
          <w:b/>
          <w:bCs/>
          <w:szCs w:val="24"/>
          <w:lang w:eastAsia="es-ES"/>
        </w:rPr>
      </w:pPr>
      <w:r>
        <w:rPr>
          <w:rFonts w:eastAsia="Times New Roman" w:cs="Times New Roman"/>
          <w:b/>
          <w:bCs/>
          <w:szCs w:val="24"/>
          <w:lang w:eastAsia="es-ES"/>
        </w:rPr>
        <w:t>REGISTRO, ARCHIVO DE LA DOCUMENTACIÓN CONTABLE Y CONCEPTOS GENERALES</w:t>
      </w:r>
    </w:p>
    <w:p w14:paraId="52980D12"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r>
        <w:rPr>
          <w:rFonts w:eastAsia="Times New Roman" w:cs="Times New Roman"/>
          <w:b/>
          <w:bCs/>
          <w:szCs w:val="24"/>
          <w:lang w:eastAsia="es-ES"/>
        </w:rPr>
        <w:t>NORMAS GENERALES</w:t>
      </w:r>
    </w:p>
    <w:p w14:paraId="52980D13" w14:textId="77777777" w:rsidR="008748C1" w:rsidRDefault="00000000">
      <w:pPr>
        <w:spacing w:after="120" w:line="240" w:lineRule="auto"/>
        <w:ind w:left="425"/>
        <w:jc w:val="both"/>
        <w:rPr>
          <w:rFonts w:eastAsia="Times New Roman" w:cs="Times New Roman"/>
          <w:lang w:eastAsia="es-ES"/>
        </w:rPr>
      </w:pPr>
      <w:r>
        <w:rPr>
          <w:rFonts w:eastAsia="Times New Roman" w:cs="Times New Roman"/>
          <w:lang w:eastAsia="es-ES"/>
        </w:rPr>
        <w:t xml:space="preserve">Las AFP están obligadas a llevar todos los libros de contabilidad, administrativos y los que determine la Superintendencia. Las operaciones que se registren en los libros deben estar respaldadas con la documentación </w:t>
      </w:r>
      <w:proofErr w:type="spellStart"/>
      <w:r>
        <w:rPr>
          <w:rFonts w:eastAsia="Times New Roman" w:cs="Times New Roman"/>
          <w:lang w:eastAsia="es-ES"/>
        </w:rPr>
        <w:t>sustentatoria</w:t>
      </w:r>
      <w:proofErr w:type="spellEnd"/>
      <w:r>
        <w:rPr>
          <w:rFonts w:eastAsia="Times New Roman" w:cs="Times New Roman"/>
          <w:lang w:eastAsia="es-ES"/>
        </w:rPr>
        <w:t xml:space="preserve"> correspondiente, a fin de dar cumplimiento a las normas establecidas en la Ley General de Sociedades y otras leyes especiales sobre la materia.</w:t>
      </w:r>
    </w:p>
    <w:p w14:paraId="52980D14" w14:textId="77777777" w:rsidR="008748C1" w:rsidRDefault="00000000">
      <w:pPr>
        <w:spacing w:after="0" w:line="240" w:lineRule="auto"/>
        <w:ind w:left="426"/>
        <w:jc w:val="both"/>
        <w:rPr>
          <w:rFonts w:eastAsia="Times New Roman" w:cs="Times New Roman"/>
          <w:lang w:eastAsia="es-ES"/>
        </w:rPr>
      </w:pPr>
      <w:r>
        <w:rPr>
          <w:rFonts w:eastAsia="Times New Roman" w:cs="Times New Roman"/>
          <w:lang w:eastAsia="es-ES"/>
        </w:rPr>
        <w:t>Asimismo, las AFP deben mantener una contabilidad transparente, concreta e individualizada de todas sus operaciones, aplicando en forma integral las normas y procedimientos establecidos en el presente Manual de Contabilidad. Las AFP deben preparar mensualmente archivos de los estados financieros básicos y la documentación que los sustenten incluyendo, además, el balance de comprobación y los respectivos análisis de cuentas. Una copia de estos debe permanecer en la empresa, a disposición de la Superintendencia.</w:t>
      </w:r>
    </w:p>
    <w:p w14:paraId="52980D15"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r>
        <w:rPr>
          <w:rFonts w:eastAsia="Times New Roman" w:cs="Times New Roman"/>
          <w:b/>
          <w:bCs/>
          <w:szCs w:val="24"/>
          <w:lang w:eastAsia="es-ES"/>
        </w:rPr>
        <w:t>SISTEMA DE CODIFICACIÓN Y DENOMINACIÓN</w:t>
      </w:r>
    </w:p>
    <w:p w14:paraId="52980D16" w14:textId="77777777" w:rsidR="008748C1" w:rsidRDefault="008748C1">
      <w:pPr>
        <w:spacing w:after="0" w:line="240" w:lineRule="auto"/>
        <w:rPr>
          <w:rFonts w:eastAsia="Times New Roman" w:cs="Times New Roman"/>
          <w:szCs w:val="24"/>
          <w:lang w:eastAsia="es-ES"/>
        </w:rPr>
      </w:pPr>
    </w:p>
    <w:p w14:paraId="52980D17" w14:textId="77777777" w:rsidR="008748C1" w:rsidRDefault="00000000">
      <w:pPr>
        <w:numPr>
          <w:ilvl w:val="0"/>
          <w:numId w:val="6"/>
        </w:numPr>
        <w:spacing w:after="0" w:line="240" w:lineRule="auto"/>
        <w:ind w:hanging="425"/>
        <w:jc w:val="both"/>
        <w:rPr>
          <w:rFonts w:eastAsia="Times New Roman" w:cs="Times New Roman"/>
          <w:szCs w:val="24"/>
          <w:lang w:eastAsia="es-ES"/>
        </w:rPr>
      </w:pPr>
      <w:r>
        <w:rPr>
          <w:rFonts w:eastAsia="Times New Roman" w:cs="Times New Roman"/>
          <w:szCs w:val="24"/>
          <w:lang w:eastAsia="es-ES"/>
        </w:rPr>
        <w:t>Las clases definidas en el presente Manual son las siguientes:</w:t>
      </w:r>
    </w:p>
    <w:p w14:paraId="52980D18" w14:textId="77777777" w:rsidR="008748C1" w:rsidRDefault="008748C1">
      <w:pPr>
        <w:spacing w:after="0" w:line="240" w:lineRule="auto"/>
        <w:ind w:left="709"/>
        <w:rPr>
          <w:rFonts w:eastAsia="Times New Roman" w:cs="Times New Roman"/>
          <w:szCs w:val="24"/>
          <w:lang w:eastAsia="es-ES"/>
        </w:rPr>
      </w:pPr>
    </w:p>
    <w:p w14:paraId="52980D19"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 xml:space="preserve">Clase: </w:t>
      </w:r>
      <w:r>
        <w:rPr>
          <w:rFonts w:eastAsia="Times New Roman" w:cs="Times New Roman"/>
          <w:szCs w:val="24"/>
          <w:lang w:eastAsia="es-ES"/>
        </w:rPr>
        <w:tab/>
        <w:t>1</w:t>
      </w:r>
      <w:r>
        <w:rPr>
          <w:rFonts w:eastAsia="Times New Roman" w:cs="Times New Roman"/>
          <w:szCs w:val="24"/>
          <w:lang w:eastAsia="es-ES"/>
        </w:rPr>
        <w:tab/>
        <w:t>Activo</w:t>
      </w:r>
    </w:p>
    <w:p w14:paraId="52980D1A"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lastRenderedPageBreak/>
        <w:t xml:space="preserve">Clase: </w:t>
      </w:r>
      <w:r>
        <w:rPr>
          <w:rFonts w:eastAsia="Times New Roman" w:cs="Times New Roman"/>
          <w:szCs w:val="24"/>
          <w:lang w:eastAsia="es-ES"/>
        </w:rPr>
        <w:tab/>
        <w:t>2</w:t>
      </w:r>
      <w:r>
        <w:rPr>
          <w:rFonts w:eastAsia="Times New Roman" w:cs="Times New Roman"/>
          <w:szCs w:val="24"/>
          <w:lang w:eastAsia="es-ES"/>
        </w:rPr>
        <w:tab/>
        <w:t>Pasivo</w:t>
      </w:r>
    </w:p>
    <w:p w14:paraId="52980D1B"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 xml:space="preserve">Clase: </w:t>
      </w:r>
      <w:r>
        <w:rPr>
          <w:rFonts w:eastAsia="Times New Roman" w:cs="Times New Roman"/>
          <w:szCs w:val="24"/>
          <w:lang w:eastAsia="es-ES"/>
        </w:rPr>
        <w:tab/>
        <w:t>3</w:t>
      </w:r>
      <w:r>
        <w:rPr>
          <w:rFonts w:eastAsia="Times New Roman" w:cs="Times New Roman"/>
          <w:szCs w:val="24"/>
          <w:lang w:eastAsia="es-ES"/>
        </w:rPr>
        <w:tab/>
        <w:t>Patrimonio</w:t>
      </w:r>
    </w:p>
    <w:p w14:paraId="52980D1C"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 xml:space="preserve">Clase: </w:t>
      </w:r>
      <w:r>
        <w:rPr>
          <w:rFonts w:eastAsia="Times New Roman" w:cs="Times New Roman"/>
          <w:szCs w:val="24"/>
          <w:lang w:eastAsia="es-ES"/>
        </w:rPr>
        <w:tab/>
        <w:t>4</w:t>
      </w:r>
      <w:r>
        <w:rPr>
          <w:rFonts w:eastAsia="Times New Roman" w:cs="Times New Roman"/>
          <w:szCs w:val="24"/>
          <w:lang w:eastAsia="es-ES"/>
        </w:rPr>
        <w:tab/>
        <w:t>Gastos</w:t>
      </w:r>
    </w:p>
    <w:p w14:paraId="52980D1D"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 xml:space="preserve">Clase: </w:t>
      </w:r>
      <w:r>
        <w:rPr>
          <w:rFonts w:eastAsia="Times New Roman" w:cs="Times New Roman"/>
          <w:szCs w:val="24"/>
          <w:lang w:eastAsia="es-ES"/>
        </w:rPr>
        <w:tab/>
      </w:r>
      <w:proofErr w:type="gramStart"/>
      <w:r>
        <w:rPr>
          <w:rFonts w:eastAsia="Times New Roman" w:cs="Times New Roman"/>
          <w:szCs w:val="24"/>
          <w:lang w:eastAsia="es-ES"/>
        </w:rPr>
        <w:t xml:space="preserve">5  </w:t>
      </w:r>
      <w:r>
        <w:rPr>
          <w:rFonts w:eastAsia="Times New Roman" w:cs="Times New Roman"/>
          <w:szCs w:val="24"/>
          <w:lang w:eastAsia="es-ES"/>
        </w:rPr>
        <w:tab/>
      </w:r>
      <w:proofErr w:type="gramEnd"/>
      <w:r>
        <w:rPr>
          <w:rFonts w:eastAsia="Times New Roman" w:cs="Times New Roman"/>
          <w:szCs w:val="24"/>
          <w:lang w:eastAsia="es-ES"/>
        </w:rPr>
        <w:t>Ingresos</w:t>
      </w:r>
    </w:p>
    <w:p w14:paraId="52980D1E"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 xml:space="preserve">Clase: </w:t>
      </w:r>
      <w:r>
        <w:rPr>
          <w:rFonts w:eastAsia="Times New Roman" w:cs="Times New Roman"/>
          <w:szCs w:val="24"/>
          <w:lang w:eastAsia="es-ES"/>
        </w:rPr>
        <w:tab/>
      </w:r>
      <w:proofErr w:type="gramStart"/>
      <w:r>
        <w:rPr>
          <w:rFonts w:eastAsia="Times New Roman" w:cs="Times New Roman"/>
          <w:szCs w:val="24"/>
          <w:lang w:eastAsia="es-ES"/>
        </w:rPr>
        <w:t xml:space="preserve">6  </w:t>
      </w:r>
      <w:r>
        <w:rPr>
          <w:rFonts w:eastAsia="Times New Roman" w:cs="Times New Roman"/>
          <w:szCs w:val="24"/>
          <w:lang w:eastAsia="es-ES"/>
        </w:rPr>
        <w:tab/>
      </w:r>
      <w:proofErr w:type="gramEnd"/>
      <w:r>
        <w:rPr>
          <w:rFonts w:eastAsia="Times New Roman" w:cs="Times New Roman"/>
          <w:szCs w:val="24"/>
          <w:lang w:eastAsia="es-ES"/>
        </w:rPr>
        <w:t>Resultados</w:t>
      </w:r>
    </w:p>
    <w:p w14:paraId="52980D1F"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 xml:space="preserve">Clase: </w:t>
      </w:r>
      <w:r>
        <w:rPr>
          <w:rFonts w:eastAsia="Times New Roman" w:cs="Times New Roman"/>
          <w:szCs w:val="24"/>
          <w:lang w:eastAsia="es-ES"/>
        </w:rPr>
        <w:tab/>
      </w:r>
      <w:proofErr w:type="gramStart"/>
      <w:r>
        <w:rPr>
          <w:rFonts w:eastAsia="Times New Roman" w:cs="Times New Roman"/>
          <w:szCs w:val="24"/>
          <w:lang w:eastAsia="es-ES"/>
        </w:rPr>
        <w:t xml:space="preserve">7  </w:t>
      </w:r>
      <w:r>
        <w:rPr>
          <w:rFonts w:eastAsia="Times New Roman" w:cs="Times New Roman"/>
          <w:szCs w:val="24"/>
          <w:lang w:eastAsia="es-ES"/>
        </w:rPr>
        <w:tab/>
      </w:r>
      <w:proofErr w:type="gramEnd"/>
      <w:r>
        <w:rPr>
          <w:rFonts w:eastAsia="Times New Roman" w:cs="Times New Roman"/>
          <w:szCs w:val="24"/>
          <w:lang w:eastAsia="es-ES"/>
        </w:rPr>
        <w:t>Cuentas de Valuación</w:t>
      </w:r>
    </w:p>
    <w:p w14:paraId="52980D20"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 xml:space="preserve">Clase: </w:t>
      </w:r>
      <w:r>
        <w:rPr>
          <w:rFonts w:eastAsia="Times New Roman" w:cs="Times New Roman"/>
          <w:szCs w:val="24"/>
          <w:lang w:eastAsia="es-ES"/>
        </w:rPr>
        <w:tab/>
        <w:t xml:space="preserve">8 </w:t>
      </w:r>
      <w:r>
        <w:rPr>
          <w:rFonts w:eastAsia="Times New Roman" w:cs="Times New Roman"/>
          <w:szCs w:val="24"/>
          <w:lang w:eastAsia="es-ES"/>
        </w:rPr>
        <w:tab/>
        <w:t>Cuentas de Orden</w:t>
      </w:r>
    </w:p>
    <w:p w14:paraId="52980D21"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 xml:space="preserve">Clase: </w:t>
      </w:r>
      <w:r>
        <w:rPr>
          <w:rFonts w:eastAsia="Times New Roman" w:cs="Times New Roman"/>
          <w:szCs w:val="24"/>
          <w:lang w:eastAsia="es-ES"/>
        </w:rPr>
        <w:tab/>
        <w:t>9</w:t>
      </w:r>
      <w:r>
        <w:rPr>
          <w:rFonts w:eastAsia="Times New Roman" w:cs="Times New Roman"/>
          <w:szCs w:val="24"/>
          <w:lang w:eastAsia="es-ES"/>
        </w:rPr>
        <w:tab/>
        <w:t>Cuentas de Costos</w:t>
      </w:r>
    </w:p>
    <w:p w14:paraId="52980D22" w14:textId="77777777" w:rsidR="008748C1" w:rsidRDefault="008748C1">
      <w:pPr>
        <w:spacing w:after="0" w:line="240" w:lineRule="auto"/>
        <w:rPr>
          <w:rFonts w:eastAsia="Times New Roman" w:cs="Times New Roman"/>
          <w:szCs w:val="24"/>
          <w:lang w:eastAsia="es-ES"/>
        </w:rPr>
      </w:pPr>
    </w:p>
    <w:p w14:paraId="52980D23" w14:textId="77777777" w:rsidR="008748C1" w:rsidRDefault="00000000">
      <w:pPr>
        <w:numPr>
          <w:ilvl w:val="0"/>
          <w:numId w:val="6"/>
        </w:numPr>
        <w:spacing w:after="0" w:line="240" w:lineRule="auto"/>
        <w:ind w:left="709" w:hanging="283"/>
        <w:jc w:val="both"/>
        <w:rPr>
          <w:rFonts w:eastAsia="Times New Roman" w:cs="Times New Roman"/>
          <w:szCs w:val="24"/>
          <w:lang w:eastAsia="es-ES"/>
        </w:rPr>
      </w:pPr>
      <w:r>
        <w:rPr>
          <w:rFonts w:eastAsia="Times New Roman" w:cs="Times New Roman"/>
          <w:szCs w:val="24"/>
          <w:lang w:eastAsia="es-ES"/>
        </w:rPr>
        <w:t xml:space="preserve">La codificación y denominación de las clases, rubros, cuentas, subcuentas, </w:t>
      </w:r>
      <w:proofErr w:type="gramStart"/>
      <w:r>
        <w:rPr>
          <w:rFonts w:eastAsia="Times New Roman" w:cs="Times New Roman"/>
          <w:szCs w:val="24"/>
          <w:lang w:eastAsia="es-ES"/>
        </w:rPr>
        <w:t>cuentas analíticas y subcuentas analíticas</w:t>
      </w:r>
      <w:proofErr w:type="gramEnd"/>
      <w:r>
        <w:rPr>
          <w:rFonts w:eastAsia="Times New Roman" w:cs="Times New Roman"/>
          <w:szCs w:val="24"/>
          <w:lang w:eastAsia="es-ES"/>
        </w:rPr>
        <w:t xml:space="preserve"> previstas en el Catálogo de Cuentas del presente Manual han sido estructuradas sobre las clases definidas en el presente Manual que contempla los siguientes niveles:</w:t>
      </w:r>
    </w:p>
    <w:p w14:paraId="52980D24" w14:textId="77777777" w:rsidR="008748C1" w:rsidRDefault="008748C1">
      <w:pPr>
        <w:spacing w:after="0" w:line="240" w:lineRule="auto"/>
        <w:rPr>
          <w:rFonts w:eastAsia="Times New Roman" w:cs="Times New Roman"/>
          <w:szCs w:val="24"/>
          <w:lang w:eastAsia="es-ES"/>
        </w:rPr>
      </w:pPr>
    </w:p>
    <w:p w14:paraId="52980D25"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Clase</w:t>
      </w:r>
      <w:r>
        <w:rPr>
          <w:rFonts w:eastAsia="Times New Roman" w:cs="Times New Roman"/>
          <w:szCs w:val="24"/>
          <w:lang w:eastAsia="es-ES"/>
        </w:rPr>
        <w:tab/>
      </w:r>
      <w:r>
        <w:rPr>
          <w:rFonts w:eastAsia="Times New Roman" w:cs="Times New Roman"/>
          <w:szCs w:val="24"/>
          <w:lang w:eastAsia="es-ES"/>
        </w:rPr>
        <w:tab/>
      </w:r>
      <w:r>
        <w:rPr>
          <w:rFonts w:eastAsia="Times New Roman" w:cs="Times New Roman"/>
          <w:szCs w:val="24"/>
          <w:lang w:eastAsia="es-ES"/>
        </w:rPr>
        <w:tab/>
      </w:r>
      <w:r>
        <w:rPr>
          <w:rFonts w:eastAsia="Times New Roman" w:cs="Times New Roman"/>
          <w:szCs w:val="24"/>
          <w:lang w:eastAsia="es-ES"/>
        </w:rPr>
        <w:tab/>
        <w:t>:</w:t>
      </w:r>
      <w:r>
        <w:rPr>
          <w:rFonts w:eastAsia="Times New Roman" w:cs="Times New Roman"/>
          <w:szCs w:val="24"/>
          <w:lang w:eastAsia="es-ES"/>
        </w:rPr>
        <w:tab/>
        <w:t>Se identifica con el primer dígito.</w:t>
      </w:r>
    </w:p>
    <w:p w14:paraId="52980D26"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Rubro</w:t>
      </w:r>
      <w:r>
        <w:rPr>
          <w:rFonts w:eastAsia="Times New Roman" w:cs="Times New Roman"/>
          <w:szCs w:val="24"/>
          <w:lang w:eastAsia="es-ES"/>
        </w:rPr>
        <w:tab/>
      </w:r>
      <w:r>
        <w:rPr>
          <w:rFonts w:eastAsia="Times New Roman" w:cs="Times New Roman"/>
          <w:szCs w:val="24"/>
          <w:lang w:eastAsia="es-ES"/>
        </w:rPr>
        <w:tab/>
      </w:r>
      <w:r>
        <w:rPr>
          <w:rFonts w:eastAsia="Times New Roman" w:cs="Times New Roman"/>
          <w:szCs w:val="24"/>
          <w:lang w:eastAsia="es-ES"/>
        </w:rPr>
        <w:tab/>
      </w:r>
      <w:r>
        <w:rPr>
          <w:rFonts w:eastAsia="Times New Roman" w:cs="Times New Roman"/>
          <w:szCs w:val="24"/>
          <w:lang w:eastAsia="es-ES"/>
        </w:rPr>
        <w:tab/>
        <w:t>:</w:t>
      </w:r>
      <w:r>
        <w:rPr>
          <w:rFonts w:eastAsia="Times New Roman" w:cs="Times New Roman"/>
          <w:szCs w:val="24"/>
          <w:lang w:eastAsia="es-ES"/>
        </w:rPr>
        <w:tab/>
        <w:t>Se identifica con los cuatro primeros dígitos.</w:t>
      </w:r>
    </w:p>
    <w:p w14:paraId="52980D27"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Cuenta</w:t>
      </w:r>
      <w:r>
        <w:rPr>
          <w:rFonts w:eastAsia="Times New Roman" w:cs="Times New Roman"/>
          <w:szCs w:val="24"/>
          <w:lang w:eastAsia="es-ES"/>
        </w:rPr>
        <w:tab/>
      </w:r>
      <w:r>
        <w:rPr>
          <w:rFonts w:eastAsia="Times New Roman" w:cs="Times New Roman"/>
          <w:szCs w:val="24"/>
          <w:lang w:eastAsia="es-ES"/>
        </w:rPr>
        <w:tab/>
      </w:r>
      <w:r>
        <w:rPr>
          <w:rFonts w:eastAsia="Times New Roman" w:cs="Times New Roman"/>
          <w:szCs w:val="24"/>
          <w:lang w:eastAsia="es-ES"/>
        </w:rPr>
        <w:tab/>
      </w:r>
      <w:r>
        <w:rPr>
          <w:rFonts w:eastAsia="Times New Roman" w:cs="Times New Roman"/>
          <w:szCs w:val="24"/>
          <w:lang w:eastAsia="es-ES"/>
        </w:rPr>
        <w:tab/>
        <w:t>:</w:t>
      </w:r>
      <w:r>
        <w:rPr>
          <w:rFonts w:eastAsia="Times New Roman" w:cs="Times New Roman"/>
          <w:szCs w:val="24"/>
          <w:lang w:eastAsia="es-ES"/>
        </w:rPr>
        <w:tab/>
        <w:t>Se identifica con los cinco primeros dígitos.</w:t>
      </w:r>
    </w:p>
    <w:p w14:paraId="52980D28"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Subcuenta</w:t>
      </w:r>
      <w:r>
        <w:rPr>
          <w:rFonts w:eastAsia="Times New Roman" w:cs="Times New Roman"/>
          <w:szCs w:val="24"/>
          <w:lang w:eastAsia="es-ES"/>
        </w:rPr>
        <w:tab/>
      </w:r>
      <w:r>
        <w:rPr>
          <w:rFonts w:eastAsia="Times New Roman" w:cs="Times New Roman"/>
          <w:szCs w:val="24"/>
          <w:lang w:eastAsia="es-ES"/>
        </w:rPr>
        <w:tab/>
      </w:r>
      <w:r>
        <w:rPr>
          <w:rFonts w:eastAsia="Times New Roman" w:cs="Times New Roman"/>
          <w:szCs w:val="24"/>
          <w:lang w:eastAsia="es-ES"/>
        </w:rPr>
        <w:tab/>
        <w:t>:</w:t>
      </w:r>
      <w:r>
        <w:rPr>
          <w:rFonts w:eastAsia="Times New Roman" w:cs="Times New Roman"/>
          <w:szCs w:val="24"/>
          <w:lang w:eastAsia="es-ES"/>
        </w:rPr>
        <w:tab/>
        <w:t>Se identifica con los seis primeros dígitos.</w:t>
      </w:r>
    </w:p>
    <w:p w14:paraId="52980D29"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Cuenta analítica</w:t>
      </w:r>
      <w:r>
        <w:rPr>
          <w:rFonts w:eastAsia="Times New Roman" w:cs="Times New Roman"/>
          <w:szCs w:val="24"/>
          <w:lang w:eastAsia="es-ES"/>
        </w:rPr>
        <w:tab/>
      </w:r>
      <w:r>
        <w:rPr>
          <w:rFonts w:eastAsia="Times New Roman" w:cs="Times New Roman"/>
          <w:szCs w:val="24"/>
          <w:lang w:eastAsia="es-ES"/>
        </w:rPr>
        <w:tab/>
      </w:r>
      <w:r>
        <w:rPr>
          <w:rFonts w:eastAsia="Times New Roman" w:cs="Times New Roman"/>
          <w:szCs w:val="24"/>
          <w:lang w:eastAsia="es-ES"/>
        </w:rPr>
        <w:tab/>
        <w:t>:</w:t>
      </w:r>
      <w:r>
        <w:rPr>
          <w:rFonts w:eastAsia="Times New Roman" w:cs="Times New Roman"/>
          <w:szCs w:val="24"/>
          <w:lang w:eastAsia="es-ES"/>
        </w:rPr>
        <w:tab/>
        <w:t>Se identifica con los siete primeros dígitos.</w:t>
      </w:r>
    </w:p>
    <w:p w14:paraId="52980D2A" w14:textId="77777777" w:rsidR="008748C1" w:rsidRDefault="00000000">
      <w:pPr>
        <w:spacing w:after="0" w:line="240" w:lineRule="auto"/>
        <w:ind w:left="709"/>
        <w:rPr>
          <w:rFonts w:eastAsia="Times New Roman" w:cs="Times New Roman"/>
          <w:szCs w:val="24"/>
          <w:lang w:eastAsia="es-ES"/>
        </w:rPr>
      </w:pPr>
      <w:r>
        <w:rPr>
          <w:rFonts w:eastAsia="Times New Roman" w:cs="Times New Roman"/>
          <w:szCs w:val="24"/>
          <w:lang w:eastAsia="es-ES"/>
        </w:rPr>
        <w:t>Subcuenta analítica</w:t>
      </w:r>
      <w:r>
        <w:rPr>
          <w:rFonts w:eastAsia="Times New Roman" w:cs="Times New Roman"/>
          <w:szCs w:val="24"/>
          <w:lang w:eastAsia="es-ES"/>
        </w:rPr>
        <w:tab/>
      </w:r>
      <w:r>
        <w:rPr>
          <w:rFonts w:eastAsia="Times New Roman" w:cs="Times New Roman"/>
          <w:szCs w:val="24"/>
          <w:lang w:eastAsia="es-ES"/>
        </w:rPr>
        <w:tab/>
        <w:t>:</w:t>
      </w:r>
      <w:r>
        <w:rPr>
          <w:rFonts w:eastAsia="Times New Roman" w:cs="Times New Roman"/>
          <w:szCs w:val="24"/>
          <w:lang w:eastAsia="es-ES"/>
        </w:rPr>
        <w:tab/>
        <w:t>Se identifica con los ocho primeros dígitos.</w:t>
      </w:r>
    </w:p>
    <w:p w14:paraId="52980D2B" w14:textId="77777777" w:rsidR="008748C1" w:rsidRDefault="00000000">
      <w:pPr>
        <w:spacing w:after="0" w:line="240" w:lineRule="auto"/>
        <w:ind w:left="709"/>
        <w:rPr>
          <w:rFonts w:eastAsia="Times New Roman" w:cs="Times New Roman"/>
          <w:szCs w:val="24"/>
          <w:lang w:eastAsia="es-ES"/>
        </w:rPr>
      </w:pPr>
      <w:proofErr w:type="spellStart"/>
      <w:r>
        <w:rPr>
          <w:rFonts w:eastAsia="Times New Roman" w:cs="Times New Roman"/>
          <w:szCs w:val="24"/>
          <w:lang w:eastAsia="es-ES"/>
        </w:rPr>
        <w:t>Subsubcuenta</w:t>
      </w:r>
      <w:proofErr w:type="spellEnd"/>
      <w:r>
        <w:rPr>
          <w:rFonts w:eastAsia="Times New Roman" w:cs="Times New Roman"/>
          <w:szCs w:val="24"/>
          <w:lang w:eastAsia="es-ES"/>
        </w:rPr>
        <w:t xml:space="preserve"> analítica</w:t>
      </w:r>
      <w:r>
        <w:rPr>
          <w:rFonts w:eastAsia="Times New Roman" w:cs="Times New Roman"/>
          <w:szCs w:val="24"/>
          <w:lang w:eastAsia="es-ES"/>
        </w:rPr>
        <w:tab/>
      </w:r>
      <w:r>
        <w:rPr>
          <w:rFonts w:eastAsia="Times New Roman" w:cs="Times New Roman"/>
          <w:szCs w:val="24"/>
          <w:lang w:eastAsia="es-ES"/>
        </w:rPr>
        <w:tab/>
        <w:t>:</w:t>
      </w:r>
      <w:r>
        <w:rPr>
          <w:rFonts w:eastAsia="Times New Roman" w:cs="Times New Roman"/>
          <w:szCs w:val="24"/>
          <w:lang w:eastAsia="es-ES"/>
        </w:rPr>
        <w:tab/>
        <w:t>Se identifica con los nueve primeros dígitos.</w:t>
      </w:r>
    </w:p>
    <w:p w14:paraId="52980D2C" w14:textId="77777777" w:rsidR="008748C1" w:rsidRDefault="00000000">
      <w:pPr>
        <w:spacing w:after="0" w:line="240" w:lineRule="auto"/>
        <w:ind w:left="709"/>
        <w:rPr>
          <w:rFonts w:eastAsia="Times New Roman" w:cs="Times New Roman"/>
          <w:szCs w:val="24"/>
          <w:lang w:eastAsia="es-ES"/>
        </w:rPr>
      </w:pPr>
      <w:proofErr w:type="spellStart"/>
      <w:r>
        <w:rPr>
          <w:rFonts w:eastAsia="Times New Roman" w:cs="Times New Roman"/>
          <w:szCs w:val="24"/>
          <w:lang w:eastAsia="es-ES"/>
        </w:rPr>
        <w:t>Subsubsubcuenta</w:t>
      </w:r>
      <w:proofErr w:type="spellEnd"/>
      <w:r>
        <w:rPr>
          <w:rFonts w:eastAsia="Times New Roman" w:cs="Times New Roman"/>
          <w:szCs w:val="24"/>
          <w:lang w:eastAsia="es-ES"/>
        </w:rPr>
        <w:t xml:space="preserve"> analítica</w:t>
      </w:r>
      <w:r>
        <w:rPr>
          <w:rFonts w:eastAsia="Times New Roman" w:cs="Times New Roman"/>
          <w:szCs w:val="24"/>
          <w:lang w:eastAsia="es-ES"/>
        </w:rPr>
        <w:tab/>
        <w:t>:</w:t>
      </w:r>
      <w:r>
        <w:rPr>
          <w:rFonts w:eastAsia="Times New Roman" w:cs="Times New Roman"/>
          <w:szCs w:val="24"/>
          <w:lang w:eastAsia="es-ES"/>
        </w:rPr>
        <w:tab/>
        <w:t>Se identifica con los diez primeros dígitos.</w:t>
      </w:r>
    </w:p>
    <w:p w14:paraId="52980D2D" w14:textId="77777777" w:rsidR="008748C1" w:rsidRDefault="008748C1">
      <w:pPr>
        <w:spacing w:after="0" w:line="240" w:lineRule="auto"/>
        <w:ind w:left="396"/>
        <w:jc w:val="both"/>
        <w:rPr>
          <w:rFonts w:ascii="Arial" w:eastAsia="Times New Roman" w:hAnsi="Arial" w:cs="Times New Roman"/>
          <w:sz w:val="20"/>
          <w:szCs w:val="24"/>
          <w:lang w:eastAsia="es-ES"/>
        </w:rPr>
      </w:pPr>
    </w:p>
    <w:p w14:paraId="52980D2E" w14:textId="77777777" w:rsidR="008748C1" w:rsidRDefault="00000000">
      <w:pPr>
        <w:spacing w:after="0" w:line="240" w:lineRule="auto"/>
        <w:ind w:left="396" w:firstLine="312"/>
        <w:jc w:val="both"/>
        <w:rPr>
          <w:rFonts w:eastAsia="Times New Roman" w:cs="Times New Roman"/>
          <w:szCs w:val="28"/>
          <w:lang w:eastAsia="es-ES"/>
        </w:rPr>
      </w:pPr>
      <w:r>
        <w:rPr>
          <w:rFonts w:eastAsia="Times New Roman" w:cs="Times New Roman"/>
          <w:szCs w:val="28"/>
          <w:lang w:eastAsia="es-ES"/>
        </w:rPr>
        <w:t xml:space="preserve">Ejemplo: </w:t>
      </w:r>
      <w:r>
        <w:rPr>
          <w:rFonts w:eastAsia="Times New Roman" w:cs="Times New Roman"/>
          <w:szCs w:val="28"/>
          <w:lang w:eastAsia="es-ES"/>
        </w:rPr>
        <w:tab/>
      </w:r>
    </w:p>
    <w:p w14:paraId="52980D2F" w14:textId="77777777" w:rsidR="008748C1" w:rsidRDefault="00000000">
      <w:pPr>
        <w:spacing w:after="0" w:line="240" w:lineRule="auto"/>
        <w:ind w:left="396" w:firstLine="312"/>
        <w:jc w:val="both"/>
        <w:rPr>
          <w:rFonts w:eastAsia="Times New Roman" w:cs="Times New Roman"/>
          <w:szCs w:val="28"/>
          <w:lang w:eastAsia="es-ES"/>
        </w:rPr>
      </w:pPr>
      <w:r>
        <w:rPr>
          <w:rFonts w:eastAsia="Times New Roman" w:cs="Times New Roman"/>
          <w:szCs w:val="28"/>
          <w:lang w:eastAsia="es-ES"/>
        </w:rPr>
        <w:tab/>
      </w:r>
      <w:r>
        <w:rPr>
          <w:rFonts w:eastAsia="Times New Roman" w:cs="Times New Roman"/>
          <w:szCs w:val="28"/>
          <w:lang w:eastAsia="es-ES"/>
        </w:rPr>
        <w:tab/>
      </w:r>
    </w:p>
    <w:p w14:paraId="52980D30"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1</w:t>
      </w:r>
      <w:r>
        <w:rPr>
          <w:rFonts w:eastAsia="Times New Roman" w:cs="Times New Roman"/>
          <w:szCs w:val="28"/>
          <w:lang w:eastAsia="es-ES"/>
        </w:rPr>
        <w:tab/>
      </w:r>
      <w:proofErr w:type="gramStart"/>
      <w:r>
        <w:rPr>
          <w:rFonts w:eastAsia="Times New Roman" w:cs="Times New Roman"/>
          <w:szCs w:val="28"/>
          <w:lang w:eastAsia="es-ES"/>
        </w:rPr>
        <w:t>Activos</w:t>
      </w:r>
      <w:proofErr w:type="gramEnd"/>
    </w:p>
    <w:p w14:paraId="52980D31"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1030</w:t>
      </w:r>
      <w:r>
        <w:rPr>
          <w:rFonts w:eastAsia="Times New Roman" w:cs="Times New Roman"/>
          <w:szCs w:val="28"/>
          <w:lang w:eastAsia="es-ES"/>
        </w:rPr>
        <w:tab/>
      </w:r>
      <w:proofErr w:type="gramStart"/>
      <w:r>
        <w:rPr>
          <w:rFonts w:eastAsia="Times New Roman" w:cs="Times New Roman"/>
          <w:szCs w:val="28"/>
          <w:lang w:eastAsia="es-ES"/>
        </w:rPr>
        <w:t>Fondo</w:t>
      </w:r>
      <w:proofErr w:type="gramEnd"/>
      <w:r>
        <w:rPr>
          <w:rFonts w:eastAsia="Times New Roman" w:cs="Times New Roman"/>
          <w:szCs w:val="28"/>
          <w:lang w:eastAsia="es-ES"/>
        </w:rPr>
        <w:t xml:space="preserve"> Complementario</w:t>
      </w:r>
    </w:p>
    <w:p w14:paraId="52980D32"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10305</w:t>
      </w:r>
      <w:r>
        <w:rPr>
          <w:rFonts w:eastAsia="Times New Roman" w:cs="Times New Roman"/>
          <w:szCs w:val="28"/>
          <w:lang w:eastAsia="es-ES"/>
        </w:rPr>
        <w:tab/>
        <w:t>F.C. - Inversiones</w:t>
      </w:r>
    </w:p>
    <w:p w14:paraId="52980D33"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103056</w:t>
      </w:r>
      <w:r>
        <w:rPr>
          <w:rFonts w:eastAsia="Times New Roman" w:cs="Times New Roman"/>
          <w:szCs w:val="28"/>
          <w:lang w:eastAsia="es-ES"/>
        </w:rPr>
        <w:tab/>
      </w:r>
      <w:proofErr w:type="gramStart"/>
      <w:r>
        <w:rPr>
          <w:rFonts w:eastAsia="Times New Roman" w:cs="Times New Roman"/>
          <w:szCs w:val="28"/>
          <w:lang w:eastAsia="es-ES"/>
        </w:rPr>
        <w:t>Valores</w:t>
      </w:r>
      <w:proofErr w:type="gramEnd"/>
      <w:r>
        <w:rPr>
          <w:rFonts w:eastAsia="Times New Roman" w:cs="Times New Roman"/>
          <w:szCs w:val="28"/>
          <w:lang w:eastAsia="es-ES"/>
        </w:rPr>
        <w:t xml:space="preserve"> emitidos por instituciones extranjeras</w:t>
      </w:r>
    </w:p>
    <w:p w14:paraId="52980D34" w14:textId="77777777" w:rsidR="008748C1" w:rsidRDefault="00000000">
      <w:pPr>
        <w:spacing w:after="0" w:line="240" w:lineRule="auto"/>
        <w:ind w:left="2127" w:hanging="1419"/>
        <w:jc w:val="both"/>
        <w:rPr>
          <w:rFonts w:eastAsia="Times New Roman" w:cs="Times New Roman"/>
          <w:strike/>
          <w:szCs w:val="28"/>
          <w:lang w:eastAsia="es-ES"/>
        </w:rPr>
      </w:pPr>
      <w:r>
        <w:rPr>
          <w:rFonts w:eastAsia="Times New Roman" w:cs="Times New Roman"/>
          <w:szCs w:val="28"/>
          <w:lang w:eastAsia="es-ES"/>
        </w:rPr>
        <w:t>1030562</w:t>
      </w:r>
      <w:r>
        <w:rPr>
          <w:rFonts w:eastAsia="Times New Roman" w:cs="Times New Roman"/>
          <w:szCs w:val="28"/>
          <w:lang w:eastAsia="es-ES"/>
        </w:rPr>
        <w:tab/>
      </w:r>
      <w:proofErr w:type="gramStart"/>
      <w:r>
        <w:rPr>
          <w:rFonts w:eastAsia="Times New Roman" w:cs="Times New Roman"/>
          <w:szCs w:val="28"/>
          <w:lang w:eastAsia="es-ES"/>
        </w:rPr>
        <w:t>Otras</w:t>
      </w:r>
      <w:proofErr w:type="gramEnd"/>
      <w:r>
        <w:rPr>
          <w:rFonts w:eastAsia="Times New Roman" w:cs="Times New Roman"/>
          <w:szCs w:val="28"/>
          <w:lang w:eastAsia="es-ES"/>
        </w:rPr>
        <w:t xml:space="preserve"> empresas</w:t>
      </w:r>
    </w:p>
    <w:p w14:paraId="52980D35"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10305624</w:t>
      </w:r>
      <w:r>
        <w:rPr>
          <w:rFonts w:eastAsia="Times New Roman" w:cs="Times New Roman"/>
          <w:szCs w:val="28"/>
          <w:lang w:eastAsia="es-ES"/>
        </w:rPr>
        <w:tab/>
      </w:r>
      <w:proofErr w:type="gramStart"/>
      <w:r>
        <w:rPr>
          <w:rFonts w:eastAsia="Times New Roman" w:cs="Times New Roman"/>
          <w:szCs w:val="28"/>
          <w:lang w:eastAsia="es-ES"/>
        </w:rPr>
        <w:t>Otros</w:t>
      </w:r>
      <w:proofErr w:type="gramEnd"/>
      <w:r>
        <w:rPr>
          <w:rFonts w:eastAsia="Times New Roman" w:cs="Times New Roman"/>
          <w:szCs w:val="28"/>
          <w:lang w:eastAsia="es-ES"/>
        </w:rPr>
        <w:t xml:space="preserve"> títulos representativos de derecho patrimonial</w:t>
      </w:r>
    </w:p>
    <w:p w14:paraId="52980D36"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103056241</w:t>
      </w:r>
      <w:r>
        <w:rPr>
          <w:rFonts w:eastAsia="Times New Roman" w:cs="Times New Roman"/>
          <w:szCs w:val="28"/>
          <w:lang w:eastAsia="es-ES"/>
        </w:rPr>
        <w:tab/>
      </w:r>
      <w:proofErr w:type="gramStart"/>
      <w:r>
        <w:rPr>
          <w:rFonts w:eastAsia="Times New Roman" w:cs="Times New Roman"/>
          <w:szCs w:val="28"/>
          <w:lang w:eastAsia="es-ES"/>
        </w:rPr>
        <w:t>Fondos</w:t>
      </w:r>
      <w:proofErr w:type="gramEnd"/>
      <w:r>
        <w:rPr>
          <w:rFonts w:eastAsia="Times New Roman" w:cs="Times New Roman"/>
          <w:szCs w:val="28"/>
          <w:lang w:eastAsia="es-ES"/>
        </w:rPr>
        <w:t xml:space="preserve"> Mutuos</w:t>
      </w:r>
    </w:p>
    <w:p w14:paraId="52980D37"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1030562411</w:t>
      </w:r>
      <w:r>
        <w:rPr>
          <w:rFonts w:eastAsia="Times New Roman" w:cs="Times New Roman"/>
          <w:szCs w:val="28"/>
          <w:lang w:eastAsia="es-ES"/>
        </w:rPr>
        <w:tab/>
      </w:r>
      <w:proofErr w:type="gramStart"/>
      <w:r>
        <w:rPr>
          <w:rFonts w:eastAsia="Times New Roman" w:cs="Times New Roman"/>
          <w:szCs w:val="28"/>
          <w:lang w:eastAsia="es-ES"/>
        </w:rPr>
        <w:t>Cuotas</w:t>
      </w:r>
      <w:proofErr w:type="gramEnd"/>
      <w:r>
        <w:rPr>
          <w:rFonts w:eastAsia="Times New Roman" w:cs="Times New Roman"/>
          <w:szCs w:val="28"/>
          <w:lang w:eastAsia="es-ES"/>
        </w:rPr>
        <w:t xml:space="preserve"> de Fondos Mutuos</w:t>
      </w:r>
    </w:p>
    <w:p w14:paraId="52980D38" w14:textId="77777777" w:rsidR="008748C1" w:rsidRDefault="008748C1">
      <w:pPr>
        <w:spacing w:after="0" w:line="240" w:lineRule="auto"/>
        <w:ind w:left="396"/>
        <w:jc w:val="both"/>
        <w:rPr>
          <w:rFonts w:ascii="Arial" w:eastAsia="Times New Roman" w:hAnsi="Arial" w:cs="Times New Roman"/>
          <w:sz w:val="20"/>
          <w:szCs w:val="24"/>
          <w:lang w:eastAsia="es-ES"/>
        </w:rPr>
      </w:pPr>
    </w:p>
    <w:p w14:paraId="52980D39" w14:textId="77777777" w:rsidR="008748C1" w:rsidRDefault="00000000">
      <w:pPr>
        <w:numPr>
          <w:ilvl w:val="0"/>
          <w:numId w:val="6"/>
        </w:numPr>
        <w:spacing w:after="0" w:line="240" w:lineRule="auto"/>
        <w:ind w:hanging="283"/>
        <w:jc w:val="both"/>
        <w:rPr>
          <w:rFonts w:eastAsia="Times New Roman" w:cs="Times New Roman"/>
          <w:szCs w:val="24"/>
          <w:lang w:eastAsia="es-ES"/>
        </w:rPr>
      </w:pPr>
      <w:r>
        <w:rPr>
          <w:rFonts w:eastAsia="Times New Roman" w:cs="Times New Roman"/>
          <w:szCs w:val="24"/>
          <w:lang w:eastAsia="es-ES"/>
        </w:rPr>
        <w:t>El sistema de codificación establecido incluye el segundo dígito para ser utilizado como integrador y para diferenciar las operaciones por monedas y reajustables, para tal efecto se deben considerar los códigos siguientes:</w:t>
      </w:r>
    </w:p>
    <w:p w14:paraId="52980D3A" w14:textId="77777777" w:rsidR="008748C1" w:rsidRDefault="008748C1">
      <w:pPr>
        <w:spacing w:after="0" w:line="240" w:lineRule="auto"/>
        <w:ind w:left="360"/>
        <w:jc w:val="both"/>
        <w:rPr>
          <w:rFonts w:ascii="Arial" w:eastAsia="Times New Roman" w:hAnsi="Arial" w:cs="Times New Roman"/>
          <w:sz w:val="20"/>
          <w:szCs w:val="24"/>
          <w:lang w:eastAsia="es-ES"/>
        </w:rPr>
      </w:pPr>
    </w:p>
    <w:p w14:paraId="52980D3B"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Cero</w:t>
      </w:r>
      <w:proofErr w:type="gramStart"/>
      <w:r>
        <w:rPr>
          <w:rFonts w:eastAsia="Times New Roman" w:cs="Times New Roman"/>
          <w:szCs w:val="28"/>
          <w:lang w:eastAsia="es-ES"/>
        </w:rPr>
        <w:t xml:space="preserve">   (</w:t>
      </w:r>
      <w:proofErr w:type="gramEnd"/>
      <w:r>
        <w:rPr>
          <w:rFonts w:eastAsia="Times New Roman" w:cs="Times New Roman"/>
          <w:szCs w:val="28"/>
          <w:lang w:eastAsia="es-ES"/>
        </w:rPr>
        <w:t xml:space="preserve"> </w:t>
      </w:r>
      <w:proofErr w:type="gramStart"/>
      <w:r>
        <w:rPr>
          <w:rFonts w:eastAsia="Times New Roman" w:cs="Times New Roman"/>
          <w:szCs w:val="28"/>
          <w:lang w:eastAsia="es-ES"/>
        </w:rPr>
        <w:t>0 )</w:t>
      </w:r>
      <w:proofErr w:type="gramEnd"/>
      <w:r>
        <w:rPr>
          <w:rFonts w:eastAsia="Times New Roman" w:cs="Times New Roman"/>
          <w:szCs w:val="28"/>
          <w:lang w:eastAsia="es-ES"/>
        </w:rPr>
        <w:t xml:space="preserve"> :</w:t>
      </w:r>
      <w:r>
        <w:rPr>
          <w:rFonts w:eastAsia="Times New Roman" w:cs="Times New Roman"/>
          <w:szCs w:val="28"/>
          <w:lang w:eastAsia="es-ES"/>
        </w:rPr>
        <w:tab/>
        <w:t xml:space="preserve">Integrador, comprende los saldos totales de las </w:t>
      </w:r>
      <w:proofErr w:type="spellStart"/>
      <w:r>
        <w:rPr>
          <w:rFonts w:eastAsia="Times New Roman" w:cs="Times New Roman"/>
          <w:szCs w:val="28"/>
          <w:lang w:eastAsia="es-ES"/>
        </w:rPr>
        <w:t>subdivisionarias</w:t>
      </w:r>
      <w:proofErr w:type="spellEnd"/>
      <w:r>
        <w:rPr>
          <w:rFonts w:eastAsia="Times New Roman" w:cs="Times New Roman"/>
          <w:szCs w:val="28"/>
          <w:lang w:eastAsia="es-ES"/>
        </w:rPr>
        <w:t xml:space="preserve"> en moneda nacional, moneda extranjera y reajustables.</w:t>
      </w:r>
    </w:p>
    <w:p w14:paraId="52980D3C"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 xml:space="preserve">Uno </w:t>
      </w:r>
      <w:proofErr w:type="gramStart"/>
      <w:r>
        <w:rPr>
          <w:rFonts w:eastAsia="Times New Roman" w:cs="Times New Roman"/>
          <w:szCs w:val="28"/>
          <w:lang w:eastAsia="es-ES"/>
        </w:rPr>
        <w:t xml:space="preserve">   (</w:t>
      </w:r>
      <w:proofErr w:type="gramEnd"/>
      <w:r>
        <w:rPr>
          <w:rFonts w:eastAsia="Times New Roman" w:cs="Times New Roman"/>
          <w:szCs w:val="28"/>
          <w:lang w:eastAsia="es-ES"/>
        </w:rPr>
        <w:t xml:space="preserve"> </w:t>
      </w:r>
      <w:proofErr w:type="gramStart"/>
      <w:r>
        <w:rPr>
          <w:rFonts w:eastAsia="Times New Roman" w:cs="Times New Roman"/>
          <w:szCs w:val="28"/>
          <w:lang w:eastAsia="es-ES"/>
        </w:rPr>
        <w:t>1 )</w:t>
      </w:r>
      <w:proofErr w:type="gramEnd"/>
      <w:r>
        <w:rPr>
          <w:rFonts w:eastAsia="Times New Roman" w:cs="Times New Roman"/>
          <w:szCs w:val="28"/>
          <w:lang w:eastAsia="es-ES"/>
        </w:rPr>
        <w:t xml:space="preserve"> :</w:t>
      </w:r>
      <w:r>
        <w:rPr>
          <w:rFonts w:eastAsia="Times New Roman" w:cs="Times New Roman"/>
          <w:szCs w:val="28"/>
          <w:lang w:eastAsia="es-ES"/>
        </w:rPr>
        <w:tab/>
        <w:t>Para las operaciones en moneda nacional.</w:t>
      </w:r>
    </w:p>
    <w:p w14:paraId="52980D3D"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 xml:space="preserve">Dos </w:t>
      </w:r>
      <w:proofErr w:type="gramStart"/>
      <w:r>
        <w:rPr>
          <w:rFonts w:eastAsia="Times New Roman" w:cs="Times New Roman"/>
          <w:szCs w:val="28"/>
          <w:lang w:eastAsia="es-ES"/>
        </w:rPr>
        <w:t xml:space="preserve">   (</w:t>
      </w:r>
      <w:proofErr w:type="gramEnd"/>
      <w:r>
        <w:rPr>
          <w:rFonts w:eastAsia="Times New Roman" w:cs="Times New Roman"/>
          <w:szCs w:val="28"/>
          <w:lang w:eastAsia="es-ES"/>
        </w:rPr>
        <w:t xml:space="preserve"> </w:t>
      </w:r>
      <w:proofErr w:type="gramStart"/>
      <w:r>
        <w:rPr>
          <w:rFonts w:eastAsia="Times New Roman" w:cs="Times New Roman"/>
          <w:szCs w:val="28"/>
          <w:lang w:eastAsia="es-ES"/>
        </w:rPr>
        <w:t>2 )</w:t>
      </w:r>
      <w:proofErr w:type="gramEnd"/>
      <w:r>
        <w:rPr>
          <w:rFonts w:eastAsia="Times New Roman" w:cs="Times New Roman"/>
          <w:szCs w:val="28"/>
          <w:lang w:eastAsia="es-ES"/>
        </w:rPr>
        <w:t xml:space="preserve"> :</w:t>
      </w:r>
      <w:r>
        <w:rPr>
          <w:rFonts w:eastAsia="Times New Roman" w:cs="Times New Roman"/>
          <w:szCs w:val="28"/>
          <w:lang w:eastAsia="es-ES"/>
        </w:rPr>
        <w:tab/>
        <w:t>Para las operaciones en moneda extranjera, también incluye las operaciones en moneda nacional indexadas al tipo de cambio.</w:t>
      </w:r>
    </w:p>
    <w:p w14:paraId="52980D3E" w14:textId="77777777" w:rsidR="008748C1" w:rsidRDefault="00000000">
      <w:pPr>
        <w:spacing w:after="0" w:line="240" w:lineRule="auto"/>
        <w:ind w:left="2127" w:hanging="1419"/>
        <w:jc w:val="both"/>
        <w:rPr>
          <w:rFonts w:eastAsia="Times New Roman" w:cs="Times New Roman"/>
          <w:szCs w:val="28"/>
          <w:lang w:eastAsia="es-ES"/>
        </w:rPr>
      </w:pPr>
      <w:r>
        <w:rPr>
          <w:rFonts w:eastAsia="Times New Roman" w:cs="Times New Roman"/>
          <w:szCs w:val="28"/>
          <w:lang w:eastAsia="es-ES"/>
        </w:rPr>
        <w:t>Tres</w:t>
      </w:r>
      <w:proofErr w:type="gramStart"/>
      <w:r>
        <w:rPr>
          <w:rFonts w:eastAsia="Times New Roman" w:cs="Times New Roman"/>
          <w:szCs w:val="28"/>
          <w:lang w:eastAsia="es-ES"/>
        </w:rPr>
        <w:t xml:space="preserve">   (</w:t>
      </w:r>
      <w:proofErr w:type="gramEnd"/>
      <w:r>
        <w:rPr>
          <w:rFonts w:eastAsia="Times New Roman" w:cs="Times New Roman"/>
          <w:szCs w:val="28"/>
          <w:lang w:eastAsia="es-ES"/>
        </w:rPr>
        <w:t xml:space="preserve"> </w:t>
      </w:r>
      <w:proofErr w:type="gramStart"/>
      <w:r>
        <w:rPr>
          <w:rFonts w:eastAsia="Times New Roman" w:cs="Times New Roman"/>
          <w:szCs w:val="28"/>
          <w:lang w:eastAsia="es-ES"/>
        </w:rPr>
        <w:t>3 )</w:t>
      </w:r>
      <w:proofErr w:type="gramEnd"/>
      <w:r>
        <w:rPr>
          <w:rFonts w:eastAsia="Times New Roman" w:cs="Times New Roman"/>
          <w:szCs w:val="28"/>
          <w:lang w:eastAsia="es-ES"/>
        </w:rPr>
        <w:t xml:space="preserve"> :</w:t>
      </w:r>
      <w:r>
        <w:rPr>
          <w:rFonts w:eastAsia="Times New Roman" w:cs="Times New Roman"/>
          <w:szCs w:val="28"/>
          <w:lang w:eastAsia="es-ES"/>
        </w:rPr>
        <w:tab/>
        <w:t>Para las operaciones reajustables con valor de actualización constante (VAC).</w:t>
      </w:r>
    </w:p>
    <w:p w14:paraId="52980D3F" w14:textId="77777777" w:rsidR="008748C1" w:rsidRDefault="008748C1">
      <w:pPr>
        <w:spacing w:after="0" w:line="240" w:lineRule="auto"/>
        <w:jc w:val="both"/>
        <w:rPr>
          <w:rFonts w:eastAsia="Times New Roman" w:cs="Times New Roman"/>
          <w:szCs w:val="28"/>
          <w:lang w:eastAsia="es-ES"/>
        </w:rPr>
      </w:pPr>
    </w:p>
    <w:p w14:paraId="52980D40" w14:textId="77777777" w:rsidR="008748C1" w:rsidRDefault="00000000">
      <w:pPr>
        <w:numPr>
          <w:ilvl w:val="0"/>
          <w:numId w:val="6"/>
        </w:numPr>
        <w:spacing w:after="0" w:line="240" w:lineRule="auto"/>
        <w:ind w:hanging="283"/>
        <w:jc w:val="both"/>
        <w:rPr>
          <w:rFonts w:eastAsia="Times New Roman" w:cs="Times New Roman"/>
          <w:szCs w:val="24"/>
          <w:lang w:eastAsia="es-ES"/>
        </w:rPr>
      </w:pPr>
      <w:r>
        <w:rPr>
          <w:rFonts w:eastAsia="Times New Roman" w:cs="Times New Roman"/>
          <w:szCs w:val="24"/>
          <w:lang w:eastAsia="es-ES"/>
        </w:rPr>
        <w:t xml:space="preserve">Las AFP podrán abrir nuevos códigos sin la autorización previa de esta Superintendencia, siempre y cuando no exista abierto el nivel de detalle que la AFP requiera, con la finalidad de perfeccionar sus controles contables. Sin embargo, queda establecido que la remisión electrónica de datos a esta Superintendencia debe efectuarse única y exclusivamente dentro de los niveles predeterminados en el Catálogo de Cuentas. Si la Superintendencia, posteriormente requiera crear códigos dentro de los niveles utilizados unilateralmente por la AFP, esta debe procederse, bajo responsabilidad del Contador </w:t>
      </w:r>
      <w:r>
        <w:rPr>
          <w:rFonts w:eastAsia="Times New Roman" w:cs="Times New Roman"/>
          <w:szCs w:val="24"/>
          <w:lang w:eastAsia="es-ES"/>
        </w:rPr>
        <w:lastRenderedPageBreak/>
        <w:t>General y del Gerente General, a efectuar las reclasificaciones contables del caso, en el más breve plazo.</w:t>
      </w:r>
    </w:p>
    <w:p w14:paraId="52980D41" w14:textId="77777777" w:rsidR="008748C1" w:rsidRDefault="008748C1">
      <w:pPr>
        <w:spacing w:after="0" w:line="240" w:lineRule="auto"/>
        <w:ind w:left="709"/>
        <w:jc w:val="both"/>
        <w:rPr>
          <w:rFonts w:eastAsia="Times New Roman" w:cs="Times New Roman"/>
          <w:szCs w:val="24"/>
          <w:lang w:eastAsia="es-ES"/>
        </w:rPr>
      </w:pPr>
    </w:p>
    <w:p w14:paraId="52980D42" w14:textId="77777777" w:rsidR="008748C1" w:rsidRDefault="00000000">
      <w:pPr>
        <w:numPr>
          <w:ilvl w:val="0"/>
          <w:numId w:val="6"/>
        </w:numPr>
        <w:tabs>
          <w:tab w:val="left" w:pos="851"/>
        </w:tabs>
        <w:spacing w:after="0" w:line="240" w:lineRule="auto"/>
        <w:ind w:hanging="284"/>
        <w:jc w:val="both"/>
        <w:rPr>
          <w:rFonts w:eastAsia="Times New Roman" w:cs="Times New Roman"/>
          <w:szCs w:val="24"/>
          <w:lang w:eastAsia="es-ES"/>
        </w:rPr>
      </w:pPr>
      <w:r>
        <w:rPr>
          <w:rFonts w:eastAsia="Times New Roman" w:cs="Times New Roman"/>
          <w:szCs w:val="24"/>
          <w:lang w:eastAsia="es-ES"/>
        </w:rPr>
        <w:t>Nomenclatura de cuentas para las empresas del sistema financiero</w:t>
      </w:r>
    </w:p>
    <w:p w14:paraId="52980D43" w14:textId="77777777" w:rsidR="008748C1" w:rsidRDefault="00000000">
      <w:pPr>
        <w:spacing w:after="0" w:line="240" w:lineRule="auto"/>
        <w:ind w:left="851"/>
        <w:jc w:val="both"/>
        <w:rPr>
          <w:rFonts w:eastAsia="Times New Roman" w:cs="Times New Roman"/>
          <w:szCs w:val="24"/>
          <w:lang w:eastAsia="es-ES"/>
        </w:rPr>
      </w:pPr>
      <w:r>
        <w:rPr>
          <w:rFonts w:eastAsia="Times New Roman" w:cs="Times New Roman"/>
          <w:lang w:eastAsia="es-ES"/>
        </w:rPr>
        <w:t>El registro de las operaciones desarrolladas con empresas del sistema financiero nacional se efectuará con el agregado de los códigos pertenecientes a cada tipo de empresa, según la Tabla de Códigos que se adjunta en el presente Capítulo, los que serán consignados en los terminales de las cuentas que se señalan a continuación:</w:t>
      </w:r>
    </w:p>
    <w:p w14:paraId="52980D44" w14:textId="77777777" w:rsidR="008748C1" w:rsidRDefault="00000000">
      <w:pPr>
        <w:spacing w:after="0" w:line="240" w:lineRule="auto"/>
        <w:ind w:left="2127" w:hanging="1276"/>
        <w:jc w:val="both"/>
        <w:rPr>
          <w:rFonts w:eastAsia="Times New Roman" w:cs="Times New Roman"/>
          <w:szCs w:val="28"/>
          <w:lang w:eastAsia="es-ES"/>
        </w:rPr>
      </w:pPr>
      <w:r>
        <w:rPr>
          <w:rFonts w:eastAsia="Times New Roman" w:cs="Times New Roman"/>
          <w:szCs w:val="28"/>
          <w:lang w:eastAsia="es-ES"/>
        </w:rPr>
        <w:t>10104</w:t>
      </w:r>
      <w:r>
        <w:rPr>
          <w:rFonts w:eastAsia="Times New Roman" w:cs="Times New Roman"/>
          <w:szCs w:val="28"/>
          <w:lang w:eastAsia="es-ES"/>
        </w:rPr>
        <w:tab/>
      </w:r>
      <w:proofErr w:type="gramStart"/>
      <w:r>
        <w:rPr>
          <w:rFonts w:eastAsia="Times New Roman" w:cs="Times New Roman"/>
          <w:szCs w:val="28"/>
          <w:lang w:eastAsia="es-ES"/>
        </w:rPr>
        <w:t>Cuentas</w:t>
      </w:r>
      <w:proofErr w:type="gramEnd"/>
      <w:r>
        <w:rPr>
          <w:rFonts w:eastAsia="Times New Roman" w:cs="Times New Roman"/>
          <w:szCs w:val="28"/>
          <w:lang w:eastAsia="es-ES"/>
        </w:rPr>
        <w:t xml:space="preserve"> Corrientes</w:t>
      </w:r>
    </w:p>
    <w:p w14:paraId="52980D45" w14:textId="77777777" w:rsidR="008748C1" w:rsidRDefault="00000000">
      <w:pPr>
        <w:spacing w:after="0" w:line="240" w:lineRule="auto"/>
        <w:ind w:left="2127" w:hanging="1276"/>
        <w:jc w:val="both"/>
        <w:rPr>
          <w:rFonts w:eastAsia="Times New Roman" w:cs="Times New Roman"/>
          <w:szCs w:val="28"/>
          <w:lang w:eastAsia="es-ES"/>
        </w:rPr>
      </w:pPr>
      <w:r>
        <w:rPr>
          <w:rFonts w:eastAsia="Times New Roman" w:cs="Times New Roman"/>
          <w:szCs w:val="28"/>
          <w:lang w:eastAsia="es-ES"/>
        </w:rPr>
        <w:t>10106</w:t>
      </w:r>
      <w:r>
        <w:rPr>
          <w:rFonts w:eastAsia="Times New Roman" w:cs="Times New Roman"/>
          <w:szCs w:val="28"/>
          <w:lang w:eastAsia="es-ES"/>
        </w:rPr>
        <w:tab/>
      </w:r>
      <w:proofErr w:type="gramStart"/>
      <w:r>
        <w:rPr>
          <w:rFonts w:eastAsia="Times New Roman" w:cs="Times New Roman"/>
          <w:szCs w:val="28"/>
          <w:lang w:eastAsia="es-ES"/>
        </w:rPr>
        <w:t>Depósitos</w:t>
      </w:r>
      <w:proofErr w:type="gramEnd"/>
      <w:r>
        <w:rPr>
          <w:rFonts w:eastAsia="Times New Roman" w:cs="Times New Roman"/>
          <w:szCs w:val="28"/>
          <w:lang w:eastAsia="es-ES"/>
        </w:rPr>
        <w:t xml:space="preserve"> a Plazo</w:t>
      </w:r>
    </w:p>
    <w:p w14:paraId="52980D46" w14:textId="77777777" w:rsidR="008748C1" w:rsidRDefault="00000000">
      <w:pPr>
        <w:spacing w:after="0" w:line="240" w:lineRule="auto"/>
        <w:ind w:left="2127" w:hanging="1276"/>
        <w:jc w:val="both"/>
        <w:rPr>
          <w:rFonts w:eastAsia="Times New Roman" w:cs="Times New Roman"/>
          <w:szCs w:val="28"/>
          <w:lang w:eastAsia="es-ES"/>
        </w:rPr>
      </w:pPr>
      <w:r>
        <w:rPr>
          <w:rFonts w:eastAsia="Times New Roman" w:cs="Times New Roman"/>
          <w:szCs w:val="28"/>
          <w:lang w:eastAsia="es-ES"/>
        </w:rPr>
        <w:t>10107</w:t>
      </w:r>
      <w:r>
        <w:rPr>
          <w:rFonts w:eastAsia="Times New Roman" w:cs="Times New Roman"/>
          <w:szCs w:val="28"/>
          <w:lang w:eastAsia="es-ES"/>
        </w:rPr>
        <w:tab/>
      </w:r>
      <w:proofErr w:type="gramStart"/>
      <w:r>
        <w:rPr>
          <w:rFonts w:eastAsia="Times New Roman" w:cs="Times New Roman"/>
          <w:szCs w:val="28"/>
          <w:lang w:eastAsia="es-ES"/>
        </w:rPr>
        <w:t>Cuentas</w:t>
      </w:r>
      <w:proofErr w:type="gramEnd"/>
      <w:r>
        <w:rPr>
          <w:rFonts w:eastAsia="Times New Roman" w:cs="Times New Roman"/>
          <w:szCs w:val="28"/>
          <w:lang w:eastAsia="es-ES"/>
        </w:rPr>
        <w:t xml:space="preserve"> de Ahorros</w:t>
      </w:r>
    </w:p>
    <w:p w14:paraId="52980D47" w14:textId="77777777" w:rsidR="008748C1" w:rsidRDefault="00000000">
      <w:pPr>
        <w:spacing w:after="0" w:line="240" w:lineRule="auto"/>
        <w:ind w:left="2127" w:hanging="1276"/>
        <w:jc w:val="both"/>
        <w:rPr>
          <w:rFonts w:eastAsia="Times New Roman" w:cs="Times New Roman"/>
          <w:szCs w:val="28"/>
          <w:lang w:eastAsia="es-ES"/>
        </w:rPr>
      </w:pPr>
      <w:r>
        <w:rPr>
          <w:rFonts w:eastAsia="Times New Roman" w:cs="Times New Roman"/>
          <w:szCs w:val="28"/>
          <w:lang w:eastAsia="es-ES"/>
        </w:rPr>
        <w:t>10109</w:t>
      </w:r>
      <w:r>
        <w:rPr>
          <w:rFonts w:eastAsia="Times New Roman" w:cs="Times New Roman"/>
          <w:szCs w:val="28"/>
          <w:lang w:eastAsia="es-ES"/>
        </w:rPr>
        <w:tab/>
      </w:r>
      <w:proofErr w:type="gramStart"/>
      <w:r>
        <w:rPr>
          <w:rFonts w:eastAsia="Times New Roman" w:cs="Times New Roman"/>
          <w:szCs w:val="28"/>
          <w:lang w:eastAsia="es-ES"/>
        </w:rPr>
        <w:t>Depósitos</w:t>
      </w:r>
      <w:proofErr w:type="gramEnd"/>
      <w:r>
        <w:rPr>
          <w:rFonts w:eastAsia="Times New Roman" w:cs="Times New Roman"/>
          <w:szCs w:val="28"/>
          <w:lang w:eastAsia="es-ES"/>
        </w:rPr>
        <w:t xml:space="preserve"> sujetos a restricción</w:t>
      </w:r>
    </w:p>
    <w:p w14:paraId="52980D48" w14:textId="77777777" w:rsidR="008748C1" w:rsidRDefault="008748C1">
      <w:pPr>
        <w:spacing w:after="0" w:line="240" w:lineRule="auto"/>
        <w:ind w:left="2127" w:hanging="1276"/>
        <w:jc w:val="both"/>
        <w:rPr>
          <w:rFonts w:eastAsia="Times New Roman" w:cs="Times New Roman"/>
          <w:szCs w:val="28"/>
          <w:lang w:eastAsia="es-ES"/>
        </w:rPr>
      </w:pPr>
    </w:p>
    <w:p w14:paraId="52980D49"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u w:val="single"/>
          <w:lang w:eastAsia="es-ES"/>
        </w:rPr>
      </w:pPr>
      <w:r>
        <w:rPr>
          <w:rFonts w:eastAsia="Times New Roman" w:cs="Times New Roman"/>
          <w:b/>
          <w:bCs/>
          <w:szCs w:val="24"/>
          <w:lang w:eastAsia="es-ES"/>
        </w:rPr>
        <w:t>CONCEPTOS GENERALES</w:t>
      </w:r>
    </w:p>
    <w:p w14:paraId="52980D4A"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r>
        <w:rPr>
          <w:rFonts w:eastAsia="Times New Roman" w:cs="Times New Roman"/>
          <w:b/>
          <w:bCs/>
          <w:szCs w:val="24"/>
          <w:lang w:eastAsia="es-ES"/>
        </w:rPr>
        <w:t xml:space="preserve">ADMINISTRADORAS PRIVADAS DE FONDOS DE PENSIONES (AFP) </w:t>
      </w:r>
    </w:p>
    <w:p w14:paraId="52980D4B" w14:textId="77777777" w:rsidR="008748C1" w:rsidRDefault="00000000">
      <w:pPr>
        <w:autoSpaceDE w:val="0"/>
        <w:autoSpaceDN w:val="0"/>
        <w:adjustRightInd w:val="0"/>
        <w:spacing w:before="60" w:after="60" w:line="240" w:lineRule="auto"/>
        <w:ind w:left="425"/>
        <w:jc w:val="both"/>
        <w:rPr>
          <w:rFonts w:ascii="Arial" w:eastAsia="Times New Roman" w:hAnsi="Arial" w:cs="Arial"/>
          <w:spacing w:val="-3"/>
          <w:sz w:val="20"/>
          <w:szCs w:val="20"/>
          <w:lang w:eastAsia="es-ES"/>
        </w:rPr>
      </w:pPr>
      <w:r>
        <w:rPr>
          <w:rFonts w:eastAsia="Times New Roman" w:cs="TimesNewRomanPSMT"/>
          <w:szCs w:val="24"/>
          <w:lang w:eastAsia="es-PE"/>
        </w:rPr>
        <w:t>Las AFP son aquellas empresas autorizadas por la Superintendencia para que, como único objeto social, administren de manera eficiente y bajo estrictos criterios de seguridad y rentabilidad, Fondos de Pensiones bajo la modalidad de Cuentas Individuales de Capitalización, constituidos por los aportes previsionales efectuados por sus afiliados; otorguen las prestaciones a que se refiere la Ley del SPP; administren los riesgos de invalidez, sobrevivencia y gastos de sepelio; así como efectúen actividades complementarias cuya procedencia será previamente autorizada por esta Superintendencia, recibiendo a cambio de ello el pago de una comisión por dichos servicios.</w:t>
      </w:r>
    </w:p>
    <w:p w14:paraId="52980D4C" w14:textId="77777777" w:rsidR="008748C1" w:rsidRDefault="008748C1">
      <w:pPr>
        <w:spacing w:after="0" w:line="240" w:lineRule="auto"/>
        <w:rPr>
          <w:rFonts w:eastAsia="Times New Roman" w:cs="Times New Roman"/>
          <w:szCs w:val="24"/>
          <w:lang w:eastAsia="es-ES"/>
        </w:rPr>
      </w:pPr>
    </w:p>
    <w:p w14:paraId="52980D4D" w14:textId="77777777" w:rsidR="008748C1" w:rsidRDefault="00000000">
      <w:pPr>
        <w:keepNext/>
        <w:numPr>
          <w:ilvl w:val="2"/>
          <w:numId w:val="4"/>
        </w:numPr>
        <w:spacing w:before="240" w:after="160" w:line="240" w:lineRule="auto"/>
        <w:ind w:left="426" w:hanging="426"/>
        <w:outlineLvl w:val="3"/>
        <w:rPr>
          <w:rFonts w:eastAsia="Times New Roman" w:cs="Times New Roman"/>
          <w:bCs/>
          <w:szCs w:val="24"/>
          <w:lang w:eastAsia="es-ES"/>
        </w:rPr>
      </w:pPr>
      <w:r>
        <w:rPr>
          <w:rFonts w:eastAsia="Times New Roman" w:cs="Times New Roman"/>
          <w:b/>
          <w:bCs/>
          <w:szCs w:val="24"/>
          <w:lang w:eastAsia="es-ES"/>
        </w:rPr>
        <w:t xml:space="preserve">ENCAJE LEGAL </w:t>
      </w:r>
    </w:p>
    <w:p w14:paraId="52980D4E"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Las AFP, con sus propios recursos, deben conformar un encaje, siendo el objeto de éste el asegurar la rentabilidad mínima que las AFP deben obtener, calculándose diariamente el valor de este.</w:t>
      </w:r>
    </w:p>
    <w:p w14:paraId="52980D4F"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La valorización de las inversiones del Encaje Legal se sujetará a lo dispuesto en el Título VI del Compendio de Normas de Superintendencia Reglamentarias del Sistema Privado de Administración de Fondos de Pensiones. La ganancia o pérdida generada por la valorización diaria del Encaje Legal permanecerá en el patrimonio hasta el momento en que se retire total o parcialmente.</w:t>
      </w:r>
    </w:p>
    <w:p w14:paraId="52980D50" w14:textId="77777777" w:rsidR="008748C1" w:rsidRDefault="008748C1">
      <w:pPr>
        <w:spacing w:after="0" w:line="240" w:lineRule="auto"/>
        <w:rPr>
          <w:rFonts w:eastAsia="Times New Roman" w:cs="Times New Roman"/>
          <w:szCs w:val="24"/>
          <w:lang w:eastAsia="es-PE"/>
        </w:rPr>
      </w:pPr>
    </w:p>
    <w:p w14:paraId="52980D51" w14:textId="77777777" w:rsidR="008748C1" w:rsidRDefault="00000000">
      <w:pPr>
        <w:keepNext/>
        <w:numPr>
          <w:ilvl w:val="2"/>
          <w:numId w:val="4"/>
        </w:numPr>
        <w:spacing w:before="240" w:after="160" w:line="240" w:lineRule="auto"/>
        <w:ind w:left="426" w:hanging="426"/>
        <w:outlineLvl w:val="3"/>
        <w:rPr>
          <w:rFonts w:eastAsia="Times New Roman" w:cs="Times New Roman"/>
          <w:bCs/>
          <w:szCs w:val="24"/>
          <w:lang w:eastAsia="es-ES"/>
        </w:rPr>
      </w:pPr>
      <w:r>
        <w:rPr>
          <w:rFonts w:eastAsia="Times New Roman" w:cs="Times New Roman"/>
          <w:b/>
          <w:bCs/>
          <w:szCs w:val="24"/>
          <w:lang w:eastAsia="es-ES"/>
        </w:rPr>
        <w:t>ENCAJE POR EXCESOS DE INVERSIÓN</w:t>
      </w:r>
    </w:p>
    <w:p w14:paraId="52980D52"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Las AFP deben constituir un encaje por excesos de inversión en caso se presenten y mantengan excesos de inversión imputables y/o no se cumpla con eliminar los excesos de inversión en el marco del plan de adecuación vigente aprobado por esta Superintendencia.</w:t>
      </w:r>
    </w:p>
    <w:p w14:paraId="52980D53"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El encaje por excesos de inversión es igual al 1% del valor de los excesos de inversión y debe ser expresado en soles. Tanto el exceso que será objeto del </w:t>
      </w:r>
      <w:proofErr w:type="gramStart"/>
      <w:r>
        <w:rPr>
          <w:rFonts w:eastAsia="Times New Roman" w:cs="TimesNewRomanPSMT"/>
          <w:szCs w:val="24"/>
          <w:lang w:eastAsia="es-PE"/>
        </w:rPr>
        <w:t>encaje</w:t>
      </w:r>
      <w:proofErr w:type="gramEnd"/>
      <w:r>
        <w:rPr>
          <w:rFonts w:eastAsia="Times New Roman" w:cs="TimesNewRomanPSMT"/>
          <w:szCs w:val="24"/>
          <w:lang w:eastAsia="es-PE"/>
        </w:rPr>
        <w:t xml:space="preserve"> así como el número de cuotas que se deberá adquirir será notificada por la Superintendencia. </w:t>
      </w:r>
    </w:p>
    <w:p w14:paraId="52980D54"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El tratamiento contable aplicable es el que corresponde a los activos financieros clasificados como A Valor Razonable con Cambios en Resultados, donde la ganancia o pérdida generada por la valorización diaria del encaje por excesos de inversión será reconocido en el resultado del periodo.</w:t>
      </w:r>
    </w:p>
    <w:p w14:paraId="52980D55" w14:textId="77777777" w:rsidR="008748C1" w:rsidRDefault="008748C1">
      <w:pPr>
        <w:autoSpaceDE w:val="0"/>
        <w:autoSpaceDN w:val="0"/>
        <w:adjustRightInd w:val="0"/>
        <w:spacing w:before="60" w:after="60" w:line="240" w:lineRule="auto"/>
        <w:ind w:left="425"/>
        <w:jc w:val="both"/>
        <w:rPr>
          <w:rFonts w:eastAsia="Times New Roman" w:cs="Times New Roman"/>
          <w:szCs w:val="24"/>
          <w:lang w:eastAsia="es-ES"/>
        </w:rPr>
      </w:pPr>
    </w:p>
    <w:p w14:paraId="52980D56"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r>
        <w:rPr>
          <w:rFonts w:eastAsia="Times New Roman" w:cs="Times New Roman"/>
          <w:b/>
          <w:bCs/>
          <w:szCs w:val="24"/>
          <w:lang w:eastAsia="es-ES"/>
        </w:rPr>
        <w:lastRenderedPageBreak/>
        <w:t>INEMBARGABILIDAD DEL ENCAJE LEGAL, ENCAJE POR EXCESOS DE INVERSIÓN, FONDO DE LONGEVIDAD Y FONDO COMPLEMENTARIO</w:t>
      </w:r>
    </w:p>
    <w:p w14:paraId="52980D57"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Los bienes que integran el Encaje Legal y el encaje por excesos de inversión, fondo de longevidad y fondo complementario son inembargables y no pueden ser dados en garantía.</w:t>
      </w:r>
    </w:p>
    <w:p w14:paraId="52980D58" w14:textId="77777777" w:rsidR="008748C1" w:rsidRDefault="008748C1">
      <w:pPr>
        <w:autoSpaceDE w:val="0"/>
        <w:autoSpaceDN w:val="0"/>
        <w:adjustRightInd w:val="0"/>
        <w:spacing w:before="60" w:after="60" w:line="240" w:lineRule="auto"/>
        <w:ind w:left="425"/>
        <w:jc w:val="both"/>
        <w:rPr>
          <w:rFonts w:eastAsia="Times New Roman" w:cs="TimesNewRomanPSMT"/>
          <w:szCs w:val="24"/>
          <w:lang w:eastAsia="es-PE"/>
        </w:rPr>
      </w:pPr>
    </w:p>
    <w:p w14:paraId="52980D59"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r>
        <w:rPr>
          <w:rFonts w:eastAsia="Times New Roman" w:cs="Times New Roman"/>
          <w:b/>
          <w:bCs/>
          <w:szCs w:val="24"/>
          <w:lang w:eastAsia="es-ES"/>
        </w:rPr>
        <w:t xml:space="preserve">TERMINOLOGÍA USADA </w:t>
      </w:r>
    </w:p>
    <w:p w14:paraId="52980D5A" w14:textId="77777777" w:rsidR="008748C1" w:rsidRDefault="00000000">
      <w:pPr>
        <w:numPr>
          <w:ilvl w:val="0"/>
          <w:numId w:val="7"/>
        </w:numPr>
        <w:tabs>
          <w:tab w:val="left" w:pos="-720"/>
          <w:tab w:val="left" w:pos="851"/>
        </w:tabs>
        <w:suppressAutoHyphens/>
        <w:spacing w:before="20" w:after="20" w:line="240" w:lineRule="auto"/>
        <w:ind w:left="850" w:hanging="425"/>
        <w:jc w:val="both"/>
        <w:rPr>
          <w:rFonts w:eastAsia="Times New Roman" w:cs="Arial"/>
          <w:spacing w:val="-3"/>
          <w:lang w:eastAsia="es-ES"/>
        </w:rPr>
      </w:pPr>
      <w:r>
        <w:rPr>
          <w:rFonts w:eastAsia="Times New Roman" w:cs="Arial"/>
          <w:b/>
          <w:bCs/>
          <w:spacing w:val="-3"/>
          <w:lang w:eastAsia="es-ES"/>
        </w:rPr>
        <w:t>Afiliado:</w:t>
      </w:r>
      <w:r>
        <w:rPr>
          <w:rFonts w:eastAsia="Times New Roman" w:cs="Arial"/>
          <w:spacing w:val="-3"/>
          <w:lang w:eastAsia="es-ES"/>
        </w:rPr>
        <w:t xml:space="preserve"> Es el trabajador dependiente o independiente que se encuentra incorporado al SPP.</w:t>
      </w:r>
    </w:p>
    <w:p w14:paraId="52980D5B" w14:textId="77777777" w:rsidR="008748C1" w:rsidRDefault="00000000">
      <w:pPr>
        <w:numPr>
          <w:ilvl w:val="0"/>
          <w:numId w:val="7"/>
        </w:numPr>
        <w:tabs>
          <w:tab w:val="left" w:pos="-720"/>
          <w:tab w:val="left" w:pos="851"/>
        </w:tabs>
        <w:suppressAutoHyphens/>
        <w:spacing w:before="20" w:after="20" w:line="240" w:lineRule="auto"/>
        <w:ind w:left="850" w:hanging="425"/>
        <w:jc w:val="both"/>
        <w:rPr>
          <w:rFonts w:eastAsia="Times New Roman" w:cs="Arial"/>
          <w:spacing w:val="-3"/>
          <w:lang w:eastAsia="es-ES"/>
        </w:rPr>
      </w:pPr>
      <w:r>
        <w:rPr>
          <w:rFonts w:eastAsia="Times New Roman" w:cs="Times New Roman"/>
          <w:b/>
          <w:bCs/>
          <w:lang w:eastAsia="es-ES"/>
        </w:rPr>
        <w:t>AFP:</w:t>
      </w:r>
      <w:r>
        <w:rPr>
          <w:rFonts w:eastAsia="Times New Roman" w:cs="Times New Roman"/>
          <w:lang w:eastAsia="es-ES"/>
        </w:rPr>
        <w:t xml:space="preserve"> Son las Administradoras Privadas de Fondos de Pensiones.</w:t>
      </w:r>
    </w:p>
    <w:p w14:paraId="52980D5C" w14:textId="77777777" w:rsidR="008748C1" w:rsidRDefault="00000000">
      <w:pPr>
        <w:numPr>
          <w:ilvl w:val="0"/>
          <w:numId w:val="7"/>
        </w:numPr>
        <w:tabs>
          <w:tab w:val="left" w:pos="851"/>
        </w:tabs>
        <w:spacing w:before="20" w:after="20" w:line="240" w:lineRule="auto"/>
        <w:ind w:left="850" w:hanging="425"/>
        <w:jc w:val="both"/>
        <w:rPr>
          <w:rFonts w:eastAsia="Times New Roman" w:cs="Arial"/>
          <w:lang w:eastAsia="es-ES"/>
        </w:rPr>
      </w:pPr>
      <w:r>
        <w:rPr>
          <w:rFonts w:eastAsia="Times New Roman" w:cs="Arial"/>
          <w:b/>
          <w:bCs/>
          <w:lang w:eastAsia="es-ES"/>
        </w:rPr>
        <w:t>Cartera Administrada:</w:t>
      </w:r>
      <w:r>
        <w:rPr>
          <w:rFonts w:eastAsia="Times New Roman" w:cs="Arial"/>
          <w:lang w:eastAsia="es-ES"/>
        </w:rPr>
        <w:t xml:space="preserve"> Es el total de los activos en los que se encuentran invertidos los recursos de los Fondos de Pensiones, Encaje Legal y el encaje por excesos de inversión.</w:t>
      </w:r>
    </w:p>
    <w:p w14:paraId="52980D5D" w14:textId="77777777" w:rsidR="008748C1" w:rsidRDefault="00000000">
      <w:pPr>
        <w:numPr>
          <w:ilvl w:val="0"/>
          <w:numId w:val="7"/>
        </w:numPr>
        <w:tabs>
          <w:tab w:val="left" w:pos="851"/>
        </w:tabs>
        <w:spacing w:before="20" w:after="20" w:line="240" w:lineRule="auto"/>
        <w:ind w:left="850" w:hanging="425"/>
        <w:jc w:val="both"/>
        <w:rPr>
          <w:rFonts w:eastAsia="Times New Roman" w:cs="Arial"/>
          <w:lang w:eastAsia="es-ES"/>
        </w:rPr>
      </w:pPr>
      <w:r>
        <w:rPr>
          <w:rFonts w:eastAsia="Times New Roman" w:cs="Arial"/>
          <w:b/>
          <w:bCs/>
          <w:lang w:eastAsia="es-ES"/>
        </w:rPr>
        <w:t>CIC:</w:t>
      </w:r>
      <w:r>
        <w:rPr>
          <w:rFonts w:eastAsia="Times New Roman" w:cs="Arial"/>
          <w:lang w:eastAsia="es-ES"/>
        </w:rPr>
        <w:t xml:space="preserve"> Son las Cuentas Individuales de Capitalización que conforman los Fondos de Pensiones.</w:t>
      </w:r>
    </w:p>
    <w:p w14:paraId="52980D5E" w14:textId="77777777" w:rsidR="008748C1" w:rsidRDefault="00000000">
      <w:pPr>
        <w:numPr>
          <w:ilvl w:val="0"/>
          <w:numId w:val="7"/>
        </w:numPr>
        <w:tabs>
          <w:tab w:val="left" w:pos="851"/>
        </w:tabs>
        <w:spacing w:before="20" w:after="20" w:line="240" w:lineRule="auto"/>
        <w:ind w:left="850" w:hanging="425"/>
        <w:jc w:val="both"/>
        <w:rPr>
          <w:rFonts w:eastAsia="Times New Roman" w:cs="Arial"/>
          <w:lang w:eastAsia="es-ES"/>
        </w:rPr>
      </w:pPr>
      <w:r>
        <w:rPr>
          <w:rFonts w:eastAsia="Times New Roman" w:cs="Arial"/>
          <w:b/>
          <w:bCs/>
          <w:lang w:eastAsia="es-ES"/>
        </w:rPr>
        <w:t>SMV:</w:t>
      </w:r>
      <w:r>
        <w:rPr>
          <w:rFonts w:eastAsia="Times New Roman" w:cs="Arial"/>
          <w:lang w:eastAsia="es-ES"/>
        </w:rPr>
        <w:t xml:space="preserve"> Superintendencia del Mercado de Valores.</w:t>
      </w:r>
    </w:p>
    <w:p w14:paraId="52980D5F" w14:textId="77777777" w:rsidR="008748C1" w:rsidRDefault="00000000">
      <w:pPr>
        <w:numPr>
          <w:ilvl w:val="0"/>
          <w:numId w:val="7"/>
        </w:numPr>
        <w:tabs>
          <w:tab w:val="left" w:pos="851"/>
        </w:tabs>
        <w:spacing w:before="20" w:after="20" w:line="240" w:lineRule="auto"/>
        <w:ind w:left="850" w:hanging="425"/>
        <w:jc w:val="both"/>
        <w:rPr>
          <w:rFonts w:eastAsia="Times New Roman" w:cs="Arial"/>
          <w:lang w:eastAsia="es-ES"/>
        </w:rPr>
      </w:pPr>
      <w:r>
        <w:rPr>
          <w:rFonts w:eastAsia="Times New Roman" w:cs="Arial"/>
          <w:b/>
          <w:bCs/>
          <w:lang w:eastAsia="es-ES"/>
        </w:rPr>
        <w:t>Fondos:</w:t>
      </w:r>
      <w:r>
        <w:rPr>
          <w:rFonts w:eastAsia="Times New Roman" w:cs="Arial"/>
          <w:lang w:eastAsia="es-ES"/>
        </w:rPr>
        <w:t xml:space="preserve"> Son el conjunto de Fondos de Pensiones que administra una AFP, bajo la administración de las CIC.</w:t>
      </w:r>
    </w:p>
    <w:p w14:paraId="52980D60" w14:textId="77777777" w:rsidR="008748C1" w:rsidRDefault="00000000">
      <w:pPr>
        <w:numPr>
          <w:ilvl w:val="0"/>
          <w:numId w:val="7"/>
        </w:numPr>
        <w:tabs>
          <w:tab w:val="left" w:pos="851"/>
        </w:tabs>
        <w:spacing w:before="20" w:after="20" w:line="240" w:lineRule="auto"/>
        <w:ind w:left="850" w:hanging="425"/>
        <w:jc w:val="both"/>
        <w:rPr>
          <w:rFonts w:eastAsia="Times New Roman" w:cs="Arial"/>
          <w:lang w:eastAsia="es-ES"/>
        </w:rPr>
      </w:pPr>
      <w:r>
        <w:rPr>
          <w:rFonts w:eastAsia="Times New Roman" w:cs="Arial"/>
          <w:b/>
          <w:bCs/>
          <w:lang w:eastAsia="es-ES"/>
        </w:rPr>
        <w:t>Fondo de Longevidad:</w:t>
      </w:r>
      <w:r>
        <w:rPr>
          <w:rFonts w:eastAsia="Times New Roman" w:cs="Arial"/>
          <w:lang w:eastAsia="es-ES"/>
        </w:rPr>
        <w:t xml:space="preserve"> Es el Fondo formado por aquellos saldos de las CIC de los afiliados que contrataron con la AFP una pensión bajo la modalidad de Renta Vitalicia Personal y fallecieron antes de cumplir con la edad estimada.</w:t>
      </w:r>
    </w:p>
    <w:p w14:paraId="52980D61" w14:textId="77777777" w:rsidR="008748C1" w:rsidRDefault="00000000">
      <w:pPr>
        <w:numPr>
          <w:ilvl w:val="0"/>
          <w:numId w:val="7"/>
        </w:numPr>
        <w:tabs>
          <w:tab w:val="left" w:pos="851"/>
        </w:tabs>
        <w:spacing w:before="20" w:after="20" w:line="240" w:lineRule="auto"/>
        <w:ind w:left="850" w:hanging="425"/>
        <w:jc w:val="both"/>
        <w:rPr>
          <w:rFonts w:eastAsia="Times New Roman" w:cs="Arial"/>
          <w:lang w:eastAsia="es-ES"/>
        </w:rPr>
      </w:pPr>
      <w:r>
        <w:rPr>
          <w:rFonts w:eastAsia="Times New Roman" w:cs="Arial"/>
          <w:b/>
          <w:bCs/>
          <w:lang w:eastAsia="es-ES"/>
        </w:rPr>
        <w:t>Fondo Complementario:</w:t>
      </w:r>
      <w:r>
        <w:rPr>
          <w:rFonts w:eastAsia="Times New Roman" w:cs="Arial"/>
          <w:lang w:eastAsia="es-ES"/>
        </w:rPr>
        <w:t xml:space="preserve"> Es el Fondo que se constituye cuando la AFP opta por la administración de los riesgos de invalidez, sobrevivencia y gastos de sepelio.</w:t>
      </w:r>
    </w:p>
    <w:p w14:paraId="52980D62" w14:textId="77777777" w:rsidR="008748C1" w:rsidRDefault="00000000">
      <w:pPr>
        <w:numPr>
          <w:ilvl w:val="0"/>
          <w:numId w:val="7"/>
        </w:numPr>
        <w:tabs>
          <w:tab w:val="left" w:pos="851"/>
        </w:tabs>
        <w:spacing w:before="20" w:after="20" w:line="240" w:lineRule="auto"/>
        <w:ind w:left="850" w:hanging="425"/>
        <w:jc w:val="both"/>
        <w:rPr>
          <w:rFonts w:eastAsia="Times New Roman" w:cs="Arial"/>
          <w:lang w:eastAsia="es-ES"/>
        </w:rPr>
      </w:pPr>
      <w:r>
        <w:rPr>
          <w:rFonts w:eastAsia="Times New Roman" w:cs="Arial"/>
          <w:b/>
          <w:bCs/>
          <w:lang w:eastAsia="es-ES"/>
        </w:rPr>
        <w:t>Promotores de Ventas:</w:t>
      </w:r>
      <w:r>
        <w:rPr>
          <w:rFonts w:eastAsia="Times New Roman" w:cs="Arial"/>
          <w:lang w:eastAsia="es-ES"/>
        </w:rPr>
        <w:t xml:space="preserve"> Son las personas autorizadas por la Superintendencia para vender o promover la venta de los servicios de las AFP.</w:t>
      </w:r>
    </w:p>
    <w:p w14:paraId="52980D63" w14:textId="77777777" w:rsidR="008748C1" w:rsidRDefault="00000000">
      <w:pPr>
        <w:numPr>
          <w:ilvl w:val="0"/>
          <w:numId w:val="7"/>
        </w:numPr>
        <w:tabs>
          <w:tab w:val="left" w:pos="-720"/>
          <w:tab w:val="left" w:pos="851"/>
        </w:tabs>
        <w:suppressAutoHyphens/>
        <w:spacing w:before="20" w:after="20" w:line="240" w:lineRule="auto"/>
        <w:ind w:left="850" w:hanging="425"/>
        <w:jc w:val="both"/>
        <w:rPr>
          <w:rFonts w:eastAsia="Times New Roman" w:cs="Arial"/>
          <w:spacing w:val="-3"/>
          <w:lang w:eastAsia="es-ES"/>
        </w:rPr>
      </w:pPr>
      <w:r>
        <w:rPr>
          <w:rFonts w:eastAsia="Times New Roman" w:cs="Arial"/>
          <w:b/>
          <w:bCs/>
          <w:spacing w:val="-3"/>
          <w:lang w:eastAsia="es-ES"/>
        </w:rPr>
        <w:t>SPP:</w:t>
      </w:r>
      <w:r>
        <w:rPr>
          <w:rFonts w:eastAsia="Times New Roman" w:cs="Arial"/>
          <w:spacing w:val="-3"/>
          <w:lang w:eastAsia="es-ES"/>
        </w:rPr>
        <w:t xml:space="preserve"> Es el Sistema Privado de Administración de Fondos de Pensiones.</w:t>
      </w:r>
    </w:p>
    <w:p w14:paraId="52980D64" w14:textId="77777777" w:rsidR="008748C1" w:rsidRDefault="008748C1">
      <w:pPr>
        <w:spacing w:after="0" w:line="240" w:lineRule="auto"/>
        <w:jc w:val="both"/>
        <w:rPr>
          <w:rFonts w:eastAsia="Times New Roman" w:cs="Times New Roman"/>
          <w:szCs w:val="24"/>
          <w:lang w:eastAsia="es-ES"/>
        </w:rPr>
      </w:pPr>
    </w:p>
    <w:p w14:paraId="52980D65"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u w:val="single"/>
          <w:lang w:eastAsia="es-ES"/>
        </w:rPr>
      </w:pPr>
      <w:r>
        <w:rPr>
          <w:rFonts w:eastAsia="Times New Roman" w:cs="Times New Roman"/>
          <w:b/>
          <w:bCs/>
          <w:szCs w:val="24"/>
          <w:lang w:eastAsia="es-ES"/>
        </w:rPr>
        <w:t>ASPECTOS TRIBUTARIOS</w:t>
      </w:r>
    </w:p>
    <w:p w14:paraId="52980D66"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No constituyen renta de las AFP los aportes y el rendimiento de las inversiones realizadas con cargo a los Fondos de Pensiones, encontrándose </w:t>
      </w:r>
      <w:proofErr w:type="spellStart"/>
      <w:r>
        <w:rPr>
          <w:rFonts w:eastAsia="Times New Roman" w:cs="TimesNewRomanPSMT"/>
          <w:szCs w:val="24"/>
          <w:lang w:eastAsia="es-PE"/>
        </w:rPr>
        <w:t>inafectos</w:t>
      </w:r>
      <w:proofErr w:type="spellEnd"/>
      <w:r>
        <w:rPr>
          <w:rFonts w:eastAsia="Times New Roman" w:cs="TimesNewRomanPSMT"/>
          <w:szCs w:val="24"/>
          <w:lang w:eastAsia="es-PE"/>
        </w:rPr>
        <w:t xml:space="preserve"> al Impuesto a la Renta los dividendos, intereses, comisiones y las ganancias de capital percibidas por los Fondos de Pensiones, por el Fondo Complementario y por el Fondo de Longevidad.</w:t>
      </w:r>
    </w:p>
    <w:p w14:paraId="52980D67"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Asimismo, las transferencias de valores mobiliarios para los Fondos de Pensiones, para el Fondo Complementario y para el Fondo de Longevidad se encuentran </w:t>
      </w:r>
      <w:proofErr w:type="spellStart"/>
      <w:r>
        <w:rPr>
          <w:rFonts w:eastAsia="Times New Roman" w:cs="TimesNewRomanPSMT"/>
          <w:szCs w:val="24"/>
          <w:lang w:eastAsia="es-PE"/>
        </w:rPr>
        <w:t>inafectas</w:t>
      </w:r>
      <w:proofErr w:type="spellEnd"/>
      <w:r>
        <w:rPr>
          <w:rFonts w:eastAsia="Times New Roman" w:cs="TimesNewRomanPSMT"/>
          <w:szCs w:val="24"/>
          <w:lang w:eastAsia="es-PE"/>
        </w:rPr>
        <w:t xml:space="preserve"> a las tasas y contribuciones fijadas por la SMV para este tipo de operaciones. Esta inafectación sólo rige para estos fondos, ya sea como comprador o vendedor.</w:t>
      </w:r>
    </w:p>
    <w:p w14:paraId="52980D68" w14:textId="77777777" w:rsidR="008748C1" w:rsidRDefault="008748C1">
      <w:pPr>
        <w:spacing w:after="0" w:line="240" w:lineRule="auto"/>
        <w:jc w:val="both"/>
        <w:rPr>
          <w:rFonts w:eastAsia="Times New Roman" w:cs="Times New Roman"/>
          <w:szCs w:val="24"/>
          <w:lang w:eastAsia="es-ES"/>
        </w:rPr>
      </w:pPr>
    </w:p>
    <w:p w14:paraId="52980D69" w14:textId="77777777" w:rsidR="008748C1" w:rsidRDefault="00000000">
      <w:pPr>
        <w:keepNext/>
        <w:numPr>
          <w:ilvl w:val="0"/>
          <w:numId w:val="4"/>
        </w:numPr>
        <w:spacing w:after="0" w:line="240" w:lineRule="auto"/>
        <w:ind w:left="0" w:hanging="284"/>
        <w:outlineLvl w:val="1"/>
        <w:rPr>
          <w:rFonts w:eastAsia="Times New Roman" w:cs="Times New Roman"/>
          <w:b/>
          <w:bCs/>
          <w:szCs w:val="24"/>
          <w:lang w:eastAsia="es-ES"/>
        </w:rPr>
      </w:pPr>
      <w:r>
        <w:rPr>
          <w:rFonts w:eastAsia="Times New Roman" w:cs="Times New Roman"/>
          <w:b/>
          <w:bCs/>
          <w:szCs w:val="24"/>
          <w:lang w:eastAsia="es-ES"/>
        </w:rPr>
        <w:t xml:space="preserve">MARCO CONTABLE CONCEPTUAL </w:t>
      </w:r>
    </w:p>
    <w:p w14:paraId="52980D6A"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bookmarkStart w:id="0" w:name="_Toc164103320"/>
      <w:r>
        <w:rPr>
          <w:rFonts w:eastAsia="Times New Roman" w:cs="Times New Roman"/>
          <w:b/>
          <w:bCs/>
          <w:szCs w:val="24"/>
          <w:lang w:eastAsia="es-ES"/>
        </w:rPr>
        <w:t>CARACTERÍSTICAS CUALITATIVAS DE LA INFORMACIÓN FINANCIERA</w:t>
      </w:r>
      <w:bookmarkEnd w:id="0"/>
    </w:p>
    <w:p w14:paraId="52980D6B" w14:textId="77777777" w:rsidR="008748C1" w:rsidRDefault="00000000">
      <w:pPr>
        <w:spacing w:before="60" w:after="60" w:line="240" w:lineRule="auto"/>
        <w:ind w:left="426"/>
        <w:jc w:val="both"/>
        <w:rPr>
          <w:rFonts w:eastAsia="Times New Roman" w:cs="Times New Roman"/>
          <w:lang w:eastAsia="es-ES"/>
        </w:rPr>
      </w:pPr>
      <w:r>
        <w:rPr>
          <w:rFonts w:eastAsia="Times New Roman" w:cs="Times New Roman"/>
          <w:lang w:eastAsia="es-ES"/>
        </w:rPr>
        <w:t>Si la información financiera ha de ser útil, debe ser relevante y representar fielmente lo que pretende representar. La utilidad de la información financiera se mejora si es comparable, verificable, oportuna y comprensible.</w:t>
      </w:r>
    </w:p>
    <w:p w14:paraId="52980D6C"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bookmarkStart w:id="1" w:name="_Toc164103321"/>
      <w:r>
        <w:rPr>
          <w:rFonts w:eastAsia="Times New Roman" w:cs="Times New Roman"/>
          <w:b/>
          <w:bCs/>
          <w:szCs w:val="24"/>
          <w:lang w:eastAsia="es-ES"/>
        </w:rPr>
        <w:t>CARACTERÍSTICAS CUALITATIVAS FUNDAMENTALES</w:t>
      </w:r>
      <w:bookmarkEnd w:id="1"/>
    </w:p>
    <w:p w14:paraId="52980D6D"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Las características cualitativas fundamentales son la relevancia y la representación fiel.</w:t>
      </w:r>
    </w:p>
    <w:p w14:paraId="52980D6E"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r>
        <w:rPr>
          <w:rFonts w:eastAsia="Times New Roman" w:cs="Arial"/>
          <w:b/>
          <w:bCs/>
          <w:szCs w:val="24"/>
          <w:lang w:eastAsia="es-ES"/>
        </w:rPr>
        <w:lastRenderedPageBreak/>
        <w:t>Relevancia</w:t>
      </w:r>
    </w:p>
    <w:p w14:paraId="52980D6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información financiera relevante es capaz de influir en las decisiones tomadas por los usuarios. La información puede ser capaz de influir en una decisión incluso si algunos usuarios eligen no aprovecharla o son ya conocedores de ella por otras fuentes.</w:t>
      </w:r>
    </w:p>
    <w:p w14:paraId="52980D7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información financiera es capaz de influir en las decisiones si tiene valor predictivo, valor confirmatorio o ambos.</w:t>
      </w:r>
    </w:p>
    <w:p w14:paraId="52980D7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información financiera tiene valor predictivo si puede utilizarse como un dato de entrada en los procesos empleados por usuarios para predecir desenlaces futuros. La información financiera no necesita ser una predicción o una previsión para tener valor predictivo. La información financiera con valor predictivo es empleada por los usuarios para llevar a cabo sus propias predicciones.</w:t>
      </w:r>
    </w:p>
    <w:p w14:paraId="52980D7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información financiera tiene valor confirmatorio si proporciona información sobre (es decir, si confirma o cambia) evaluaciones anteriores.</w:t>
      </w:r>
    </w:p>
    <w:p w14:paraId="52980D7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valor predictivo y el valor confirmatorio de la información financiera están interrelacionados. La información que tiene valor predictivo habitualmente también tiene valor confirmatorio. Por ejemplo, la información de ingresos de actividades ordinarias para el ejercicio corriente, que puede ser utilizada como base para la predicción de ingresos de actividades ordinarias en ejercicios futuros, puede también compararse con predicciones de ingresos de actividades ordinarias para el ejercicio actual que se realizaron en ejercicios pasados. Los resultados de esas comparaciones pueden ayudar a un usuario a corregir y mejorar los procesos que se utilizaron para hacer esas predicciones anteriores.</w:t>
      </w:r>
    </w:p>
    <w:p w14:paraId="52980D74" w14:textId="77777777" w:rsidR="008748C1" w:rsidRDefault="00000000">
      <w:pPr>
        <w:keepNext/>
        <w:spacing w:before="240" w:after="120" w:line="240" w:lineRule="auto"/>
        <w:ind w:left="851"/>
        <w:jc w:val="both"/>
        <w:outlineLvl w:val="5"/>
        <w:rPr>
          <w:rFonts w:ascii="Arial" w:eastAsia="Times New Roman" w:hAnsi="Arial" w:cs="Arial"/>
          <w:b/>
          <w:szCs w:val="24"/>
          <w:lang w:eastAsia="es-ES"/>
        </w:rPr>
      </w:pPr>
      <w:bookmarkStart w:id="2" w:name="_Toc164103323"/>
      <w:r>
        <w:rPr>
          <w:rFonts w:eastAsia="Times New Roman" w:cs="Arial"/>
          <w:b/>
          <w:szCs w:val="24"/>
          <w:lang w:eastAsia="es-ES"/>
        </w:rPr>
        <w:t>Materialidad o importancia relativa</w:t>
      </w:r>
      <w:bookmarkEnd w:id="2"/>
    </w:p>
    <w:p w14:paraId="52980D7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 información es material o tiene importancia relativa si su omisión o expresión inadecuada podría razonablemente esperarse que influya sobre las decisiones que los principales usuarios de los informes financieros con propósito general adoptan a partir de esos informes, que proporcionan información financiera sobre la empresa que informa. En otras palabras, materialidad o con importancia relativa es un aspecto de la relevancia específica de la empresa, basado en la naturaleza o magnitud, o ambas, de las partidas a las que se refiere la información en el contexto del informe financiero de la empresa individual. </w:t>
      </w:r>
    </w:p>
    <w:p w14:paraId="52980D76"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 w:name="_Toc164103324"/>
      <w:r>
        <w:rPr>
          <w:rFonts w:eastAsia="Times New Roman" w:cs="Arial"/>
          <w:b/>
          <w:bCs/>
          <w:szCs w:val="24"/>
          <w:lang w:eastAsia="es-ES"/>
        </w:rPr>
        <w:t>Representación fiel</w:t>
      </w:r>
      <w:bookmarkEnd w:id="3"/>
    </w:p>
    <w:p w14:paraId="52980D7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Los informes financieros representan fenómenos económicos utilizando palabras y números. Para ser útil, la información financiera debe no sólo representar los fenómenos relevantes, sino que también representar de forma fiel la esencia de los fenómenos que pretende representar (prevalencia de la sustancia económica sobre la forma jurídica). En muchas circunstancias, la esencia de un fenómeno económico y su forma legal son las mismas. Si no lo son, el suministro de información solo sobre la forma legal no representaría de forma fiel el fenómeno económico.</w:t>
      </w:r>
    </w:p>
    <w:p w14:paraId="52980D7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Para ser una representación fiel perfecta, una descripción tendría tres características: completa, neutral y libre de error. Naturalmente, la perfección es rara vez alcanzable, si es que se alcanza alguna vez. El objetivo es maximizar esas cualidades en la medida de lo posible.</w:t>
      </w:r>
    </w:p>
    <w:p w14:paraId="52980D7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Una descripción completa incluye toda la información necesaria para que un usuario comprenda el fenómeno que está siendo representado, incluyendo todas las descripciones y explicaciones necesarias. Por ejemplo, una representación completa de un grupo de activos incluiría, como mínimo, una descripción de la naturaleza de los activos del grupo, una descripción numérica de todos los activos del grupo, y una descripción de qué representa la descripción numérica (por ejemplo, costo histórico o valor razonable). Para algunas partidas, una descripción completa puede también conllevar explicaciones de hechos significativos sobre la calidad y naturaleza de las partidas, los factores y las </w:t>
      </w:r>
      <w:r>
        <w:rPr>
          <w:rFonts w:eastAsia="Times New Roman" w:cs="Times New Roman"/>
          <w:lang w:eastAsia="es-ES"/>
        </w:rPr>
        <w:lastRenderedPageBreak/>
        <w:t>circunstancias que pueden afectar a su calidad y naturaleza, así como el proceso utilizado para determinar la descripción numérica.</w:t>
      </w:r>
    </w:p>
    <w:p w14:paraId="52980D7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Una descripción neutral es la que no contiene sesgo en la selección o presentación de la información financiera. Una descripción neutral no está sesgada, ponderada, enfatizada, atenuada o manipulada de alguna otra forma para incrementar la probabilidad de que la información financiera sea recibida de forma favorable o adversa por los usuarios. Información neutral no significa información sin propósito o influencia sobre el comportamiento. Por el contrario, la información financiera relevante es, por definición, capaz de influir en las decisiones de los usuarios.</w:t>
      </w:r>
    </w:p>
    <w:p w14:paraId="52980D7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neutralidad se apoya con el ejercicio de prudencia. Prudencia es el ejercicio de la cautela al hacer juicios bajo condiciones de incertidumbre. El ejercicio de prudencia significa que los activos e ingresos no están sobrestimados, así como que los pasivos y gastos no están subestimados. Igualmente, el ejercicio de la prudencia no permite la subestimación de activos o ingresos, ni la sobrestimación de pasivos o gastos. Estas estimaciones erróneas pueden conducir a la sobrestimación o la subestimación de ingresos o de gastos en periodos futuros.</w:t>
      </w:r>
    </w:p>
    <w:p w14:paraId="52980D7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Representación fiel no significa exactitud en todos los aspectos. Libre de error significa que no hay errores u omisiones en la descripción del fenómeno, y que el proceso utilizado para producir la información presentada se ha seleccionado y aplicado sin errores. En este contexto, libre de errores no significa perfectamente exacto en todos los aspectos. Por ejemplo, no puede señalarse que una estimación de un precio o valor no observable sea exacta ni que sea inexacta. Sin embargo, una representación de esa estimación puede ser fiel si el importe se describe con claridad y exactitud como tal estimación, se explican la naturaleza y las limitaciones del proceso de estimación, y no se han cometido errores al seleccionar y aplicar un proceso adecuado para desarrollar la estimación.</w:t>
      </w:r>
    </w:p>
    <w:p w14:paraId="52980D7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incertidumbre en la medición surge cuando los importes monetarios en los estados financieros no pueden ser observados directamente y deben, en su lugar, estimarse. El uso de estimaciones razonables es una parte esencial de la preparación de la información financiera, y no debilita la utilidad de la información siempre que las estimaciones estén descritas y explicadas de forma clara y exacta. Incluso un alto nivel de incertidumbre en la medición no impide, necesariamente, que una estimación proporcione información útil.</w:t>
      </w:r>
    </w:p>
    <w:p w14:paraId="52980D7E" w14:textId="77777777" w:rsidR="008748C1" w:rsidRDefault="00000000">
      <w:pPr>
        <w:keepNext/>
        <w:spacing w:before="240" w:after="120" w:line="240" w:lineRule="auto"/>
        <w:ind w:left="851"/>
        <w:jc w:val="both"/>
        <w:outlineLvl w:val="5"/>
        <w:rPr>
          <w:rFonts w:eastAsia="Times New Roman" w:cs="Arial"/>
          <w:b/>
          <w:szCs w:val="24"/>
          <w:lang w:eastAsia="es-ES"/>
        </w:rPr>
      </w:pPr>
      <w:bookmarkStart w:id="4" w:name="_Toc164103325"/>
      <w:r>
        <w:rPr>
          <w:rFonts w:eastAsia="Times New Roman" w:cs="Arial"/>
          <w:b/>
          <w:szCs w:val="24"/>
          <w:lang w:eastAsia="es-ES"/>
        </w:rPr>
        <w:t>Aplicación de las características cualitativas fundamentales</w:t>
      </w:r>
      <w:bookmarkEnd w:id="4"/>
    </w:p>
    <w:p w14:paraId="52980D7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Para que la información sea útil debe ser relevante y, además, debe proporcionar una representación fiel de lo que pretende representar. Ni una representación fiel de un fenómeno irrelevante ni una representación no fiel de un fenómeno relevante ayudan a los usuarios a tomar decisiones adecuadas.</w:t>
      </w:r>
    </w:p>
    <w:p w14:paraId="52980D8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Los procesos más eficientes y eficaces para aplicar las características cualitativas fundamentales serían habitualmente de la forma siguiente (sujetos a los efectos de las características de mejora y la restricción del costo, que no están consideradas en este ejemplo). Primero, identificar un fenómeno económico, la información sobre lo que puede ser útil a los usuarios de la información financiera de la empresa que informa. Segundo, identificar el tipo de información sobre ese fenómeno que sería más relevante. Tercero, determinar si esa información está disponible y si puede proporcionar una representación fiel del fenómeno económico. Si es así, el proceso de satisfacer las características cualitativas fundamentales termina en ese punto. Si no es así, el proceso se repite con el siguiente tipo de información que sea más relevante.</w:t>
      </w:r>
    </w:p>
    <w:p w14:paraId="52980D8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algunos casos, se puede necesitar realizar una compensación entre las características cualitativas fundamentales para cumplir el objetivo de la información financiera, que es proporcionar información útil sobre los fenómenos económicos. Por ejemplo, la información más relevante sobre un fenómeno puede ser una estimación altamente incierta. En algunos casos, el nivel de incertidumbre en la medición que implica realizar esa estimación podría ser tan alto que cuestione si ésta proporciona una representación suficientemente fiel de ese fenómeno. En algunos de estos casos, la información más útil puede ser la </w:t>
      </w:r>
      <w:r>
        <w:rPr>
          <w:rFonts w:eastAsia="Times New Roman" w:cs="Times New Roman"/>
          <w:lang w:eastAsia="es-ES"/>
        </w:rPr>
        <w:lastRenderedPageBreak/>
        <w:t>estimación altamente incierta, acompañada de una descripción de la estimación y una explicación de las incertidumbres que le afectan. En otros de estos casos, si esa información no proporcionara una representación suficientemente fiel de ese fenómeno, la información más útil podría incluir una estimación de otro tipo que sea ligeramente menos relevante, pero que esté sujeta a una incertidumbre en la medición menor. En circunstancias concretas, puede no haber estimación que proporcione información útil. En esas circunstancias concretas, puede ser necesario proporcionar información que no dependa de una estimación.</w:t>
      </w:r>
    </w:p>
    <w:p w14:paraId="52980D82"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bookmarkStart w:id="5" w:name="_Toc164103326"/>
      <w:r>
        <w:rPr>
          <w:rFonts w:eastAsia="Times New Roman" w:cs="Times New Roman"/>
          <w:b/>
          <w:bCs/>
          <w:szCs w:val="24"/>
          <w:lang w:eastAsia="es-ES"/>
        </w:rPr>
        <w:t>CARACTERÍSTICAS CUALITATIVAS DE MEJORA</w:t>
      </w:r>
      <w:bookmarkEnd w:id="5"/>
    </w:p>
    <w:p w14:paraId="52980D83"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La comparabilidad, verificabilidad, oportunidad y comprensibilidad son características cualitativas que mejoran la utilidad de la información que es relevante y facilitan una representación fiel de lo que pretende representar. Las características cualitativas de mejora pueden también ayudar a determinar cuál de las dos vías debe utilizarse para representar un fenómeno, si ambas se consideran que proporcionan información igualmente relevante y fielmente representada de ese fenómeno.</w:t>
      </w:r>
    </w:p>
    <w:p w14:paraId="52980D84"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6" w:name="_Toc164103327"/>
      <w:r>
        <w:rPr>
          <w:rFonts w:eastAsia="Times New Roman" w:cs="Arial"/>
          <w:b/>
          <w:bCs/>
          <w:szCs w:val="24"/>
          <w:lang w:eastAsia="es-ES"/>
        </w:rPr>
        <w:t>Comparabilidad</w:t>
      </w:r>
      <w:bookmarkEnd w:id="6"/>
    </w:p>
    <w:p w14:paraId="52980D8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Las decisiones de los usuarios conllevan elegir entre alternativas, por ejemplo, vender o mantener una inversión, o invertir en una empresa que informa o en otra. Por consiguiente, la información sobre una empresa que informa es más útil si puede ser comparada con información similar sobre otras empresas, así como con información similar sobre la misma empresa para otro periodo u otra fecha. </w:t>
      </w:r>
    </w:p>
    <w:p w14:paraId="52980D8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comparabilidad es la característica cualitativa que permite a los usuarios identificar y comprender similitudes y diferencias entre partidas. A diferencia de otras características cualitativas, la comparabilidad no está relacionada con una única partida. Una comparación requiere al menos dos partidas.</w:t>
      </w:r>
    </w:p>
    <w:p w14:paraId="52980D8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congruencia, aunque está relacionada con la comparabilidad, no es lo mismo. La congruencia hace referencia al uso de los mismos métodos para las mismas partidas, de un periodo a otro dentro de una empresa que informa, o en un mismo periodo entre empresas. La comparabilidad es el objetivo; la congruencia ayuda al lograr esa meta.</w:t>
      </w:r>
    </w:p>
    <w:p w14:paraId="52980D8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Comparabilidad no es igual a uniformidad. Para que la información sea comparable, las cosas similares deben verse parecidas y las cosas distintas deben verse diferentes. La comparabilidad de la información financiera no se mejora haciendo que las cosas diferentes se vean parecidas, ni haciendo que las cosas similares se vean distintas.</w:t>
      </w:r>
    </w:p>
    <w:p w14:paraId="52980D8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Se suele conseguir cierto grado de comparabilidad satisfaciendo las características cualitativas fundamentales. Una representación fiel de un fenómeno económico relevante debería tener naturalmente algún grado de comparabilidad con una representación fiel de un fenómeno económico relevante similar en otra empresa que informa.</w:t>
      </w:r>
    </w:p>
    <w:p w14:paraId="52980D8A"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7" w:name="_Toc164103328"/>
      <w:r>
        <w:rPr>
          <w:rFonts w:eastAsia="Times New Roman" w:cs="Arial"/>
          <w:b/>
          <w:bCs/>
          <w:szCs w:val="24"/>
          <w:lang w:eastAsia="es-ES"/>
        </w:rPr>
        <w:t>Verificabilidad</w:t>
      </w:r>
      <w:bookmarkEnd w:id="7"/>
    </w:p>
    <w:p w14:paraId="52980D8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verificabilidad ayuda a asegurar a los usuarios que la información representa fielmente los fenómenos económicos que pretende representar. Verificabilidad significa que observadores independientes y diferentes, debidamente informados, podrían alcanzar un acuerdo, aunque no necesariamente completo, de que una descripción particular es una representación fiel. La información cuantificada no necesita ser una estimación única para ser verificable. También puede verificarse un rango de posibles importes, junto con las probabilidades correspondientes.</w:t>
      </w:r>
    </w:p>
    <w:p w14:paraId="52980D8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 verificación puede ser directa o indirecta. Verificación directa significa comprobar un importe u otra representación mediante la observación directa, por ejemplo, contando efectivo. Verificación indirecta </w:t>
      </w:r>
      <w:r>
        <w:rPr>
          <w:rFonts w:eastAsia="Times New Roman" w:cs="Times New Roman"/>
          <w:lang w:eastAsia="es-ES"/>
        </w:rPr>
        <w:lastRenderedPageBreak/>
        <w:t>significa comprobar los datos de entrada de un modelo, fórmulas u otra técnica, y recalcular el resultado utilizando la misma metodología.</w:t>
      </w:r>
    </w:p>
    <w:p w14:paraId="52980D8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Puede no ser posible verificar algunas explicaciones e información financiera con proyección futura hasta un periodo futuro, e incluso podría no ser posible en ningún momento. Normalmente, para ayudar a los usuarios a decidir si quieren utilizar esa información, sería necesario revelar las hipótesis subyacentes, los métodos de recopilar la información y otros factores y circunstancias que respaldan la información.</w:t>
      </w:r>
    </w:p>
    <w:p w14:paraId="52980D8E"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8" w:name="_Toc164103329"/>
      <w:r>
        <w:rPr>
          <w:rFonts w:eastAsia="Times New Roman" w:cs="Arial"/>
          <w:b/>
          <w:bCs/>
          <w:szCs w:val="24"/>
          <w:lang w:eastAsia="es-ES"/>
        </w:rPr>
        <w:t>Oportunidad</w:t>
      </w:r>
      <w:bookmarkEnd w:id="8"/>
    </w:p>
    <w:p w14:paraId="52980D8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Oportunidad significa tener información disponible para los usuarios, a tiempo de ser capaz de influir en sus decisiones. Generalmente, cuanto más antigua es la información menos útil resulta. Sin embargo, cierta información puede continuar siendo oportuna durante bastante tiempo después del cierre de un periodo sobre el que se informa debido a que, por ejemplo, algunos usuarios pueden necesitar identificar y evaluar tendencias.</w:t>
      </w:r>
    </w:p>
    <w:p w14:paraId="52980D90" w14:textId="77777777" w:rsidR="008748C1" w:rsidRDefault="00000000">
      <w:pPr>
        <w:spacing w:before="60" w:after="60" w:line="240" w:lineRule="auto"/>
        <w:ind w:left="851"/>
        <w:jc w:val="both"/>
        <w:rPr>
          <w:rFonts w:eastAsia="Times New Roman" w:cs="Times New Roman"/>
          <w:lang w:eastAsia="es-ES"/>
        </w:rPr>
      </w:pPr>
      <w:bookmarkStart w:id="9" w:name="_Toc164103330"/>
      <w:r>
        <w:rPr>
          <w:rFonts w:eastAsia="Times New Roman" w:cs="Times New Roman"/>
          <w:lang w:eastAsia="es-ES"/>
        </w:rPr>
        <w:t>Comprensibilidad</w:t>
      </w:r>
      <w:bookmarkEnd w:id="9"/>
    </w:p>
    <w:p w14:paraId="52980D9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clasificación, caracterización y presentación de la información de forma clara y concisa la hace comprensible.</w:t>
      </w:r>
    </w:p>
    <w:p w14:paraId="52980D9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Algunos fenómenos son complejos en sí mismos y no puede facilitarse su comprensión. La exclusión de información sobre esos fenómenos, en los informes financieros, podría facilitar la comprensión de la información contenida en dichos informes financieros. Sin embargo, esos informes estarían incompletos, y por ello serían posiblemente engañosos.</w:t>
      </w:r>
    </w:p>
    <w:p w14:paraId="52980D9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Los informes financieros se preparan para usuarios que tienen un conocimiento razonable de las actividades económicas y del mundo de los negocios, y que revisan y analizan la información con diligencia. A veces, incluso usuarios diligentes y bien informados pueden necesitar recabar la ayuda de un asesor para comprender información sobre fenómenos económicos complejos.</w:t>
      </w:r>
    </w:p>
    <w:p w14:paraId="52980D94" w14:textId="77777777" w:rsidR="008748C1" w:rsidRDefault="00000000">
      <w:pPr>
        <w:keepNext/>
        <w:spacing w:before="240" w:after="120" w:line="240" w:lineRule="auto"/>
        <w:ind w:left="142" w:firstLine="709"/>
        <w:jc w:val="both"/>
        <w:outlineLvl w:val="5"/>
        <w:rPr>
          <w:rFonts w:eastAsia="Times New Roman" w:cs="Arial"/>
          <w:b/>
          <w:szCs w:val="24"/>
          <w:lang w:eastAsia="es-ES"/>
        </w:rPr>
      </w:pPr>
      <w:bookmarkStart w:id="10" w:name="_Toc164103331"/>
      <w:r>
        <w:rPr>
          <w:rFonts w:eastAsia="Times New Roman" w:cs="Arial"/>
          <w:b/>
          <w:szCs w:val="24"/>
          <w:lang w:eastAsia="es-ES"/>
        </w:rPr>
        <w:t>Aplicación de las características cualitativas de mejora</w:t>
      </w:r>
      <w:bookmarkEnd w:id="10"/>
    </w:p>
    <w:p w14:paraId="52980D9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características cualitativas de mejora deben maximizarse en la medida de lo posible. Sin embargo, las características cualitativas de mejora, individualmente o en grupo, no pueden hacer que la información sea útil si es irrelevante y no proporciona una representación fiel de lo que pretende representar.</w:t>
      </w:r>
    </w:p>
    <w:p w14:paraId="52980D9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aplicación de las características cualitativas de mejora es un proceso iterativo que no sigue un orden determinado. Algunas veces, una característica cualitativa de mejora puede tener que ser reducida para maximizar otra característica cualitativa. Por ejemplo, puede merecer la pena reducir temporalmente la comparabilidad, cuando se está aplicando prospectivamente una Norma nueva, con el fin de mejorar la relevancia o la representación fiel en el largo plazo. Proporcionar una información a revelar adecuada puede compensar parcialmente la falta de comparabilidad.</w:t>
      </w:r>
    </w:p>
    <w:p w14:paraId="52980D97" w14:textId="77777777" w:rsidR="008748C1" w:rsidRDefault="00000000">
      <w:pPr>
        <w:keepNext/>
        <w:numPr>
          <w:ilvl w:val="1"/>
          <w:numId w:val="4"/>
        </w:numPr>
        <w:spacing w:before="360" w:after="120" w:line="240" w:lineRule="auto"/>
        <w:ind w:left="425" w:hanging="425"/>
        <w:outlineLvl w:val="2"/>
        <w:rPr>
          <w:rFonts w:eastAsia="Times New Roman" w:cs="Times New Roman"/>
          <w:b/>
          <w:bCs/>
          <w:szCs w:val="24"/>
          <w:lang w:eastAsia="es-ES"/>
        </w:rPr>
      </w:pPr>
      <w:bookmarkStart w:id="11" w:name="_Toc170226100"/>
      <w:r>
        <w:rPr>
          <w:rFonts w:eastAsia="Times New Roman" w:cs="Times New Roman"/>
          <w:b/>
          <w:bCs/>
          <w:szCs w:val="24"/>
          <w:lang w:eastAsia="es-ES"/>
        </w:rPr>
        <w:t>ELEMENTOS DE LOS ESTADOS FINANCIEROS</w:t>
      </w:r>
      <w:bookmarkEnd w:id="11"/>
      <w:r>
        <w:rPr>
          <w:rFonts w:eastAsia="Times New Roman" w:cs="Times New Roman"/>
          <w:b/>
          <w:bCs/>
          <w:szCs w:val="24"/>
          <w:lang w:eastAsia="es-ES"/>
        </w:rPr>
        <w:t xml:space="preserve"> </w:t>
      </w:r>
    </w:p>
    <w:p w14:paraId="52980D98"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Los elementos de los estados financieros son:</w:t>
      </w:r>
    </w:p>
    <w:p w14:paraId="52980D99" w14:textId="77777777" w:rsidR="008748C1" w:rsidRDefault="00000000">
      <w:pPr>
        <w:numPr>
          <w:ilvl w:val="0"/>
          <w:numId w:val="5"/>
        </w:numPr>
        <w:spacing w:before="60" w:after="60" w:line="240" w:lineRule="auto"/>
        <w:ind w:left="709" w:hanging="284"/>
        <w:jc w:val="both"/>
        <w:rPr>
          <w:rFonts w:eastAsia="Times New Roman" w:cs="Times New Roman"/>
          <w:lang w:eastAsia="es-ES"/>
        </w:rPr>
      </w:pPr>
      <w:r>
        <w:rPr>
          <w:rFonts w:eastAsia="Times New Roman" w:cs="Times New Roman"/>
          <w:lang w:eastAsia="es-ES"/>
        </w:rPr>
        <w:t>activos, pasivos y patrimonio, que están relacionados con la situación financiera de la empresa; e</w:t>
      </w:r>
    </w:p>
    <w:p w14:paraId="52980D9A" w14:textId="77777777" w:rsidR="008748C1" w:rsidRDefault="00000000">
      <w:pPr>
        <w:numPr>
          <w:ilvl w:val="0"/>
          <w:numId w:val="5"/>
        </w:numPr>
        <w:spacing w:before="60" w:after="60" w:line="240" w:lineRule="auto"/>
        <w:ind w:left="709" w:hanging="284"/>
        <w:jc w:val="both"/>
        <w:rPr>
          <w:rFonts w:eastAsia="Times New Roman" w:cs="Times New Roman"/>
          <w:lang w:eastAsia="es-ES"/>
        </w:rPr>
      </w:pPr>
      <w:r>
        <w:rPr>
          <w:rFonts w:eastAsia="Times New Roman" w:cs="Times New Roman"/>
          <w:lang w:eastAsia="es-ES"/>
        </w:rPr>
        <w:t>ingresos y gastos, que están relacionados con el rendimiento financiero de la empresa.</w:t>
      </w:r>
    </w:p>
    <w:p w14:paraId="52980D9B" w14:textId="77777777" w:rsidR="008748C1" w:rsidRDefault="008748C1">
      <w:pPr>
        <w:spacing w:after="0" w:line="240" w:lineRule="auto"/>
        <w:rPr>
          <w:rFonts w:eastAsia="Times New Roman" w:cs="Times New Roman"/>
          <w:szCs w:val="24"/>
          <w:lang w:eastAsia="es-ES"/>
        </w:rPr>
      </w:pPr>
    </w:p>
    <w:p w14:paraId="52980D9C"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bookmarkStart w:id="12" w:name="_Toc170226102"/>
      <w:r>
        <w:rPr>
          <w:rFonts w:eastAsia="Times New Roman" w:cs="Times New Roman"/>
          <w:b/>
          <w:bCs/>
          <w:szCs w:val="24"/>
          <w:lang w:eastAsia="es-ES"/>
        </w:rPr>
        <w:lastRenderedPageBreak/>
        <w:t>ACTIVO</w:t>
      </w:r>
      <w:bookmarkEnd w:id="12"/>
    </w:p>
    <w:p w14:paraId="52980D9D"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Un activo es un recurso económico presente controlado por la </w:t>
      </w:r>
      <w:r>
        <w:rPr>
          <w:rFonts w:eastAsia="Times New Roman" w:cs="Arial"/>
          <w:szCs w:val="24"/>
          <w:lang w:eastAsia="es-ES"/>
        </w:rPr>
        <w:t>empresa</w:t>
      </w:r>
      <w:r>
        <w:rPr>
          <w:rFonts w:eastAsia="Times New Roman" w:cs="TimesNewRomanPSMT"/>
          <w:szCs w:val="24"/>
          <w:lang w:eastAsia="es-PE"/>
        </w:rPr>
        <w:t xml:space="preserve"> como resultado de sucesos pasados. Un recurso económico es un derecho que tiene el potencial de producir beneficios económicos.</w:t>
      </w:r>
    </w:p>
    <w:p w14:paraId="52980D9E"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13" w:name="_Toc170226103"/>
      <w:r>
        <w:rPr>
          <w:rFonts w:eastAsia="Times New Roman" w:cs="Arial"/>
          <w:b/>
          <w:bCs/>
          <w:szCs w:val="24"/>
          <w:lang w:eastAsia="es-ES"/>
        </w:rPr>
        <w:t>Derecho</w:t>
      </w:r>
      <w:bookmarkEnd w:id="13"/>
    </w:p>
    <w:p w14:paraId="52980D9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Los derechos que tienen el potencial de producir beneficios toman diversas formas, incluyendo:</w:t>
      </w:r>
    </w:p>
    <w:p w14:paraId="52980DA0" w14:textId="77777777" w:rsidR="008748C1" w:rsidRDefault="00000000">
      <w:pPr>
        <w:numPr>
          <w:ilvl w:val="0"/>
          <w:numId w:val="8"/>
        </w:numPr>
        <w:spacing w:before="60" w:after="60" w:line="240" w:lineRule="auto"/>
        <w:ind w:hanging="426"/>
        <w:jc w:val="both"/>
        <w:rPr>
          <w:rFonts w:eastAsia="Times New Roman" w:cs="Arial"/>
          <w:snapToGrid w:val="0"/>
          <w:lang w:eastAsia="es-ES"/>
        </w:rPr>
      </w:pPr>
      <w:r>
        <w:rPr>
          <w:rFonts w:eastAsia="Times New Roman" w:cs="Arial"/>
          <w:snapToGrid w:val="0"/>
          <w:lang w:eastAsia="es-ES"/>
        </w:rPr>
        <w:t>Derechos que se corresponden con una obligación de un tercero, por ejemplo:</w:t>
      </w:r>
    </w:p>
    <w:p w14:paraId="52980DA1" w14:textId="77777777" w:rsidR="008748C1" w:rsidRDefault="00000000">
      <w:pPr>
        <w:numPr>
          <w:ilvl w:val="0"/>
          <w:numId w:val="9"/>
        </w:numPr>
        <w:spacing w:before="20" w:after="20" w:line="240" w:lineRule="auto"/>
        <w:ind w:left="1560" w:hanging="284"/>
        <w:jc w:val="both"/>
        <w:rPr>
          <w:rFonts w:eastAsia="Times New Roman" w:cs="Arial"/>
          <w:snapToGrid w:val="0"/>
          <w:lang w:eastAsia="es-ES"/>
        </w:rPr>
      </w:pPr>
      <w:r>
        <w:rPr>
          <w:rFonts w:eastAsia="Times New Roman" w:cs="Arial"/>
          <w:snapToGrid w:val="0"/>
          <w:lang w:eastAsia="es-ES"/>
        </w:rPr>
        <w:t>Derechos a recibir efectivo.</w:t>
      </w:r>
    </w:p>
    <w:p w14:paraId="52980DA2" w14:textId="77777777" w:rsidR="008748C1" w:rsidRDefault="00000000">
      <w:pPr>
        <w:numPr>
          <w:ilvl w:val="0"/>
          <w:numId w:val="9"/>
        </w:numPr>
        <w:spacing w:before="20" w:after="20" w:line="240" w:lineRule="auto"/>
        <w:ind w:left="1560" w:hanging="284"/>
        <w:jc w:val="both"/>
        <w:rPr>
          <w:rFonts w:eastAsia="Times New Roman" w:cs="Arial"/>
          <w:snapToGrid w:val="0"/>
          <w:lang w:eastAsia="es-ES"/>
        </w:rPr>
      </w:pPr>
      <w:r>
        <w:rPr>
          <w:rFonts w:eastAsia="Times New Roman" w:cs="Arial"/>
          <w:snapToGrid w:val="0"/>
          <w:lang w:eastAsia="es-ES"/>
        </w:rPr>
        <w:t>Derechos a recibir bienes o servicios.</w:t>
      </w:r>
    </w:p>
    <w:p w14:paraId="52980DA3" w14:textId="77777777" w:rsidR="008748C1" w:rsidRDefault="00000000">
      <w:pPr>
        <w:numPr>
          <w:ilvl w:val="0"/>
          <w:numId w:val="9"/>
        </w:numPr>
        <w:spacing w:before="20" w:after="20" w:line="240" w:lineRule="auto"/>
        <w:ind w:left="1560" w:hanging="284"/>
        <w:jc w:val="both"/>
        <w:rPr>
          <w:rFonts w:eastAsia="Times New Roman" w:cs="Arial"/>
          <w:snapToGrid w:val="0"/>
          <w:lang w:eastAsia="es-ES"/>
        </w:rPr>
      </w:pPr>
      <w:r>
        <w:rPr>
          <w:rFonts w:eastAsia="Times New Roman" w:cs="Arial"/>
          <w:snapToGrid w:val="0"/>
          <w:lang w:eastAsia="es-ES"/>
        </w:rPr>
        <w:t>Derechos a intercambiar recursos económicos con terceros en condiciones favorables.</w:t>
      </w:r>
    </w:p>
    <w:p w14:paraId="52980DA4" w14:textId="77777777" w:rsidR="008748C1" w:rsidRDefault="00000000">
      <w:pPr>
        <w:numPr>
          <w:ilvl w:val="0"/>
          <w:numId w:val="9"/>
        </w:numPr>
        <w:spacing w:before="20" w:after="20" w:line="240" w:lineRule="auto"/>
        <w:ind w:left="1560" w:hanging="284"/>
        <w:jc w:val="both"/>
        <w:rPr>
          <w:rFonts w:eastAsia="Times New Roman" w:cs="Arial"/>
          <w:snapToGrid w:val="0"/>
          <w:lang w:eastAsia="es-ES"/>
        </w:rPr>
      </w:pPr>
      <w:r>
        <w:rPr>
          <w:rFonts w:eastAsia="Times New Roman" w:cs="Arial"/>
          <w:snapToGrid w:val="0"/>
          <w:lang w:eastAsia="es-ES"/>
        </w:rPr>
        <w:t>Estos derechos incluyen, por ejemplo, un contrato a término para comprar un recurso económico en términos que son actualmente favorables o una opción para comprar un recurso económico.</w:t>
      </w:r>
    </w:p>
    <w:p w14:paraId="52980DA5" w14:textId="77777777" w:rsidR="008748C1" w:rsidRDefault="00000000">
      <w:pPr>
        <w:numPr>
          <w:ilvl w:val="0"/>
          <w:numId w:val="9"/>
        </w:numPr>
        <w:spacing w:before="20" w:after="20" w:line="240" w:lineRule="auto"/>
        <w:ind w:left="1560" w:hanging="284"/>
        <w:jc w:val="both"/>
        <w:rPr>
          <w:rFonts w:eastAsia="Times New Roman" w:cs="Arial"/>
          <w:snapToGrid w:val="0"/>
          <w:lang w:eastAsia="es-ES"/>
        </w:rPr>
      </w:pPr>
      <w:r>
        <w:rPr>
          <w:rFonts w:eastAsia="Times New Roman" w:cs="Arial"/>
          <w:snapToGrid w:val="0"/>
          <w:lang w:eastAsia="es-ES"/>
        </w:rPr>
        <w:t>Derechos a beneficios procedentes de una obligación de terceros que consiste en transferir un recurso económico si ocurre un suceso futuro incierto que haya sido especificado.</w:t>
      </w:r>
    </w:p>
    <w:p w14:paraId="52980DA6" w14:textId="77777777" w:rsidR="008748C1" w:rsidRDefault="00000000">
      <w:pPr>
        <w:numPr>
          <w:ilvl w:val="0"/>
          <w:numId w:val="8"/>
        </w:numPr>
        <w:spacing w:before="60" w:after="60" w:line="240" w:lineRule="auto"/>
        <w:ind w:hanging="426"/>
        <w:jc w:val="both"/>
        <w:rPr>
          <w:rFonts w:eastAsia="Times New Roman" w:cs="Arial"/>
          <w:snapToGrid w:val="0"/>
          <w:lang w:eastAsia="es-ES"/>
        </w:rPr>
      </w:pPr>
      <w:r>
        <w:rPr>
          <w:rFonts w:eastAsia="Times New Roman" w:cs="Arial"/>
          <w:snapToGrid w:val="0"/>
          <w:lang w:eastAsia="es-ES"/>
        </w:rPr>
        <w:t>Derechos que no se corresponden con una obligación de un tercero, por ejemplo:</w:t>
      </w:r>
    </w:p>
    <w:p w14:paraId="52980DA7" w14:textId="77777777" w:rsidR="008748C1" w:rsidRDefault="00000000">
      <w:pPr>
        <w:numPr>
          <w:ilvl w:val="0"/>
          <w:numId w:val="9"/>
        </w:numPr>
        <w:spacing w:before="20" w:after="20" w:line="240" w:lineRule="auto"/>
        <w:ind w:left="1560" w:hanging="284"/>
        <w:jc w:val="both"/>
        <w:rPr>
          <w:rFonts w:eastAsia="Times New Roman" w:cs="Arial"/>
          <w:snapToGrid w:val="0"/>
          <w:lang w:eastAsia="es-ES"/>
        </w:rPr>
      </w:pPr>
      <w:r>
        <w:rPr>
          <w:rFonts w:eastAsia="Times New Roman" w:cs="Arial"/>
          <w:snapToGrid w:val="0"/>
          <w:lang w:eastAsia="es-ES"/>
        </w:rPr>
        <w:t>Derechos sobre objetos físicos, tales como propiedades, planta y equipo.</w:t>
      </w:r>
    </w:p>
    <w:p w14:paraId="52980DA8" w14:textId="77777777" w:rsidR="008748C1" w:rsidRDefault="00000000">
      <w:pPr>
        <w:spacing w:before="20" w:after="20" w:line="240" w:lineRule="auto"/>
        <w:ind w:left="1560"/>
        <w:jc w:val="both"/>
        <w:rPr>
          <w:rFonts w:eastAsia="Times New Roman" w:cs="Arial"/>
          <w:snapToGrid w:val="0"/>
          <w:lang w:eastAsia="es-ES"/>
        </w:rPr>
      </w:pPr>
      <w:r>
        <w:rPr>
          <w:rFonts w:eastAsia="Times New Roman" w:cs="Arial"/>
          <w:snapToGrid w:val="0"/>
          <w:lang w:eastAsia="es-ES"/>
        </w:rPr>
        <w:t>Ejemplos de estos derechos son un derecho a usar un objeto físico o un derecho a beneficios procedentes del valor residual de un objeto arrendado.</w:t>
      </w:r>
    </w:p>
    <w:p w14:paraId="52980DA9" w14:textId="77777777" w:rsidR="008748C1" w:rsidRDefault="00000000">
      <w:pPr>
        <w:numPr>
          <w:ilvl w:val="0"/>
          <w:numId w:val="9"/>
        </w:numPr>
        <w:spacing w:before="20" w:after="20" w:line="240" w:lineRule="auto"/>
        <w:ind w:left="1560" w:hanging="284"/>
        <w:jc w:val="both"/>
        <w:rPr>
          <w:rFonts w:eastAsia="Times New Roman" w:cs="Arial"/>
          <w:snapToGrid w:val="0"/>
          <w:lang w:eastAsia="es-ES"/>
        </w:rPr>
      </w:pPr>
      <w:r>
        <w:rPr>
          <w:rFonts w:eastAsia="Times New Roman" w:cs="Arial"/>
          <w:snapToGrid w:val="0"/>
          <w:lang w:eastAsia="es-ES"/>
        </w:rPr>
        <w:t>Derecho a utilizar propiedad intelectual.</w:t>
      </w:r>
    </w:p>
    <w:p w14:paraId="52980DA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Muchos derechos se establecen por contrato, legislación o medios similares. Por ejemplo, la empresa puede obtener derechos sobre un objeto físico propio o arrendado, mediante la posesión de un instrumento de deuda o un instrumento de patrimonio, o mediante la posesión de una patente registrada. Sin embargo, la empresa también puede obtener derechos de otras formas.</w:t>
      </w:r>
    </w:p>
    <w:p w14:paraId="52980DA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Algunos bienes o servicios (por ejemplo, servicios de empleados) se reciben y consumen de forma inmediata. El derecho de la empresa a obtener beneficios económicos producidos por estos bienes o servicios existe de forma momentánea hasta que la empresa consume los bienes o servicios.</w:t>
      </w:r>
    </w:p>
    <w:p w14:paraId="52980DA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No todos los derechos de la empresa son activos de esa empresa (para ser activos de la empresa, los derechos deben tener el potencial de producir beneficios económicos para la empresa más allá de los beneficios económicos disponibles para todo tercero y ser controlados por la empresa). Por ejemplo, los derechos disponibles para cualquier tercero sin costo significativo (por ejemplo, derechos de acceso a bienes públicos, tales como los derechos públicos de paso sobre terrenos o el conocimiento que es de dominio público), habitualmente no son activos para las empresas que los poseen.</w:t>
      </w:r>
    </w:p>
    <w:p w14:paraId="52980DA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no puede tener derecho a obtener beneficios económicos de sí misma. Por ello:</w:t>
      </w:r>
    </w:p>
    <w:p w14:paraId="52980DAE" w14:textId="77777777" w:rsidR="008748C1" w:rsidRDefault="00000000">
      <w:pPr>
        <w:numPr>
          <w:ilvl w:val="0"/>
          <w:numId w:val="9"/>
        </w:numPr>
        <w:spacing w:before="20" w:after="20" w:line="240" w:lineRule="auto"/>
        <w:ind w:left="1134" w:hanging="283"/>
        <w:jc w:val="both"/>
        <w:rPr>
          <w:rFonts w:eastAsia="Times New Roman" w:cs="Arial"/>
          <w:snapToGrid w:val="0"/>
          <w:lang w:eastAsia="es-ES"/>
        </w:rPr>
      </w:pPr>
      <w:r>
        <w:rPr>
          <w:rFonts w:eastAsia="Times New Roman" w:cs="Arial"/>
          <w:snapToGrid w:val="0"/>
          <w:lang w:eastAsia="es-ES"/>
        </w:rPr>
        <w:t>los instrumentos de deuda o instrumentos de patrimonio emitidos por la empresa y recomprados y mantenidos por ella (por ejemplo, acciones propias) no son recursos económicos de esa empresa; y</w:t>
      </w:r>
    </w:p>
    <w:p w14:paraId="52980DAF" w14:textId="77777777" w:rsidR="008748C1" w:rsidRDefault="00000000">
      <w:pPr>
        <w:numPr>
          <w:ilvl w:val="0"/>
          <w:numId w:val="9"/>
        </w:numPr>
        <w:spacing w:before="20" w:after="20" w:line="240" w:lineRule="auto"/>
        <w:ind w:left="1134" w:hanging="283"/>
        <w:jc w:val="both"/>
        <w:rPr>
          <w:rFonts w:eastAsia="Times New Roman" w:cs="Arial"/>
          <w:snapToGrid w:val="0"/>
          <w:lang w:eastAsia="es-ES"/>
        </w:rPr>
      </w:pPr>
      <w:r>
        <w:rPr>
          <w:rFonts w:eastAsia="Times New Roman" w:cs="Arial"/>
          <w:snapToGrid w:val="0"/>
          <w:lang w:eastAsia="es-ES"/>
        </w:rPr>
        <w:t>si una empresa que informa comprende más de una empresa legal, los instrumentos de deuda o instrumentos de patrimonio emitidos por una de dichas empresas legales y mantenidos por otra de ellas no son recursos económicos de la empresa que informa.</w:t>
      </w:r>
    </w:p>
    <w:p w14:paraId="52980DB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principio, cada uno de los derechos de la empresa es un activo separado. Sin embargo, a efectos contables, los derechos relacionados se tratan a menudo como una única unidad de cuenta que es un activo único. </w:t>
      </w:r>
    </w:p>
    <w:p w14:paraId="52980DB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muchos casos, el conjunto de derechos que surgen de la propiedad legal de un objeto físico se contabiliza como un activo único. Conceptualmente, el recurso económico es el conjunto de derechos, </w:t>
      </w:r>
      <w:r>
        <w:rPr>
          <w:rFonts w:eastAsia="Times New Roman" w:cs="Times New Roman"/>
          <w:lang w:eastAsia="es-ES"/>
        </w:rPr>
        <w:lastRenderedPageBreak/>
        <w:t>no el objeto físico. No obstante, la descripción del objeto físico como el conjunto de derechos proporcionará, a menudo, una representación fiel de esos derechos de la forma más concisa y comprensible.</w:t>
      </w:r>
    </w:p>
    <w:p w14:paraId="52980DB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algunos casos, es incierta la existencia de un derecho. Por ejemplo, una empresa y un tercero pueden discrepar si la empresa tiene un derecho a recibir un recurso económico de ese tercero. Hasta que esa incertidumbre sobre la existencia se resuelva (por ejemplo, mediante sentencia judicial) es incierto que la empresa tiene un derecho y, por consiguiente, si existe un activo. </w:t>
      </w:r>
    </w:p>
    <w:p w14:paraId="52980DB3"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14" w:name="_Toc170226104"/>
      <w:r>
        <w:rPr>
          <w:rFonts w:eastAsia="Times New Roman" w:cs="Arial"/>
          <w:b/>
          <w:bCs/>
          <w:szCs w:val="24"/>
          <w:lang w:eastAsia="es-ES"/>
        </w:rPr>
        <w:t>Potencial para producir beneficios económicos</w:t>
      </w:r>
      <w:bookmarkEnd w:id="14"/>
    </w:p>
    <w:p w14:paraId="52980DB4"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 xml:space="preserve">Un recurso económico es un derecho que tiene el potencial de producir beneficios económicos. </w:t>
      </w:r>
    </w:p>
    <w:p w14:paraId="52980DB5"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Un recurso económico podría producir beneficios económicos para la empresa permitiendo u otorgando el derecho a realizar, por ejemplo, uno o más de las siguientes acciones:</w:t>
      </w:r>
    </w:p>
    <w:p w14:paraId="52980DB6" w14:textId="77777777" w:rsidR="008748C1" w:rsidRDefault="00000000">
      <w:pPr>
        <w:numPr>
          <w:ilvl w:val="0"/>
          <w:numId w:val="9"/>
        </w:numPr>
        <w:tabs>
          <w:tab w:val="left" w:pos="993"/>
        </w:tabs>
        <w:spacing w:before="20" w:after="20" w:line="240" w:lineRule="auto"/>
        <w:ind w:left="993" w:hanging="284"/>
        <w:jc w:val="both"/>
        <w:rPr>
          <w:rFonts w:eastAsia="Times New Roman" w:cs="Arial"/>
          <w:snapToGrid w:val="0"/>
          <w:lang w:eastAsia="es-ES"/>
        </w:rPr>
      </w:pPr>
      <w:r>
        <w:rPr>
          <w:rFonts w:eastAsia="Times New Roman" w:cs="Arial"/>
          <w:snapToGrid w:val="0"/>
          <w:lang w:eastAsia="es-ES"/>
        </w:rPr>
        <w:t>Recibir flujos de efectivo contractuales u otro recurso económico.</w:t>
      </w:r>
    </w:p>
    <w:p w14:paraId="52980DB7" w14:textId="77777777" w:rsidR="008748C1" w:rsidRDefault="00000000">
      <w:pPr>
        <w:numPr>
          <w:ilvl w:val="0"/>
          <w:numId w:val="9"/>
        </w:numPr>
        <w:tabs>
          <w:tab w:val="left" w:pos="993"/>
        </w:tabs>
        <w:spacing w:before="20" w:after="20" w:line="240" w:lineRule="auto"/>
        <w:ind w:left="993" w:hanging="284"/>
        <w:jc w:val="both"/>
        <w:rPr>
          <w:rFonts w:eastAsia="Times New Roman" w:cs="Arial"/>
          <w:snapToGrid w:val="0"/>
          <w:lang w:eastAsia="es-ES"/>
        </w:rPr>
      </w:pPr>
      <w:r>
        <w:rPr>
          <w:rFonts w:eastAsia="Times New Roman" w:cs="Arial"/>
          <w:snapToGrid w:val="0"/>
          <w:lang w:eastAsia="es-ES"/>
        </w:rPr>
        <w:t>Intercambiar recursos económicos con terceros en condiciones favorables.</w:t>
      </w:r>
    </w:p>
    <w:p w14:paraId="52980DB8" w14:textId="77777777" w:rsidR="008748C1" w:rsidRDefault="00000000">
      <w:pPr>
        <w:numPr>
          <w:ilvl w:val="0"/>
          <w:numId w:val="9"/>
        </w:numPr>
        <w:tabs>
          <w:tab w:val="left" w:pos="993"/>
        </w:tabs>
        <w:spacing w:before="20" w:after="20" w:line="240" w:lineRule="auto"/>
        <w:ind w:left="993" w:hanging="284"/>
        <w:jc w:val="both"/>
        <w:rPr>
          <w:rFonts w:eastAsia="Times New Roman" w:cs="Arial"/>
          <w:snapToGrid w:val="0"/>
          <w:lang w:eastAsia="es-ES"/>
        </w:rPr>
      </w:pPr>
      <w:r>
        <w:rPr>
          <w:rFonts w:eastAsia="Times New Roman" w:cs="Arial"/>
          <w:snapToGrid w:val="0"/>
          <w:lang w:eastAsia="es-ES"/>
        </w:rPr>
        <w:t>Producir entradas de efectivo o evitar salidas de efectivo.</w:t>
      </w:r>
    </w:p>
    <w:p w14:paraId="52980DB9" w14:textId="77777777" w:rsidR="008748C1" w:rsidRDefault="00000000">
      <w:pPr>
        <w:numPr>
          <w:ilvl w:val="0"/>
          <w:numId w:val="9"/>
        </w:numPr>
        <w:tabs>
          <w:tab w:val="left" w:pos="993"/>
        </w:tabs>
        <w:spacing w:before="20" w:after="20" w:line="240" w:lineRule="auto"/>
        <w:ind w:left="993" w:hanging="284"/>
        <w:jc w:val="both"/>
        <w:rPr>
          <w:rFonts w:eastAsia="Times New Roman" w:cs="Arial"/>
          <w:snapToGrid w:val="0"/>
          <w:lang w:eastAsia="es-ES"/>
        </w:rPr>
      </w:pPr>
      <w:r>
        <w:rPr>
          <w:rFonts w:eastAsia="Times New Roman" w:cs="Arial"/>
          <w:snapToGrid w:val="0"/>
          <w:lang w:eastAsia="es-ES"/>
        </w:rPr>
        <w:t>Recibir efectivo u otros recursos económicos mediante la venta del recurso económico.</w:t>
      </w:r>
    </w:p>
    <w:p w14:paraId="52980DBA" w14:textId="77777777" w:rsidR="008748C1" w:rsidRDefault="00000000">
      <w:pPr>
        <w:numPr>
          <w:ilvl w:val="0"/>
          <w:numId w:val="9"/>
        </w:numPr>
        <w:tabs>
          <w:tab w:val="left" w:pos="993"/>
        </w:tabs>
        <w:spacing w:before="20" w:after="20" w:line="240" w:lineRule="auto"/>
        <w:ind w:left="993" w:hanging="284"/>
        <w:jc w:val="both"/>
        <w:rPr>
          <w:rFonts w:eastAsia="Times New Roman" w:cs="Arial"/>
          <w:snapToGrid w:val="0"/>
          <w:lang w:eastAsia="es-ES"/>
        </w:rPr>
      </w:pPr>
      <w:r>
        <w:rPr>
          <w:rFonts w:eastAsia="Times New Roman" w:cs="Arial"/>
          <w:snapToGrid w:val="0"/>
          <w:lang w:eastAsia="es-ES"/>
        </w:rPr>
        <w:t>Extinguir pasivos mediante la transferencia del recurso económico.</w:t>
      </w:r>
    </w:p>
    <w:p w14:paraId="52980DBB"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Aunque un recurso económico debe su valor a su potencial presente para producir beneficios económicos futuros, el recurso económico es el derecho presente que contiene ese potencial, no los beneficios económicos futuros que el derecho puede producir. Por ejemplo, el valor de una opción comprada procede de su potencial presente para producir beneficios económicos a través del ejercicio de la opción en una fecha futura. Sin embargo, el recurso económico es el derecho presente (el derecho a ejercer la opción en una fecha futura). El recurso económico no son los beneficios económicos futuros que el tenedor recibirá si se ejercita la opción.</w:t>
      </w:r>
    </w:p>
    <w:p w14:paraId="52980DBC"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Existe una asociación muy estrecha entre la realización de un determinado desembolso y la adquisición de un activo, aunque uno y otro no tienen por qué coincidir necesariamente. Por ello, cuando una empresa incurre en un desembolso, esto puede proporcionar evidencia de que ha buscado los beneficios económicos futuros, pero no proporciona una prueba concluyente de que haya obtenido un activo. De forma análoga, la ausencia de un desembolso relacionado no excluye que una partida cumpla la definición de activo. Los activos pueden incluir, por ejemplo, derechos que un gobierno ha concedido a la empresa sin costo o que han sido donados a la empresa por un tercero.</w:t>
      </w:r>
    </w:p>
    <w:p w14:paraId="52980DBD"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15" w:name="_Toc170226105"/>
      <w:r>
        <w:rPr>
          <w:rFonts w:eastAsia="Times New Roman" w:cs="Arial"/>
          <w:b/>
          <w:bCs/>
          <w:szCs w:val="24"/>
          <w:lang w:eastAsia="es-ES"/>
        </w:rPr>
        <w:t>Control</w:t>
      </w:r>
      <w:bookmarkEnd w:id="15"/>
    </w:p>
    <w:p w14:paraId="52980DBE"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La empresa controla un recurso económico si tiene la capacidad presente de dirigir el uso del recurso económico y obtener los beneficios económicos que pueden proceder de éste. El control incluye la capacidad presente de impedir que terceros dirijan el uso del recurso económico y la obtención de los beneficios económicos que pueden proceder de éste. De ello se deduce que, si una parte controla un recurso económico, ningún tercero controla ese recurso.</w:t>
      </w:r>
    </w:p>
    <w:p w14:paraId="52980DBF"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La empresa tiene la capacidad presente de dirigir el uso de un recurso económico si tiene el derecho a utilizar ese recurso económico en sus actividades, o de permitir que un tercero utilice para sus actividades dicho recurso económico.</w:t>
      </w:r>
    </w:p>
    <w:p w14:paraId="52980DC0"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 xml:space="preserve">El control de un recurso económico habitualmente surge de la capacidad de exigir los derechos legales. Sin embargo, el control puede surgir también si la empresa tiene otros medios de asegurar que tiene la capacidad presente, y no la tiene un tercero, de dirigir el uso del recurso económico y obtener los beneficios que pueden proceder de éste. </w:t>
      </w:r>
    </w:p>
    <w:p w14:paraId="52980DC1"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 xml:space="preserve">Para que la empresa controle un recurso económico, los beneficios económicos futuros procedentes del recurso deben ir a la empresa directa o indirectamente en lugar de a un tercero. Este aspecto de control </w:t>
      </w:r>
      <w:r>
        <w:rPr>
          <w:rFonts w:eastAsia="Times New Roman" w:cs="Times New Roman"/>
          <w:lang w:eastAsia="es-ES"/>
        </w:rPr>
        <w:lastRenderedPageBreak/>
        <w:t>no supone que la empresa pueda asegurar que el recurso producirá beneficios económicos en cualquier circunstancia. Más bien significa que, si el recurso produce beneficios económicos, la empresa es la parte que los obtendrá directa o indirectamente.</w:t>
      </w:r>
    </w:p>
    <w:p w14:paraId="52980DC2"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La exposición a variaciones significativas en el importe de los beneficios económicos producidos por un recurso económico puede indicar que la empresa controla el recurso. Sin embargo, solo es un factor por considerar en la evaluación global de si existe control.</w:t>
      </w:r>
    </w:p>
    <w:p w14:paraId="52980DC3"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En ocasiones una parte (un principal) contrata a otra parte (un agente) para que actúe en su nombre y para su beneficio. Por ejemplo, un principal puede contratar a un agente para que acuerde ventas de bienes controlados por el principal. Si un agente tiene en custodia un recurso económico controlado por el principal, ese recurso económico no es un activo del agente. Además, si el agente tiene la obligación de transferir a un tercero un recurso económico controlado por el principal, esa obligación no es un pasivo del agente, porque el recurso económico que sería transferido es el recurso económico del principal, no del agente.</w:t>
      </w:r>
    </w:p>
    <w:p w14:paraId="52980DC4"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bookmarkStart w:id="16" w:name="_Toc170226106"/>
      <w:r>
        <w:rPr>
          <w:rFonts w:eastAsia="Times New Roman" w:cs="Times New Roman"/>
          <w:b/>
          <w:bCs/>
          <w:szCs w:val="24"/>
          <w:lang w:eastAsia="es-ES"/>
        </w:rPr>
        <w:t>PASIVO</w:t>
      </w:r>
      <w:bookmarkEnd w:id="16"/>
    </w:p>
    <w:p w14:paraId="52980DC5"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Un pasivo es una obligación presente de la empresa de transferir un recurso económico como resultado de sucesos pasados.</w:t>
      </w:r>
    </w:p>
    <w:p w14:paraId="52980DC6"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Para que exista un pasivo, deben satisfacerse los tres criterios siguientes:</w:t>
      </w:r>
    </w:p>
    <w:p w14:paraId="52980DC7" w14:textId="77777777" w:rsidR="008748C1" w:rsidRDefault="00000000">
      <w:pPr>
        <w:numPr>
          <w:ilvl w:val="0"/>
          <w:numId w:val="9"/>
        </w:numPr>
        <w:spacing w:before="20" w:after="20" w:line="240" w:lineRule="auto"/>
        <w:ind w:left="709" w:hanging="283"/>
        <w:jc w:val="both"/>
        <w:rPr>
          <w:rFonts w:eastAsia="Times New Roman" w:cs="Arial"/>
          <w:snapToGrid w:val="0"/>
          <w:lang w:eastAsia="es-ES"/>
        </w:rPr>
      </w:pPr>
      <w:r>
        <w:rPr>
          <w:rFonts w:eastAsia="Times New Roman" w:cs="Arial"/>
          <w:snapToGrid w:val="0"/>
          <w:lang w:eastAsia="es-ES"/>
        </w:rPr>
        <w:t>la empresa tiene una obligación;</w:t>
      </w:r>
    </w:p>
    <w:p w14:paraId="52980DC8" w14:textId="77777777" w:rsidR="008748C1" w:rsidRDefault="00000000">
      <w:pPr>
        <w:numPr>
          <w:ilvl w:val="0"/>
          <w:numId w:val="9"/>
        </w:numPr>
        <w:spacing w:before="20" w:after="20" w:line="240" w:lineRule="auto"/>
        <w:ind w:left="709" w:hanging="283"/>
        <w:jc w:val="both"/>
        <w:rPr>
          <w:rFonts w:eastAsia="Times New Roman" w:cs="Arial"/>
          <w:snapToGrid w:val="0"/>
          <w:lang w:eastAsia="es-ES"/>
        </w:rPr>
      </w:pPr>
      <w:r>
        <w:rPr>
          <w:rFonts w:eastAsia="Times New Roman" w:cs="Arial"/>
          <w:snapToGrid w:val="0"/>
          <w:lang w:eastAsia="es-ES"/>
        </w:rPr>
        <w:t>la obligación es transferir un recurso económico; y</w:t>
      </w:r>
    </w:p>
    <w:p w14:paraId="52980DC9" w14:textId="77777777" w:rsidR="008748C1" w:rsidRDefault="00000000">
      <w:pPr>
        <w:numPr>
          <w:ilvl w:val="0"/>
          <w:numId w:val="9"/>
        </w:numPr>
        <w:spacing w:before="20" w:after="20" w:line="240" w:lineRule="auto"/>
        <w:ind w:left="709" w:hanging="283"/>
        <w:jc w:val="both"/>
        <w:rPr>
          <w:rFonts w:eastAsia="Times New Roman" w:cs="Arial"/>
          <w:snapToGrid w:val="0"/>
          <w:lang w:eastAsia="es-ES"/>
        </w:rPr>
      </w:pPr>
      <w:r>
        <w:rPr>
          <w:rFonts w:eastAsia="Times New Roman" w:cs="Arial"/>
          <w:snapToGrid w:val="0"/>
          <w:lang w:eastAsia="es-ES"/>
        </w:rPr>
        <w:t>la obligación es una obligación presente que existe como resultado de sucesos pasados.</w:t>
      </w:r>
    </w:p>
    <w:p w14:paraId="52980DCA"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17" w:name="_Toc170226107"/>
      <w:r>
        <w:rPr>
          <w:rFonts w:eastAsia="Times New Roman" w:cs="Arial"/>
          <w:b/>
          <w:bCs/>
          <w:szCs w:val="24"/>
          <w:lang w:eastAsia="es-ES"/>
        </w:rPr>
        <w:t>Obligación</w:t>
      </w:r>
      <w:bookmarkEnd w:id="17"/>
    </w:p>
    <w:p w14:paraId="52980DCB"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El primer criterio para un pasivo es que la empresa tenga una obligación.</w:t>
      </w:r>
    </w:p>
    <w:p w14:paraId="52980DCC"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Una obligación es un deber o responsabilidad que la empresa no tiene capacidad práctica de evitar. Una obligación siempre es debida a un tercero (o terceros). El tercero (o terceros) podría ser una persona u otra empresa, un grupo de personas o de otras empresas, o una colectividad social. No es necesario conocer la identidad del tercero (o terceros) a quien se debe la obligación.</w:t>
      </w:r>
    </w:p>
    <w:p w14:paraId="52980DCD"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Si una parte tiene una obligación de transferir un recurso económico, se entiende que un tercero (o terceros) tiene el derecho a recibir ese recurso económico. Sin embargo, un requerimiento para que una parte reconozca un pasivo y lo mida por un importe especificado no supone que el tercero (o terceros) deba reconocer un activo o lo mida por el mismo importe. Por ejemplo, Normas concretas pueden contener criterios de reconocimiento o requerimientos de medición diferentes para el pasivo de una parte y el activo correspondiente del tercero (o terceros) si dichos criterios o requerimientos distintos son consecuencia de decisiones que pretenden seleccionar la información más relevante, que represente fielmente lo que pretende representar.</w:t>
      </w:r>
    </w:p>
    <w:p w14:paraId="52980DCE"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Muchas obligaciones se establecen por contrato, legislación o medios similares y son legalmente exigibles por la parte (o partes) a quienes se les deben. Las obligaciones pueden también surgir, sin embargo, de las prácticas tradicionales de la empresa, políticas publicadas o declaraciones específicas, si la empresa no tiene la capacidad práctica de actuar de forma incongruente con esas prácticas, políticas o declaraciones. La obligación que surge en estas situaciones se describe, a menudo, como una "obligación implícita".</w:t>
      </w:r>
    </w:p>
    <w:p w14:paraId="52980DCF"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En algunas situaciones, el deber o la responsabilidad de la empresa de transferir un recurso económico están condicionados a una acción futura concreta que la empresa puede realizar por sí misma. Estas acciones podrían incluir la explotación de un negocio concreto u operar en un mercado concreto en una fecha futura especificada, o ejercer opciones concretas dentro de un contrato. En estas situaciones, la empresa tiene una obligación si no tiene la capacidad práctica de evitar la realización de esa acción.</w:t>
      </w:r>
    </w:p>
    <w:p w14:paraId="52980DD0"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lastRenderedPageBreak/>
        <w:t>La conclusión de que es apropiado preparar los estados financieros de una empresa sobre una base de negocio en marcha también implica una conclusión de que la empresa no tiene la capacidad de evitar una transferencia que podría evitarse solo liquidando la empresa o cesando en el negocio.</w:t>
      </w:r>
    </w:p>
    <w:p w14:paraId="52980DD1"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 xml:space="preserve">En algunos casos, hay incertidumbre sobre si existe una obligación. Por ejemplo, si un tercero pretende una compensación por un acto de una empresa denunciado por irregularidades, puede haber incertidumbre sobre si ocurrió o no el acto, sobre si la empresa lo cometió o sobre cómo se aplica la ley. Hasta que esa incertidumbre sobre la existencia se resuelva (por ejemplo, mediante sentencia judicial) existirá incertidumbre sobre si la empresa tiene una obligación con el tercero que pretende una compensación y, por consiguiente, si existe un pasivo. </w:t>
      </w:r>
    </w:p>
    <w:p w14:paraId="52980DD2"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18" w:name="_Toc170226108"/>
      <w:r>
        <w:rPr>
          <w:rFonts w:eastAsia="Times New Roman" w:cs="Arial"/>
          <w:b/>
          <w:bCs/>
          <w:szCs w:val="24"/>
          <w:lang w:eastAsia="es-ES"/>
        </w:rPr>
        <w:t>Transferencia de un recurso económico</w:t>
      </w:r>
      <w:bookmarkEnd w:id="18"/>
    </w:p>
    <w:p w14:paraId="52980DD3"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 xml:space="preserve">El segundo criterio para un pasivo es que la obligación sea la transferencia de un recurso económico. Para satisfacer este criterio, la obligación debe tener el potencial de requerir que la empresa transfiera un recurso económico a un tercero (o a varios terceros). </w:t>
      </w:r>
    </w:p>
    <w:p w14:paraId="52980DD4"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Las obligaciones de transferir un recurso económico incluyen, por ejemplo:</w:t>
      </w:r>
    </w:p>
    <w:p w14:paraId="52980DD5" w14:textId="77777777" w:rsidR="008748C1" w:rsidRDefault="00000000">
      <w:pPr>
        <w:numPr>
          <w:ilvl w:val="0"/>
          <w:numId w:val="9"/>
        </w:numPr>
        <w:spacing w:before="20" w:after="20" w:line="240" w:lineRule="auto"/>
        <w:ind w:left="1276" w:hanging="284"/>
        <w:jc w:val="both"/>
        <w:rPr>
          <w:rFonts w:eastAsia="Times New Roman" w:cs="Arial"/>
          <w:snapToGrid w:val="0"/>
          <w:sz w:val="20"/>
          <w:lang w:eastAsia="es-ES"/>
        </w:rPr>
      </w:pPr>
      <w:r>
        <w:rPr>
          <w:rFonts w:eastAsia="Times New Roman" w:cs="Arial"/>
          <w:snapToGrid w:val="0"/>
          <w:lang w:eastAsia="es-ES"/>
        </w:rPr>
        <w:t>Obligaciones de pagar efectivo.</w:t>
      </w:r>
    </w:p>
    <w:p w14:paraId="52980DD6" w14:textId="77777777" w:rsidR="008748C1" w:rsidRDefault="00000000">
      <w:pPr>
        <w:numPr>
          <w:ilvl w:val="0"/>
          <w:numId w:val="9"/>
        </w:numPr>
        <w:spacing w:before="20" w:after="20" w:line="240" w:lineRule="auto"/>
        <w:ind w:left="1276" w:hanging="284"/>
        <w:jc w:val="both"/>
        <w:rPr>
          <w:rFonts w:eastAsia="Times New Roman" w:cs="Arial"/>
          <w:snapToGrid w:val="0"/>
          <w:sz w:val="20"/>
          <w:lang w:eastAsia="es-ES"/>
        </w:rPr>
      </w:pPr>
      <w:r>
        <w:rPr>
          <w:rFonts w:eastAsia="Times New Roman" w:cs="Arial"/>
          <w:snapToGrid w:val="0"/>
          <w:lang w:eastAsia="es-ES"/>
        </w:rPr>
        <w:t>Obligaciones de entregar bienes o prestar servicios.</w:t>
      </w:r>
    </w:p>
    <w:p w14:paraId="52980DD7" w14:textId="77777777" w:rsidR="008748C1" w:rsidRDefault="00000000">
      <w:pPr>
        <w:numPr>
          <w:ilvl w:val="0"/>
          <w:numId w:val="9"/>
        </w:numPr>
        <w:spacing w:before="20" w:after="20" w:line="240" w:lineRule="auto"/>
        <w:ind w:left="1276" w:hanging="284"/>
        <w:jc w:val="both"/>
        <w:rPr>
          <w:rFonts w:eastAsia="Times New Roman" w:cs="Arial"/>
          <w:snapToGrid w:val="0"/>
          <w:sz w:val="20"/>
          <w:lang w:eastAsia="es-ES"/>
        </w:rPr>
      </w:pPr>
      <w:r>
        <w:rPr>
          <w:rFonts w:eastAsia="Times New Roman" w:cs="Arial"/>
          <w:snapToGrid w:val="0"/>
          <w:lang w:eastAsia="es-ES"/>
        </w:rPr>
        <w:t>Obligaciones a intercambiar recursos económicos con terceros en condiciones desfavorables.</w:t>
      </w:r>
    </w:p>
    <w:p w14:paraId="52980DD8" w14:textId="77777777" w:rsidR="008748C1" w:rsidRDefault="00000000">
      <w:pPr>
        <w:numPr>
          <w:ilvl w:val="0"/>
          <w:numId w:val="9"/>
        </w:numPr>
        <w:spacing w:before="20" w:after="20" w:line="240" w:lineRule="auto"/>
        <w:ind w:left="1276" w:hanging="284"/>
        <w:jc w:val="both"/>
        <w:rPr>
          <w:rFonts w:eastAsia="Times New Roman" w:cs="Arial"/>
          <w:snapToGrid w:val="0"/>
          <w:sz w:val="20"/>
          <w:lang w:eastAsia="es-ES"/>
        </w:rPr>
      </w:pPr>
      <w:r>
        <w:rPr>
          <w:rFonts w:eastAsia="Times New Roman" w:cs="Arial"/>
          <w:snapToGrid w:val="0"/>
          <w:lang w:eastAsia="es-ES"/>
        </w:rPr>
        <w:t>Estas obligaciones incluyen, por ejemplo, un contrato a término para vender un recurso económico en condiciones que son actualmente desfavorables, o una opción que da derecho a un tercero a comprar un recurso económico de la empresa.</w:t>
      </w:r>
    </w:p>
    <w:p w14:paraId="52980DD9" w14:textId="77777777" w:rsidR="008748C1" w:rsidRDefault="00000000">
      <w:pPr>
        <w:numPr>
          <w:ilvl w:val="0"/>
          <w:numId w:val="9"/>
        </w:numPr>
        <w:spacing w:before="20" w:after="20" w:line="240" w:lineRule="auto"/>
        <w:ind w:left="1276" w:hanging="284"/>
        <w:jc w:val="both"/>
        <w:rPr>
          <w:rFonts w:eastAsia="Times New Roman" w:cs="Arial"/>
          <w:snapToGrid w:val="0"/>
          <w:sz w:val="20"/>
          <w:lang w:eastAsia="es-ES"/>
        </w:rPr>
      </w:pPr>
      <w:r>
        <w:rPr>
          <w:rFonts w:eastAsia="Times New Roman" w:cs="Arial"/>
          <w:snapToGrid w:val="0"/>
          <w:lang w:eastAsia="es-ES"/>
        </w:rPr>
        <w:t>Obligaciones de transferir un recurso económico si ocurre un determinado suceso futuro incierto.</w:t>
      </w:r>
    </w:p>
    <w:p w14:paraId="52980DDA" w14:textId="77777777" w:rsidR="008748C1" w:rsidRDefault="00000000">
      <w:pPr>
        <w:numPr>
          <w:ilvl w:val="0"/>
          <w:numId w:val="9"/>
        </w:numPr>
        <w:spacing w:before="20" w:after="20" w:line="240" w:lineRule="auto"/>
        <w:ind w:left="1276" w:hanging="284"/>
        <w:jc w:val="both"/>
        <w:rPr>
          <w:rFonts w:eastAsia="Times New Roman" w:cs="Arial"/>
          <w:snapToGrid w:val="0"/>
          <w:sz w:val="20"/>
          <w:lang w:eastAsia="es-ES"/>
        </w:rPr>
      </w:pPr>
      <w:r>
        <w:rPr>
          <w:rFonts w:eastAsia="Times New Roman" w:cs="Arial"/>
          <w:snapToGrid w:val="0"/>
          <w:lang w:eastAsia="es-ES"/>
        </w:rPr>
        <w:t>Obligaciones de emitir un instrumento financiero que obligará a la empresa a transferir un recurso económico.</w:t>
      </w:r>
    </w:p>
    <w:p w14:paraId="52980DDB"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En lugar de satisfacer una obligación de transferir un recurso económico al tercero que tiene el derecho de recibir ese recurso, las empresas, en ocasiones, deciden, por ejemplo:</w:t>
      </w:r>
    </w:p>
    <w:p w14:paraId="52980DDC" w14:textId="77777777" w:rsidR="008748C1" w:rsidRDefault="00000000">
      <w:pPr>
        <w:numPr>
          <w:ilvl w:val="0"/>
          <w:numId w:val="9"/>
        </w:numPr>
        <w:spacing w:before="20" w:after="20" w:line="240" w:lineRule="auto"/>
        <w:ind w:left="993" w:hanging="284"/>
        <w:jc w:val="both"/>
        <w:rPr>
          <w:rFonts w:eastAsia="Times New Roman" w:cs="Arial"/>
          <w:snapToGrid w:val="0"/>
          <w:lang w:eastAsia="es-ES"/>
        </w:rPr>
      </w:pPr>
      <w:r>
        <w:rPr>
          <w:rFonts w:eastAsia="Times New Roman" w:cs="Arial"/>
          <w:snapToGrid w:val="0"/>
          <w:lang w:eastAsia="es-ES"/>
        </w:rPr>
        <w:t>liquidar la obligación negociando su liberación;</w:t>
      </w:r>
    </w:p>
    <w:p w14:paraId="52980DDD" w14:textId="77777777" w:rsidR="008748C1" w:rsidRDefault="00000000">
      <w:pPr>
        <w:numPr>
          <w:ilvl w:val="0"/>
          <w:numId w:val="9"/>
        </w:numPr>
        <w:spacing w:before="20" w:after="20" w:line="240" w:lineRule="auto"/>
        <w:ind w:left="993" w:hanging="284"/>
        <w:jc w:val="both"/>
        <w:rPr>
          <w:rFonts w:eastAsia="Times New Roman" w:cs="Arial"/>
          <w:snapToGrid w:val="0"/>
          <w:lang w:eastAsia="es-ES"/>
        </w:rPr>
      </w:pPr>
      <w:r>
        <w:rPr>
          <w:rFonts w:eastAsia="Times New Roman" w:cs="Arial"/>
          <w:snapToGrid w:val="0"/>
          <w:lang w:eastAsia="es-ES"/>
        </w:rPr>
        <w:t>transferir la obligación a un tercero; o</w:t>
      </w:r>
    </w:p>
    <w:p w14:paraId="52980DDE" w14:textId="77777777" w:rsidR="008748C1" w:rsidRDefault="00000000">
      <w:pPr>
        <w:numPr>
          <w:ilvl w:val="0"/>
          <w:numId w:val="9"/>
        </w:numPr>
        <w:spacing w:before="20" w:after="20" w:line="240" w:lineRule="auto"/>
        <w:ind w:left="993" w:hanging="284"/>
        <w:jc w:val="both"/>
        <w:rPr>
          <w:rFonts w:eastAsia="Times New Roman" w:cs="Arial"/>
          <w:snapToGrid w:val="0"/>
          <w:lang w:eastAsia="es-ES"/>
        </w:rPr>
      </w:pPr>
      <w:r>
        <w:rPr>
          <w:rFonts w:eastAsia="Times New Roman" w:cs="Arial"/>
          <w:snapToGrid w:val="0"/>
          <w:lang w:eastAsia="es-ES"/>
        </w:rPr>
        <w:t>sustituir esa obligación de transferir un recurso económico por otra obligación, realizando una nueva transacción.</w:t>
      </w:r>
    </w:p>
    <w:p w14:paraId="52980DDF"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En las situaciones descritas en el párrafo anterior, la empresa tiene la obligación de transferir un recurso económico hasta que se ha liquidado, transferido o reemplazado esa obligación.</w:t>
      </w:r>
    </w:p>
    <w:p w14:paraId="52980DE0"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19" w:name="_Toc170226109"/>
      <w:r>
        <w:rPr>
          <w:rFonts w:eastAsia="Times New Roman" w:cs="Arial"/>
          <w:b/>
          <w:bCs/>
          <w:szCs w:val="24"/>
          <w:lang w:eastAsia="es-ES"/>
        </w:rPr>
        <w:t>Obligación presente como resultado de sucesos pasados</w:t>
      </w:r>
      <w:bookmarkEnd w:id="19"/>
    </w:p>
    <w:p w14:paraId="52980DE1"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El tercer criterio para un pasivo es que la obligación sea una obligación presente que exista como resultado de sucesos pasados.</w:t>
      </w:r>
    </w:p>
    <w:p w14:paraId="52980DE2"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Una obligación presente existe como resultado de sucesos pasados solo si:</w:t>
      </w:r>
    </w:p>
    <w:p w14:paraId="52980DE3" w14:textId="77777777" w:rsidR="008748C1" w:rsidRDefault="00000000">
      <w:pPr>
        <w:numPr>
          <w:ilvl w:val="0"/>
          <w:numId w:val="9"/>
        </w:numPr>
        <w:spacing w:before="20" w:after="20" w:line="240" w:lineRule="auto"/>
        <w:ind w:left="1276" w:hanging="284"/>
        <w:jc w:val="both"/>
        <w:rPr>
          <w:rFonts w:eastAsia="Times New Roman" w:cs="Arial"/>
          <w:snapToGrid w:val="0"/>
          <w:lang w:eastAsia="es-ES"/>
        </w:rPr>
      </w:pPr>
      <w:r>
        <w:rPr>
          <w:rFonts w:eastAsia="Times New Roman" w:cs="Arial"/>
          <w:snapToGrid w:val="0"/>
          <w:lang w:eastAsia="es-ES"/>
        </w:rPr>
        <w:t>la empresa ya ha obtenido beneficios económicos o realizado una acción; y</w:t>
      </w:r>
    </w:p>
    <w:p w14:paraId="52980DE4" w14:textId="77777777" w:rsidR="008748C1" w:rsidRDefault="00000000">
      <w:pPr>
        <w:numPr>
          <w:ilvl w:val="0"/>
          <w:numId w:val="9"/>
        </w:numPr>
        <w:spacing w:before="20" w:after="20" w:line="240" w:lineRule="auto"/>
        <w:ind w:left="1276" w:hanging="284"/>
        <w:jc w:val="both"/>
        <w:rPr>
          <w:rFonts w:eastAsia="Times New Roman" w:cs="Arial"/>
          <w:snapToGrid w:val="0"/>
          <w:lang w:eastAsia="es-ES"/>
        </w:rPr>
      </w:pPr>
      <w:r>
        <w:rPr>
          <w:rFonts w:eastAsia="Times New Roman" w:cs="Arial"/>
          <w:snapToGrid w:val="0"/>
          <w:lang w:eastAsia="es-ES"/>
        </w:rPr>
        <w:t>como consecuencia, la empresa tendrá o podría tener que transferir un recurso económico que no se hubiera transferido en otro caso.</w:t>
      </w:r>
    </w:p>
    <w:p w14:paraId="52980DE5"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Los beneficios económicos obtenidos podrían incluir, por ejemplo, bienes o servicios. La acción tomada podría incluir, por ejemplo, la explotación de un negocio concreto o la operación en un mercado específico.</w:t>
      </w:r>
    </w:p>
    <w:p w14:paraId="52980DE6"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Si se obtienen los beneficios económicos, o se toma una acción, a lo largo de un período de tiempo, la obligación presente resultante podría acumularse durante ese tiempo.</w:t>
      </w:r>
    </w:p>
    <w:p w14:paraId="52980DE7"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 xml:space="preserve">Si se promulga una nueva legislación, surge una obligación presente solo cuando, como consecuencia de la obtención de los beneficios económicos o de la toma de una acción a la que se aplica esa legislación, </w:t>
      </w:r>
      <w:r>
        <w:rPr>
          <w:rFonts w:eastAsia="Times New Roman" w:cs="Times New Roman"/>
          <w:lang w:eastAsia="es-ES"/>
        </w:rPr>
        <w:lastRenderedPageBreak/>
        <w:t>una empresa tendrá o podría tener que transferir un recurso económico que no se hubiera transferido en otro caso. La promulgación de legislación no es en sí misma suficiente para hacer que una empresa tenga una obligación presente. De forma análoga, la práctica comercial de una empresa, política publicada o documento específico da lugar a una obligación presente solo cuando, como consecuencia de la obtención de beneficios económicos o de la realización de una acción a la que se aplica esa práctica, política o declaración, la empresa tendrá o podría tener que transferir un recurso económico que no se hubiera transferido en otro caso.</w:t>
      </w:r>
    </w:p>
    <w:p w14:paraId="52980DE8"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Una obligación presente puede existir incluso si la correspondiente transferencia de recursos económicos no puede ser exigible hasta algún momento futuro. Por ejemplo, puede existir ahora un pasivo contractual de pagar efectivo incluso si el contrato no requiere un pago hasta una fecha futura. De forma análoga, puede existir ahora una obligación contractual para que una empresa realice un trabajo en una fecha futura incluso si la contraparte no puede requerir que la empresa realice el trabajo hasta esa fecha futura.</w:t>
      </w:r>
    </w:p>
    <w:p w14:paraId="52980DE9" w14:textId="77777777" w:rsidR="008748C1" w:rsidRDefault="00000000">
      <w:pPr>
        <w:spacing w:before="60" w:after="60" w:line="240" w:lineRule="auto"/>
        <w:ind w:left="709"/>
        <w:jc w:val="both"/>
        <w:rPr>
          <w:rFonts w:eastAsia="Times New Roman" w:cs="Times New Roman"/>
          <w:lang w:eastAsia="es-ES"/>
        </w:rPr>
      </w:pPr>
      <w:r>
        <w:rPr>
          <w:rFonts w:eastAsia="Times New Roman" w:cs="Times New Roman"/>
          <w:lang w:eastAsia="es-ES"/>
        </w:rPr>
        <w:t>Una empresa no tiene todavía una obligación presente de transferir un recurso económico si no ha obtenido todavía los beneficios económicos, o tomado una acción que requeriría o podría requerir que la empresa transfiriera un recurso económico que no se hubiera transferido en otro caso. Por ejemplo, si una empresa ha realizado un contrato para pagar a un empleado un salario a cambio de recibir los servicios del empleado, la empresa no tiene una obligación presente de pagar el salario hasta que haya recibido los servicios del empleado. Antes de que el contrato esté pendiente de ejecutar, la empresa tiene un derecho y obligación combinados de intercambiar salario futuro por servicios futuros del empleado.</w:t>
      </w:r>
    </w:p>
    <w:p w14:paraId="52980DEA"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bookmarkStart w:id="20" w:name="_Toc170226110"/>
      <w:r>
        <w:rPr>
          <w:rFonts w:eastAsia="Times New Roman" w:cs="Times New Roman"/>
          <w:b/>
          <w:bCs/>
          <w:szCs w:val="24"/>
          <w:lang w:eastAsia="es-ES"/>
        </w:rPr>
        <w:t>PATRIMONIO</w:t>
      </w:r>
      <w:bookmarkEnd w:id="20"/>
    </w:p>
    <w:p w14:paraId="52980DEB"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Patrimonio es la parte residual de los activos de la empresa, una vez deducidos todos sus pasivos.</w:t>
      </w:r>
    </w:p>
    <w:p w14:paraId="52980DEC"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Los derechos sobre el patrimonio son derechos sobre la parte residual de los activos de la empresa, una vez deducidos todos sus pasivos. En otras palabras, son derechos frente a la empresa que no cumplen la definición de pasivo. Estos derechos pueden establecerse mediante contrato, legislación o instrumentos similares, e incluyen (en la medida en que no cumplen la definición de pasivo):</w:t>
      </w:r>
    </w:p>
    <w:p w14:paraId="52980DED" w14:textId="77777777" w:rsidR="008748C1" w:rsidRDefault="00000000">
      <w:pPr>
        <w:numPr>
          <w:ilvl w:val="0"/>
          <w:numId w:val="9"/>
        </w:numPr>
        <w:spacing w:before="20" w:after="20" w:line="240" w:lineRule="auto"/>
        <w:ind w:left="993" w:hanging="284"/>
        <w:jc w:val="both"/>
        <w:rPr>
          <w:rFonts w:eastAsia="Times New Roman" w:cs="Arial"/>
          <w:snapToGrid w:val="0"/>
          <w:sz w:val="20"/>
          <w:lang w:eastAsia="es-ES"/>
        </w:rPr>
      </w:pPr>
      <w:r>
        <w:rPr>
          <w:rFonts w:eastAsia="Times New Roman" w:cs="Arial"/>
          <w:snapToGrid w:val="0"/>
          <w:lang w:eastAsia="es-ES"/>
        </w:rPr>
        <w:t>acciones de varios tipos, emitidas por la empresa; y</w:t>
      </w:r>
    </w:p>
    <w:p w14:paraId="52980DEE" w14:textId="77777777" w:rsidR="008748C1" w:rsidRDefault="00000000">
      <w:pPr>
        <w:numPr>
          <w:ilvl w:val="0"/>
          <w:numId w:val="9"/>
        </w:numPr>
        <w:spacing w:before="20" w:after="20" w:line="240" w:lineRule="auto"/>
        <w:ind w:left="993" w:hanging="284"/>
        <w:jc w:val="both"/>
        <w:rPr>
          <w:rFonts w:eastAsia="Times New Roman" w:cs="Arial"/>
          <w:snapToGrid w:val="0"/>
          <w:sz w:val="20"/>
          <w:lang w:eastAsia="es-ES"/>
        </w:rPr>
      </w:pPr>
      <w:r>
        <w:rPr>
          <w:rFonts w:eastAsia="Times New Roman" w:cs="Arial"/>
          <w:snapToGrid w:val="0"/>
          <w:lang w:eastAsia="es-ES"/>
        </w:rPr>
        <w:t>algunas obligaciones para la empresa de emitir otros derechos sobre el patrimonio.</w:t>
      </w:r>
    </w:p>
    <w:p w14:paraId="52980DEF"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Diferentes clases de derechos sobre el patrimonio, tales como acciones ordinarias y acciones preferentes, pueden conceder a sus tenedores derechos distintos, por ejemplo, derechos a recibir algunos o todos de los siguientes elementos de la empresa:</w:t>
      </w:r>
    </w:p>
    <w:p w14:paraId="52980DF0" w14:textId="77777777" w:rsidR="008748C1" w:rsidRDefault="00000000">
      <w:pPr>
        <w:numPr>
          <w:ilvl w:val="0"/>
          <w:numId w:val="9"/>
        </w:numPr>
        <w:spacing w:before="20" w:after="20" w:line="240" w:lineRule="auto"/>
        <w:ind w:left="993" w:hanging="284"/>
        <w:jc w:val="both"/>
        <w:rPr>
          <w:rFonts w:eastAsia="Times New Roman" w:cs="Arial"/>
          <w:snapToGrid w:val="0"/>
          <w:sz w:val="20"/>
          <w:lang w:eastAsia="es-ES"/>
        </w:rPr>
      </w:pPr>
      <w:r>
        <w:rPr>
          <w:rFonts w:eastAsia="Times New Roman" w:cs="Arial"/>
          <w:snapToGrid w:val="0"/>
          <w:lang w:eastAsia="es-ES"/>
        </w:rPr>
        <w:t>dividendos, si la empresa decide pagar dividendos a tenedores que cumplan ciertas condiciones;</w:t>
      </w:r>
    </w:p>
    <w:p w14:paraId="52980DF1" w14:textId="77777777" w:rsidR="008748C1" w:rsidRDefault="00000000">
      <w:pPr>
        <w:numPr>
          <w:ilvl w:val="0"/>
          <w:numId w:val="9"/>
        </w:numPr>
        <w:spacing w:before="20" w:after="20" w:line="240" w:lineRule="auto"/>
        <w:ind w:left="993" w:hanging="284"/>
        <w:jc w:val="both"/>
        <w:rPr>
          <w:rFonts w:eastAsia="Times New Roman" w:cs="Arial"/>
          <w:snapToGrid w:val="0"/>
          <w:sz w:val="20"/>
          <w:lang w:eastAsia="es-ES"/>
        </w:rPr>
      </w:pPr>
      <w:r>
        <w:rPr>
          <w:rFonts w:eastAsia="Times New Roman" w:cs="Arial"/>
          <w:snapToGrid w:val="0"/>
          <w:lang w:eastAsia="es-ES"/>
        </w:rPr>
        <w:t>el producto de satisfacer los derechos sobre el patrimonio, bien en su totalidad, en el momento de la liquidación, o en parte en otros momentos; o</w:t>
      </w:r>
    </w:p>
    <w:p w14:paraId="52980DF2" w14:textId="77777777" w:rsidR="008748C1" w:rsidRDefault="00000000">
      <w:pPr>
        <w:numPr>
          <w:ilvl w:val="0"/>
          <w:numId w:val="9"/>
        </w:numPr>
        <w:spacing w:before="20" w:after="20" w:line="240" w:lineRule="auto"/>
        <w:ind w:left="993" w:hanging="284"/>
        <w:jc w:val="both"/>
        <w:rPr>
          <w:rFonts w:eastAsia="Times New Roman" w:cs="Arial"/>
          <w:snapToGrid w:val="0"/>
          <w:sz w:val="20"/>
          <w:lang w:eastAsia="es-ES"/>
        </w:rPr>
      </w:pPr>
      <w:r>
        <w:rPr>
          <w:rFonts w:eastAsia="Times New Roman" w:cs="Arial"/>
          <w:snapToGrid w:val="0"/>
          <w:lang w:eastAsia="es-ES"/>
        </w:rPr>
        <w:t>otros derechos sobre el patrimonio.</w:t>
      </w:r>
    </w:p>
    <w:p w14:paraId="52980DF3"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bookmarkStart w:id="21" w:name="_Toc170226111"/>
      <w:r>
        <w:rPr>
          <w:rFonts w:eastAsia="Times New Roman" w:cs="Times New Roman"/>
          <w:b/>
          <w:bCs/>
          <w:szCs w:val="24"/>
          <w:lang w:eastAsia="es-ES"/>
        </w:rPr>
        <w:t>INGRESOS Y GASTOS</w:t>
      </w:r>
      <w:bookmarkEnd w:id="21"/>
    </w:p>
    <w:p w14:paraId="52980DF4"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Ingresos son incrementos en los activos o disminuciones en los pasivos que dan lugar a incrementos en el patrimonio, distintos de los relacionados con aportaciones de los tenedores de derechos sobre el patrimonio.</w:t>
      </w:r>
    </w:p>
    <w:p w14:paraId="52980DF5"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Gastos son disminuciones en los activos o incrementos en los pasivos que dan lugar a disminuciones en el patrimonio, distintos de los relacionados con distribuciones a los tenedores de derechos sobre el patrimonio.</w:t>
      </w:r>
    </w:p>
    <w:p w14:paraId="52980DF6"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De estas definiciones de ingresos y gastos se deduce que las aportaciones de los tenedores de derechos sobre el patrimonio no son ingresos, y las distribuciones a los tenedores de derechos sobre el patrimonio no son gastos.</w:t>
      </w:r>
    </w:p>
    <w:p w14:paraId="52980DF7"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Los ingresos y gastos son los elementos de los estados financieros que se relacionan con el rendimiento financiero de una empresa. Los usuarios de los estados financieros necesitan información sobre la situación </w:t>
      </w:r>
      <w:r>
        <w:rPr>
          <w:rFonts w:eastAsia="Times New Roman" w:cs="TimesNewRomanPSMT"/>
          <w:szCs w:val="24"/>
          <w:lang w:eastAsia="es-PE"/>
        </w:rPr>
        <w:lastRenderedPageBreak/>
        <w:t>financiera de una empresa y su rendimiento financiero. Por ello, aunque los ingresos y gastos se definen en términos de cambios en los activos y pasivos, la información sobre ingresos y gastos es tan importante como la información sobre activos y pasivos.</w:t>
      </w:r>
    </w:p>
    <w:p w14:paraId="52980DF8"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Diferentes transacciones y otros sucesos generan ingresos y gastos con distintas características. El suministro de información por separado de ingresos y gastos con características diferentes puede ayudar a los usuarios de los estados financieros a comprender el rendimiento financiero de la empresa.</w:t>
      </w:r>
    </w:p>
    <w:p w14:paraId="52980DF9" w14:textId="77777777" w:rsidR="008748C1" w:rsidRDefault="008748C1">
      <w:pPr>
        <w:autoSpaceDE w:val="0"/>
        <w:autoSpaceDN w:val="0"/>
        <w:adjustRightInd w:val="0"/>
        <w:spacing w:before="60" w:after="60" w:line="240" w:lineRule="auto"/>
        <w:jc w:val="both"/>
        <w:rPr>
          <w:rFonts w:eastAsia="Times New Roman" w:cs="TimesNewRomanPSMT"/>
          <w:szCs w:val="24"/>
          <w:lang w:eastAsia="es-PE"/>
        </w:rPr>
      </w:pPr>
    </w:p>
    <w:p w14:paraId="52980DFA" w14:textId="77777777" w:rsidR="008748C1" w:rsidRDefault="00000000">
      <w:pPr>
        <w:keepNext/>
        <w:numPr>
          <w:ilvl w:val="1"/>
          <w:numId w:val="4"/>
        </w:numPr>
        <w:spacing w:before="240" w:after="120" w:line="240" w:lineRule="auto"/>
        <w:ind w:left="425" w:hanging="425"/>
        <w:outlineLvl w:val="2"/>
        <w:rPr>
          <w:rFonts w:eastAsia="Times New Roman" w:cs="Times New Roman"/>
          <w:bCs/>
          <w:szCs w:val="24"/>
          <w:u w:val="single"/>
          <w:lang w:eastAsia="es-ES"/>
        </w:rPr>
      </w:pPr>
      <w:bookmarkStart w:id="22" w:name="_Toc170226112"/>
      <w:r>
        <w:rPr>
          <w:rFonts w:eastAsia="Times New Roman" w:cs="Times New Roman"/>
          <w:b/>
          <w:bCs/>
          <w:szCs w:val="24"/>
          <w:lang w:eastAsia="es-ES"/>
        </w:rPr>
        <w:t>RECONOCIMIENTO Y BAJA EN CUENTAS</w:t>
      </w:r>
      <w:bookmarkStart w:id="23" w:name="_Toc161058408"/>
      <w:bookmarkStart w:id="24" w:name="_Toc161058874"/>
      <w:bookmarkStart w:id="25" w:name="_Toc161059105"/>
      <w:bookmarkStart w:id="26" w:name="_Toc161130691"/>
      <w:bookmarkStart w:id="27" w:name="_Toc161058641"/>
      <w:bookmarkStart w:id="28" w:name="_Toc164103345"/>
      <w:bookmarkStart w:id="29" w:name="_Toc161736206"/>
      <w:bookmarkStart w:id="30" w:name="_Toc164102893"/>
      <w:bookmarkStart w:id="31" w:name="_Toc161814521"/>
      <w:bookmarkStart w:id="32" w:name="_Toc162258980"/>
      <w:bookmarkStart w:id="33" w:name="_Toc162258771"/>
      <w:bookmarkStart w:id="34" w:name="_Toc164095847"/>
      <w:bookmarkStart w:id="35" w:name="_Toc161134592"/>
      <w:bookmarkStart w:id="36" w:name="_Toc170226113"/>
      <w:bookmarkStart w:id="37" w:name="_Toc164102665"/>
      <w:bookmarkStart w:id="38" w:name="_Toc164103119"/>
      <w:bookmarkStart w:id="39" w:name="_Toc165359372"/>
      <w:bookmarkStart w:id="40" w:name="_Toc16181770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2980DFB"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bookmarkStart w:id="41" w:name="_Toc170226114"/>
      <w:r>
        <w:rPr>
          <w:rFonts w:eastAsia="Times New Roman" w:cs="Times New Roman"/>
          <w:b/>
          <w:bCs/>
          <w:szCs w:val="24"/>
          <w:lang w:eastAsia="es-ES"/>
        </w:rPr>
        <w:t>EL PROCESO DE RECONOCIMIENTO</w:t>
      </w:r>
      <w:bookmarkEnd w:id="41"/>
    </w:p>
    <w:p w14:paraId="52980DFC"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El reconocimiento es el proceso de captar, para su inclusión en el estado de situación financiera o en el estado del resultado integral, una partida que cumple la definición de uno de los elementos de los estados financieros (activo, pasivo, patrimonio, ingresos o gastos). El reconocimiento involucra la representación del elemento en uno de los estados (solo o como parte de otras partidas) en palabras y mediante un importe monetario, y la inclusión de ese importe en uno o más totales del estado correspondiente. El importe por el que un activo, un pasivo o patrimonio se reconoce en el estado de situación financiera se denomina como su "importe en libros".</w:t>
      </w:r>
    </w:p>
    <w:p w14:paraId="52980DFD" w14:textId="77777777" w:rsidR="008748C1" w:rsidRDefault="00000000">
      <w:pPr>
        <w:keepNext/>
        <w:spacing w:before="240" w:after="120" w:line="240" w:lineRule="auto"/>
        <w:ind w:left="851"/>
        <w:jc w:val="both"/>
        <w:outlineLvl w:val="4"/>
        <w:rPr>
          <w:rFonts w:eastAsia="Times New Roman" w:cs="Arial"/>
          <w:b/>
          <w:bCs/>
          <w:szCs w:val="24"/>
          <w:lang w:eastAsia="es-ES"/>
        </w:rPr>
      </w:pPr>
      <w:bookmarkStart w:id="42" w:name="_Toc170226115"/>
      <w:r>
        <w:rPr>
          <w:rFonts w:eastAsia="Times New Roman" w:cs="Arial"/>
          <w:b/>
          <w:bCs/>
          <w:szCs w:val="24"/>
          <w:lang w:eastAsia="es-ES"/>
        </w:rPr>
        <w:t>Criterios de reconocimiento</w:t>
      </w:r>
      <w:bookmarkEnd w:id="42"/>
    </w:p>
    <w:p w14:paraId="52980DFE"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Sólo elementos que cumplen la definición de un activo, un pasivo o patrimonio se reconocen en el estado de situación financiera. De forma análoga, solo los elementos que cumplen la definición de ingresos o gastos se reconocen en el estado del resultado integral. </w:t>
      </w:r>
    </w:p>
    <w:p w14:paraId="52980DF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falta de reconocimiento de una partida que cumple la definición de uno de los elementos hace al estado de situación financiera y al estado del resultado integral menos completo y puede excluir información útil de los estados financieros. Un activo o pasivo se reconoce solo si el reconocimiento de ese activo o pasivo y de cualquier ingreso, gasto o cambios en el patrimonio resultante proporciona a los usuarios de los estados financieros información que es útil, es decir:</w:t>
      </w:r>
    </w:p>
    <w:p w14:paraId="52980E00" w14:textId="77777777" w:rsidR="008748C1" w:rsidRDefault="00000000">
      <w:pPr>
        <w:numPr>
          <w:ilvl w:val="0"/>
          <w:numId w:val="10"/>
        </w:numPr>
        <w:spacing w:before="60" w:after="60" w:line="240" w:lineRule="auto"/>
        <w:ind w:hanging="425"/>
        <w:jc w:val="both"/>
        <w:rPr>
          <w:rFonts w:eastAsia="Times New Roman" w:cs="Arial"/>
          <w:snapToGrid w:val="0"/>
          <w:sz w:val="20"/>
          <w:lang w:eastAsia="es-ES"/>
        </w:rPr>
      </w:pPr>
      <w:r>
        <w:rPr>
          <w:rFonts w:eastAsia="Times New Roman" w:cs="Arial"/>
          <w:snapToGrid w:val="0"/>
          <w:lang w:eastAsia="es-ES"/>
        </w:rPr>
        <w:t>información relevante sobre el activo, pasivo, ingresos, gastos o cambios en el patrimonio; y</w:t>
      </w:r>
    </w:p>
    <w:p w14:paraId="52980E01" w14:textId="77777777" w:rsidR="008748C1" w:rsidRDefault="00000000">
      <w:pPr>
        <w:numPr>
          <w:ilvl w:val="0"/>
          <w:numId w:val="10"/>
        </w:numPr>
        <w:spacing w:before="60" w:after="60" w:line="240" w:lineRule="auto"/>
        <w:ind w:hanging="426"/>
        <w:jc w:val="both"/>
        <w:rPr>
          <w:rFonts w:eastAsia="Times New Roman" w:cs="Arial"/>
          <w:snapToGrid w:val="0"/>
          <w:sz w:val="20"/>
          <w:lang w:eastAsia="es-ES"/>
        </w:rPr>
      </w:pPr>
      <w:r>
        <w:rPr>
          <w:rFonts w:eastAsia="Times New Roman" w:cs="Arial"/>
          <w:snapToGrid w:val="0"/>
          <w:lang w:eastAsia="es-ES"/>
        </w:rPr>
        <w:t>una representación fiel del activo, pasivo, ingresos, gastos o cambios en el patrimonio.</w:t>
      </w:r>
    </w:p>
    <w:p w14:paraId="52980E02" w14:textId="77777777" w:rsidR="008748C1" w:rsidRDefault="008748C1">
      <w:pPr>
        <w:spacing w:before="60" w:after="60" w:line="240" w:lineRule="auto"/>
        <w:ind w:left="851"/>
        <w:jc w:val="both"/>
        <w:rPr>
          <w:rFonts w:eastAsia="Times New Roman" w:cs="Times New Roman"/>
          <w:lang w:eastAsia="es-ES"/>
        </w:rPr>
      </w:pPr>
    </w:p>
    <w:p w14:paraId="52980E0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reconocimiento de los elementos de los estados financieros debe realizar considerando los siguientes criterios:</w:t>
      </w:r>
    </w:p>
    <w:p w14:paraId="52980E04" w14:textId="77777777" w:rsidR="008748C1" w:rsidRDefault="00000000">
      <w:pPr>
        <w:keepNext/>
        <w:numPr>
          <w:ilvl w:val="4"/>
          <w:numId w:val="4"/>
        </w:numPr>
        <w:tabs>
          <w:tab w:val="clear" w:pos="851"/>
        </w:tabs>
        <w:spacing w:before="240" w:after="120" w:line="240" w:lineRule="auto"/>
        <w:ind w:left="1276"/>
        <w:jc w:val="both"/>
        <w:outlineLvl w:val="4"/>
        <w:rPr>
          <w:rFonts w:eastAsia="Times New Roman" w:cs="Arial"/>
          <w:b/>
          <w:bCs/>
          <w:szCs w:val="24"/>
          <w:lang w:eastAsia="es-ES"/>
        </w:rPr>
      </w:pPr>
      <w:bookmarkStart w:id="43" w:name="_Toc161736209"/>
      <w:bookmarkStart w:id="44" w:name="_Toc161814524"/>
      <w:bookmarkStart w:id="45" w:name="_Toc161817712"/>
      <w:bookmarkStart w:id="46" w:name="_Toc170226116"/>
      <w:bookmarkEnd w:id="43"/>
      <w:bookmarkEnd w:id="44"/>
      <w:bookmarkEnd w:id="45"/>
      <w:r>
        <w:rPr>
          <w:rFonts w:eastAsia="Times New Roman" w:cs="Arial"/>
          <w:b/>
          <w:bCs/>
          <w:szCs w:val="24"/>
          <w:lang w:eastAsia="es-ES"/>
        </w:rPr>
        <w:t>Relevancia</w:t>
      </w:r>
      <w:bookmarkEnd w:id="46"/>
    </w:p>
    <w:p w14:paraId="52980E05"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t xml:space="preserve">La información sobre activos, pasivos, patrimonio, ingresos y gastos es relevante para los usuarios de los estados financieros. Sin embargo, el reconocimiento de un activo o pasivo concreto, así como cualquier ingreso, gasto o cambios en el patrimonio resultantes, puede no siempre proporcionar información relevante. </w:t>
      </w:r>
    </w:p>
    <w:p w14:paraId="52980E06"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t>Este es el caso si, por ejemplo:</w:t>
      </w:r>
    </w:p>
    <w:p w14:paraId="52980E07" w14:textId="77777777" w:rsidR="008748C1" w:rsidRDefault="00000000">
      <w:pPr>
        <w:numPr>
          <w:ilvl w:val="0"/>
          <w:numId w:val="11"/>
        </w:numPr>
        <w:spacing w:before="20" w:after="20" w:line="240" w:lineRule="auto"/>
        <w:ind w:left="1701"/>
        <w:jc w:val="both"/>
        <w:rPr>
          <w:rFonts w:eastAsia="Calibri" w:cs="Times New Roman"/>
          <w:szCs w:val="24"/>
          <w:lang w:eastAsia="es-ES"/>
        </w:rPr>
      </w:pPr>
      <w:r>
        <w:rPr>
          <w:rFonts w:eastAsia="Calibri" w:cs="Times New Roman"/>
          <w:szCs w:val="24"/>
          <w:lang w:eastAsia="es-ES"/>
        </w:rPr>
        <w:t>es incierto si existe un activo o pasivo; o</w:t>
      </w:r>
    </w:p>
    <w:p w14:paraId="52980E08" w14:textId="77777777" w:rsidR="008748C1" w:rsidRDefault="00000000">
      <w:pPr>
        <w:numPr>
          <w:ilvl w:val="0"/>
          <w:numId w:val="11"/>
        </w:numPr>
        <w:spacing w:before="20" w:after="20" w:line="240" w:lineRule="auto"/>
        <w:ind w:left="1701"/>
        <w:jc w:val="both"/>
        <w:rPr>
          <w:rFonts w:eastAsia="Calibri" w:cs="Times New Roman"/>
          <w:szCs w:val="24"/>
          <w:lang w:eastAsia="es-ES"/>
        </w:rPr>
      </w:pPr>
      <w:r>
        <w:rPr>
          <w:rFonts w:eastAsia="Calibri" w:cs="Times New Roman"/>
          <w:szCs w:val="24"/>
          <w:lang w:eastAsia="es-ES"/>
        </w:rPr>
        <w:t>existe un activo o pasivo, pero la probabilidad de una entrada o salida de beneficios económicos es baja.</w:t>
      </w:r>
    </w:p>
    <w:p w14:paraId="52980E09"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t xml:space="preserve">La presencia de uno o de los dos factores descritos en el párrafo anterior no lleva automáticamente a la conclusión de que la información proporcionada por el reconocimiento carece de relevancia. Más aún, factores distintos de los descritos en el párrafo anterior puede también afectar a la </w:t>
      </w:r>
      <w:r>
        <w:rPr>
          <w:rFonts w:eastAsia="Times New Roman" w:cs="Times New Roman"/>
          <w:lang w:eastAsia="es-ES"/>
        </w:rPr>
        <w:lastRenderedPageBreak/>
        <w:t>conclusión. Puede ser una combinación de factores y no un factor único lo que determina si el reconocimiento proporciona información relevante.</w:t>
      </w:r>
    </w:p>
    <w:p w14:paraId="52980E0A" w14:textId="77777777" w:rsidR="008748C1" w:rsidRDefault="00000000">
      <w:pPr>
        <w:keepNext/>
        <w:numPr>
          <w:ilvl w:val="4"/>
          <w:numId w:val="4"/>
        </w:numPr>
        <w:tabs>
          <w:tab w:val="clear" w:pos="851"/>
        </w:tabs>
        <w:spacing w:before="240" w:after="120" w:line="240" w:lineRule="auto"/>
        <w:ind w:left="1276"/>
        <w:jc w:val="both"/>
        <w:outlineLvl w:val="4"/>
        <w:rPr>
          <w:rFonts w:eastAsia="Times New Roman" w:cs="Arial"/>
          <w:b/>
          <w:bCs/>
          <w:szCs w:val="24"/>
          <w:lang w:eastAsia="es-ES"/>
        </w:rPr>
      </w:pPr>
      <w:bookmarkStart w:id="47" w:name="_Toc170226117"/>
      <w:r>
        <w:rPr>
          <w:rFonts w:eastAsia="Times New Roman" w:cs="Arial"/>
          <w:b/>
          <w:bCs/>
          <w:szCs w:val="24"/>
          <w:lang w:eastAsia="es-ES"/>
        </w:rPr>
        <w:t>Representación fiel</w:t>
      </w:r>
      <w:bookmarkEnd w:id="47"/>
    </w:p>
    <w:p w14:paraId="52980E0B"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t>El reconocimiento de un activo o pasivo concreto es apropiado si proporciona no solo información relevante, sino también una representación fiel de ese activo o pasivo, así como de cualquier ingreso, gasto o cambios en el patrimonio resultantes. El que pueda proporcionarse una representación fiel podría verse afectado por el nivel de incertidumbre en la medición asociada con el activo o pasivo, o por otros factores:</w:t>
      </w:r>
    </w:p>
    <w:p w14:paraId="52980E0C" w14:textId="77777777" w:rsidR="008748C1" w:rsidRDefault="00000000">
      <w:pPr>
        <w:keepNext/>
        <w:spacing w:before="240" w:after="120" w:line="240" w:lineRule="auto"/>
        <w:ind w:left="851"/>
        <w:jc w:val="both"/>
        <w:outlineLvl w:val="5"/>
        <w:rPr>
          <w:rFonts w:eastAsia="Times New Roman" w:cs="Arial"/>
          <w:b/>
          <w:szCs w:val="24"/>
          <w:lang w:eastAsia="es-ES"/>
        </w:rPr>
      </w:pPr>
      <w:bookmarkStart w:id="48" w:name="_Toc170226118"/>
      <w:r>
        <w:rPr>
          <w:rFonts w:eastAsia="Times New Roman" w:cs="Arial"/>
          <w:b/>
          <w:szCs w:val="24"/>
          <w:lang w:eastAsia="es-ES"/>
        </w:rPr>
        <w:t>Incertidumbre en la medición</w:t>
      </w:r>
      <w:bookmarkEnd w:id="48"/>
    </w:p>
    <w:p w14:paraId="52980E0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Para que un activo o pasivo sea reconocido, debe ser medido. En muchos casos, estas medidas deben estimarse y están, por ello, sujetas a incertidumbre en la medición. El uso de estimaciones razonables es una parte esencial de la preparación de la información financiera y no debilita la utilidad de la información si las estimaciones están descritas y explicadas de forma clara y precisa. </w:t>
      </w:r>
    </w:p>
    <w:p w14:paraId="52980E0E" w14:textId="77777777" w:rsidR="008748C1" w:rsidRDefault="00000000">
      <w:pPr>
        <w:keepNext/>
        <w:spacing w:before="240" w:after="120" w:line="240" w:lineRule="auto"/>
        <w:ind w:left="851"/>
        <w:jc w:val="both"/>
        <w:outlineLvl w:val="5"/>
        <w:rPr>
          <w:rFonts w:eastAsia="Times New Roman" w:cs="Arial"/>
          <w:b/>
          <w:szCs w:val="24"/>
          <w:lang w:eastAsia="es-ES"/>
        </w:rPr>
      </w:pPr>
      <w:bookmarkStart w:id="49" w:name="_Toc170226119"/>
      <w:r>
        <w:rPr>
          <w:rFonts w:eastAsia="Times New Roman" w:cs="Arial"/>
          <w:b/>
          <w:szCs w:val="24"/>
          <w:lang w:eastAsia="es-ES"/>
        </w:rPr>
        <w:t>Otros factores</w:t>
      </w:r>
      <w:bookmarkEnd w:id="49"/>
    </w:p>
    <w:p w14:paraId="52980E0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representación fiel de un activo, pasivo, patrimonio, ingreso o gasto reconocido implica no solo el reconocimiento de ese elemento, sino también su medición, así como la presentación e información a revelar de información que le corresponda.</w:t>
      </w:r>
    </w:p>
    <w:p w14:paraId="52980E10" w14:textId="77777777" w:rsidR="008748C1" w:rsidRDefault="00000000">
      <w:pPr>
        <w:keepNext/>
        <w:numPr>
          <w:ilvl w:val="2"/>
          <w:numId w:val="4"/>
        </w:numPr>
        <w:spacing w:before="240" w:after="160" w:line="240" w:lineRule="auto"/>
        <w:ind w:left="426" w:hanging="426"/>
        <w:outlineLvl w:val="3"/>
        <w:rPr>
          <w:rFonts w:eastAsia="Times New Roman" w:cs="Times New Roman"/>
          <w:b/>
          <w:bCs/>
          <w:szCs w:val="24"/>
          <w:lang w:eastAsia="es-ES"/>
        </w:rPr>
      </w:pPr>
      <w:bookmarkStart w:id="50" w:name="_Toc170226120"/>
      <w:r>
        <w:rPr>
          <w:rFonts w:eastAsia="Times New Roman" w:cs="Times New Roman"/>
          <w:b/>
          <w:bCs/>
          <w:szCs w:val="24"/>
          <w:lang w:eastAsia="es-ES"/>
        </w:rPr>
        <w:t>BAJA EN CUENTAS</w:t>
      </w:r>
      <w:bookmarkEnd w:id="50"/>
    </w:p>
    <w:p w14:paraId="52980E11"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La baja en cuentas es la eliminación, total o parcial, de un activo o un pasivo reconocidos del estado de situación financiera de la empresa. Normalmente, la baja en cuentas tiene lugar cuando esa partida no cumple ya la definición de un activo o de un pasivo:</w:t>
      </w:r>
    </w:p>
    <w:p w14:paraId="52980E12" w14:textId="77777777" w:rsidR="008748C1" w:rsidRDefault="00000000">
      <w:pPr>
        <w:numPr>
          <w:ilvl w:val="0"/>
          <w:numId w:val="12"/>
        </w:numPr>
        <w:spacing w:beforeLines="20" w:before="48" w:afterLines="20" w:after="48" w:line="240" w:lineRule="auto"/>
        <w:ind w:hanging="426"/>
        <w:jc w:val="both"/>
        <w:rPr>
          <w:rFonts w:eastAsia="Times New Roman" w:cs="Arial"/>
          <w:snapToGrid w:val="0"/>
          <w:lang w:eastAsia="es-ES"/>
        </w:rPr>
      </w:pPr>
      <w:r>
        <w:rPr>
          <w:rFonts w:eastAsia="Times New Roman" w:cs="Arial"/>
          <w:snapToGrid w:val="0"/>
          <w:lang w:eastAsia="es-ES"/>
        </w:rPr>
        <w:t>para un activo, la baja en cuentas normalmente ocurre cuando la empresa pierde el control de todo o parte del activo reconocido; y</w:t>
      </w:r>
    </w:p>
    <w:p w14:paraId="52980E13" w14:textId="77777777" w:rsidR="008748C1" w:rsidRDefault="00000000">
      <w:pPr>
        <w:numPr>
          <w:ilvl w:val="0"/>
          <w:numId w:val="12"/>
        </w:numPr>
        <w:spacing w:beforeLines="20" w:before="48" w:afterLines="20" w:after="48" w:line="240" w:lineRule="auto"/>
        <w:jc w:val="both"/>
        <w:rPr>
          <w:rFonts w:eastAsia="Times New Roman" w:cs="Arial"/>
          <w:snapToGrid w:val="0"/>
          <w:lang w:eastAsia="es-ES"/>
        </w:rPr>
      </w:pPr>
      <w:r>
        <w:rPr>
          <w:rFonts w:eastAsia="Times New Roman" w:cs="Arial"/>
          <w:snapToGrid w:val="0"/>
          <w:lang w:eastAsia="es-ES"/>
        </w:rPr>
        <w:t>para un pasivo la baja en cuentas normalmente ocurre cuando la empresa deja de tener una obligación presente por la totalidad o parte del pasivo reconocido.</w:t>
      </w:r>
    </w:p>
    <w:p w14:paraId="52980E14"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Los requerimientos de contabilización para la baja en cuentas pretenden representar fielmente:</w:t>
      </w:r>
    </w:p>
    <w:p w14:paraId="52980E15" w14:textId="77777777" w:rsidR="008748C1" w:rsidRDefault="00000000">
      <w:pPr>
        <w:numPr>
          <w:ilvl w:val="0"/>
          <w:numId w:val="13"/>
        </w:numPr>
        <w:spacing w:beforeLines="20" w:before="48" w:afterLines="20" w:after="48" w:line="240" w:lineRule="auto"/>
        <w:jc w:val="both"/>
        <w:rPr>
          <w:rFonts w:eastAsia="Times New Roman" w:cs="Arial"/>
          <w:snapToGrid w:val="0"/>
          <w:lang w:eastAsia="es-ES"/>
        </w:rPr>
      </w:pPr>
      <w:r>
        <w:rPr>
          <w:rFonts w:eastAsia="Times New Roman" w:cs="Arial"/>
          <w:snapToGrid w:val="0"/>
          <w:lang w:eastAsia="es-ES"/>
        </w:rPr>
        <w:t>los activos y pasivos que se conserven después de la transacción u otro suceso que conduzca a la baja en cuentas (incluyendo cualquier activo o pasivo adquirido, incurrido o creado como parte de la transacción u otro suceso); y</w:t>
      </w:r>
    </w:p>
    <w:p w14:paraId="52980E16" w14:textId="77777777" w:rsidR="008748C1" w:rsidRDefault="00000000">
      <w:pPr>
        <w:numPr>
          <w:ilvl w:val="0"/>
          <w:numId w:val="13"/>
        </w:numPr>
        <w:spacing w:beforeLines="20" w:before="48" w:afterLines="20" w:after="48" w:line="240" w:lineRule="auto"/>
        <w:jc w:val="both"/>
        <w:rPr>
          <w:rFonts w:eastAsia="Times New Roman" w:cs="Arial"/>
          <w:snapToGrid w:val="0"/>
          <w:lang w:eastAsia="es-ES"/>
        </w:rPr>
      </w:pPr>
      <w:r>
        <w:rPr>
          <w:rFonts w:eastAsia="Times New Roman" w:cs="Arial"/>
          <w:snapToGrid w:val="0"/>
          <w:lang w:eastAsia="es-ES"/>
        </w:rPr>
        <w:t>el cambio en los activos y pasivos de la empresa como resultado de esa transacción u otro suceso.</w:t>
      </w:r>
    </w:p>
    <w:p w14:paraId="52980E17"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Los objetivos descritos en el párrafo anterior normalmente se logran:</w:t>
      </w:r>
    </w:p>
    <w:p w14:paraId="52980E18" w14:textId="77777777" w:rsidR="008748C1" w:rsidRDefault="00000000">
      <w:pPr>
        <w:numPr>
          <w:ilvl w:val="0"/>
          <w:numId w:val="1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 xml:space="preserve">Dando de baja en cuentas los activos o pasivos que han caducado o se han consumido, cobrado, completado o transferido, reconociendo los ingresos y gastos resultantes. </w:t>
      </w:r>
    </w:p>
    <w:p w14:paraId="52980E19" w14:textId="77777777" w:rsidR="008748C1" w:rsidRDefault="00000000">
      <w:pPr>
        <w:numPr>
          <w:ilvl w:val="0"/>
          <w:numId w:val="1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Continuando el reconocimiento de los activos y pasivos retenidos, denominados como el "componente retenido" (si lo hubiera). Por consiguiente, ningún ingreso o gasto se reconoce en el componente retenido como resultado de la baja en cuentas del componente transferido, a menos que la baja en cuentas dé lugar a un cambio en los requerimientos de medición aplicables al componente retenido.</w:t>
      </w:r>
    </w:p>
    <w:p w14:paraId="52980E1A"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En algunos casos, puede parecer que la empresa transfiere un activo o pasivo, pero ese activo o pasivo puede, no obstante, permanecer como un activo o pasivo de la empresa. Por ejemplo:</w:t>
      </w:r>
    </w:p>
    <w:p w14:paraId="52980E1B" w14:textId="77777777" w:rsidR="008748C1" w:rsidRDefault="00000000">
      <w:pPr>
        <w:numPr>
          <w:ilvl w:val="0"/>
          <w:numId w:val="15"/>
        </w:numPr>
        <w:spacing w:beforeLines="20" w:before="48" w:afterLines="20" w:after="48" w:line="240" w:lineRule="auto"/>
        <w:jc w:val="both"/>
        <w:rPr>
          <w:rFonts w:eastAsia="Times New Roman" w:cs="Arial"/>
          <w:snapToGrid w:val="0"/>
          <w:lang w:eastAsia="es-ES"/>
        </w:rPr>
      </w:pPr>
      <w:r>
        <w:rPr>
          <w:rFonts w:eastAsia="Times New Roman" w:cs="Arial"/>
          <w:snapToGrid w:val="0"/>
          <w:lang w:eastAsia="es-ES"/>
        </w:rPr>
        <w:lastRenderedPageBreak/>
        <w:t>si la empresa ha transferido aparentemente un activo, pero mantiene la exposición a variaciones positivas o negativas en el importe de los beneficios económicos que pueden derivarse del activo; esto, en ocasiones, indica que la empresa puede continuar controlando ese activo; o</w:t>
      </w:r>
    </w:p>
    <w:p w14:paraId="52980E1C" w14:textId="77777777" w:rsidR="008748C1" w:rsidRDefault="00000000">
      <w:pPr>
        <w:numPr>
          <w:ilvl w:val="0"/>
          <w:numId w:val="15"/>
        </w:numPr>
        <w:spacing w:beforeLines="20" w:before="48" w:afterLines="20" w:after="48" w:line="240" w:lineRule="auto"/>
        <w:jc w:val="both"/>
        <w:rPr>
          <w:rFonts w:eastAsia="Times New Roman" w:cs="Arial"/>
          <w:snapToGrid w:val="0"/>
          <w:lang w:eastAsia="es-ES"/>
        </w:rPr>
      </w:pPr>
      <w:r>
        <w:rPr>
          <w:rFonts w:eastAsia="Times New Roman" w:cs="Arial"/>
          <w:snapToGrid w:val="0"/>
          <w:lang w:eastAsia="es-ES"/>
        </w:rPr>
        <w:t>si la empresa ha transferido un activo a un tercero que mantiene el activo en cualidad de agente de la empresa, el transferidor todavía controla el activo.</w:t>
      </w:r>
    </w:p>
    <w:p w14:paraId="52980E1D"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En los casos descritos en el párrafo anterior, la baja en cuentas de ese activo o pasivo no es apropiada porque no lograría los objetivos descritos.</w:t>
      </w:r>
    </w:p>
    <w:p w14:paraId="52980E1E"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Cuando la empresa deja de tener un componente transferido, la baja en cuentas de éste representa fielmente ese hecho. Sin embargo, en algunos de esos casos, la baja en cuentas puede no representar fielmente la medida en que una transacción cambió los activos o pasivos de la empresa.</w:t>
      </w:r>
    </w:p>
    <w:p w14:paraId="52980E1F"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bookmarkStart w:id="51" w:name="_Toc170226121"/>
      <w:r>
        <w:rPr>
          <w:rFonts w:eastAsia="Times New Roman" w:cs="Times New Roman"/>
          <w:b/>
          <w:bCs/>
          <w:szCs w:val="24"/>
          <w:lang w:eastAsia="es-ES"/>
        </w:rPr>
        <w:t>HIPÓTESIS DE NEGOCIO EN MARCHA</w:t>
      </w:r>
      <w:bookmarkEnd w:id="51"/>
    </w:p>
    <w:p w14:paraId="52980E20"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Los estados financieros se preparan normalmente bajo el supuesto de que la empresa que informa está en funcionamiento y continuará su actividad dentro del futuro previsible. Por lo tanto, se supone que la empresa no tiene la intención ni la necesidad de liquidar o cesar su actividad comercial. Si tal intención o necesidad existiera, los estados financieros pueden tener que prepararse sobre una base diferente. Si es así, los estados financieros describen la base utilizada.</w:t>
      </w:r>
    </w:p>
    <w:p w14:paraId="52980E21"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bookmarkStart w:id="52" w:name="_Toc170226122"/>
      <w:r>
        <w:rPr>
          <w:rFonts w:eastAsia="Times New Roman" w:cs="Times New Roman"/>
          <w:b/>
          <w:bCs/>
          <w:szCs w:val="24"/>
          <w:lang w:eastAsia="es-ES"/>
        </w:rPr>
        <w:t>BASES DE MEDICIÓN DE LOS ELEMENTOS DE LOS ESTADOS FINANCIEROS</w:t>
      </w:r>
      <w:bookmarkEnd w:id="52"/>
    </w:p>
    <w:p w14:paraId="52980E22"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Los elementos reconocidos en los estados financieros se cuantifican en términos monetarios. Esto requiere la selección de una base de medición. Una base de medición es una característica identificada (por ejemplo, costo histórico, valor razonable o valor de cumplimiento) del elemento que está siendo medido.</w:t>
      </w:r>
    </w:p>
    <w:p w14:paraId="52980E23"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La aplicación de una base de medición a un activo o pasivo crea una medida para ese activo o pasivo, así como para cualquier ingreso y gasto relacionado.</w:t>
      </w:r>
    </w:p>
    <w:p w14:paraId="52980E24"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Es probable que la consideración de las características cualitativas de la información financiera útil, unida a la restricción del costo, den lugar a la selección de bases de medición diferentes para activos, pasivos, ingresos y gastos.</w:t>
      </w:r>
    </w:p>
    <w:p w14:paraId="52980E25"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53" w:name="_Toc170226123"/>
      <w:r>
        <w:rPr>
          <w:rFonts w:eastAsia="Times New Roman" w:cs="Arial"/>
          <w:b/>
          <w:bCs/>
          <w:szCs w:val="24"/>
          <w:lang w:eastAsia="es-ES"/>
        </w:rPr>
        <w:t>Costo histórico</w:t>
      </w:r>
      <w:bookmarkEnd w:id="53"/>
    </w:p>
    <w:p w14:paraId="52980E2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medidas basadas en el costo histórico proporcionan información monetaria sobre activos, pasivos e ingresos y gastos relacionados, utilizando información procedente, al menos en parte, del precio de la transacción u otro suceso que dio lugar a ellos. A diferencia del valor corriente, el costo histórico no refleja cambios en valores, excepto en la medida en que esos cambios se relacionen con el deterioro del valor de un activo, o un pasivo pasando a ser oneroso.</w:t>
      </w:r>
    </w:p>
    <w:p w14:paraId="52980E2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costo histórico de un activo cuando se adquiere o crea es el valor de los costos incurridos en su adquisición o creación, que comprende la contraprestación pagada para adquirir o crear el activo, más los costos de transacción. El costo histórico de un pasivo cuando se incurre en él o es tomado, es el valor de la contraprestación recibida para incurrir o tomarlo, menos los costos de la transacción.</w:t>
      </w:r>
    </w:p>
    <w:p w14:paraId="52980E2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Una forma de aplicar una base de medición de costo histórico, en el caso de </w:t>
      </w:r>
      <w:proofErr w:type="gramStart"/>
      <w:r>
        <w:rPr>
          <w:rFonts w:eastAsia="Times New Roman" w:cs="Times New Roman"/>
          <w:lang w:eastAsia="es-ES"/>
        </w:rPr>
        <w:t>activos financieros y pasivos financieros</w:t>
      </w:r>
      <w:proofErr w:type="gramEnd"/>
      <w:r>
        <w:rPr>
          <w:rFonts w:eastAsia="Times New Roman" w:cs="Times New Roman"/>
          <w:lang w:eastAsia="es-ES"/>
        </w:rPr>
        <w:t>, es medirlos al costo amortizado.</w:t>
      </w:r>
    </w:p>
    <w:p w14:paraId="52980E29"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54" w:name="_Toc170226124"/>
      <w:r>
        <w:rPr>
          <w:rFonts w:eastAsia="Times New Roman" w:cs="Arial"/>
          <w:b/>
          <w:bCs/>
          <w:szCs w:val="24"/>
          <w:lang w:eastAsia="es-ES"/>
        </w:rPr>
        <w:t>Valor corriente</w:t>
      </w:r>
      <w:bookmarkEnd w:id="54"/>
    </w:p>
    <w:p w14:paraId="52980E2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mediciones del valor corriente proporcionan información monetaria sobre activos, pasivos, e ingresos y gastos relacionados, usando información actualizada para reflejar las condiciones en la fecha de medición.</w:t>
      </w:r>
    </w:p>
    <w:p w14:paraId="52980E2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lastRenderedPageBreak/>
        <w:t>Debido a la continua actualización, los valores corrientes de activos y pasivos reflejan los cambios, desde la fecha de medición anterior, en las estimaciones de flujos de efectivo y otros factores reflejados en los valores corrientes. A diferencia del costo histórico, el valor corriente de un activo o pasivo no procede, ni siquiera en parte, del precio de la transacción o de otro suceso que dio lugar al activo o pasivo.</w:t>
      </w:r>
    </w:p>
    <w:p w14:paraId="52980E2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bases de medición de valor corriente incluyen:</w:t>
      </w:r>
    </w:p>
    <w:p w14:paraId="52980E2D" w14:textId="77777777" w:rsidR="008748C1" w:rsidRDefault="00000000">
      <w:pPr>
        <w:numPr>
          <w:ilvl w:val="0"/>
          <w:numId w:val="16"/>
        </w:numPr>
        <w:tabs>
          <w:tab w:val="left" w:pos="1276"/>
        </w:tabs>
        <w:spacing w:beforeLines="20" w:before="48" w:afterLines="20" w:after="48" w:line="240" w:lineRule="auto"/>
        <w:ind w:left="1276"/>
        <w:jc w:val="both"/>
        <w:rPr>
          <w:rFonts w:eastAsia="Times New Roman" w:cs="Arial"/>
          <w:snapToGrid w:val="0"/>
          <w:lang w:eastAsia="es-ES"/>
        </w:rPr>
      </w:pPr>
      <w:r>
        <w:rPr>
          <w:rFonts w:eastAsia="Times New Roman" w:cs="Arial"/>
          <w:snapToGrid w:val="0"/>
          <w:lang w:eastAsia="es-ES"/>
        </w:rPr>
        <w:t>el valor razonable;</w:t>
      </w:r>
    </w:p>
    <w:p w14:paraId="52980E2E" w14:textId="77777777" w:rsidR="008748C1" w:rsidRDefault="00000000">
      <w:pPr>
        <w:numPr>
          <w:ilvl w:val="0"/>
          <w:numId w:val="16"/>
        </w:numPr>
        <w:tabs>
          <w:tab w:val="left" w:pos="1276"/>
        </w:tabs>
        <w:spacing w:beforeLines="20" w:before="48" w:afterLines="20" w:after="48" w:line="240" w:lineRule="auto"/>
        <w:ind w:left="1276"/>
        <w:jc w:val="both"/>
        <w:rPr>
          <w:rFonts w:eastAsia="Times New Roman" w:cs="Arial"/>
          <w:snapToGrid w:val="0"/>
          <w:lang w:eastAsia="es-ES"/>
        </w:rPr>
      </w:pPr>
      <w:r>
        <w:rPr>
          <w:rFonts w:eastAsia="Times New Roman" w:cs="Arial"/>
          <w:snapToGrid w:val="0"/>
          <w:lang w:eastAsia="es-ES"/>
        </w:rPr>
        <w:t>el valor en uso para activos y valor de cumplimiento para pasivos; y</w:t>
      </w:r>
    </w:p>
    <w:p w14:paraId="52980E2F" w14:textId="77777777" w:rsidR="008748C1" w:rsidRDefault="00000000">
      <w:pPr>
        <w:numPr>
          <w:ilvl w:val="0"/>
          <w:numId w:val="16"/>
        </w:numPr>
        <w:tabs>
          <w:tab w:val="left" w:pos="1276"/>
        </w:tabs>
        <w:spacing w:beforeLines="20" w:before="48" w:afterLines="20" w:after="48" w:line="240" w:lineRule="auto"/>
        <w:ind w:left="1276"/>
        <w:jc w:val="both"/>
        <w:rPr>
          <w:rFonts w:eastAsia="Times New Roman" w:cs="Arial"/>
          <w:snapToGrid w:val="0"/>
          <w:lang w:eastAsia="es-ES"/>
        </w:rPr>
      </w:pPr>
      <w:r>
        <w:rPr>
          <w:rFonts w:eastAsia="Times New Roman" w:cs="Arial"/>
          <w:snapToGrid w:val="0"/>
          <w:lang w:eastAsia="es-ES"/>
        </w:rPr>
        <w:t>el costo corriente.</w:t>
      </w:r>
    </w:p>
    <w:p w14:paraId="52980E30" w14:textId="77777777" w:rsidR="008748C1" w:rsidRDefault="00000000">
      <w:pPr>
        <w:keepNext/>
        <w:spacing w:before="240" w:after="120" w:line="240" w:lineRule="auto"/>
        <w:ind w:left="851"/>
        <w:jc w:val="both"/>
        <w:outlineLvl w:val="5"/>
        <w:rPr>
          <w:rFonts w:eastAsia="Times New Roman" w:cs="Arial"/>
          <w:b/>
          <w:szCs w:val="24"/>
          <w:lang w:eastAsia="es-ES"/>
        </w:rPr>
      </w:pPr>
      <w:bookmarkStart w:id="55" w:name="_Toc170226125"/>
      <w:r>
        <w:rPr>
          <w:rFonts w:eastAsia="Times New Roman" w:cs="Arial"/>
          <w:b/>
          <w:szCs w:val="24"/>
          <w:lang w:eastAsia="es-ES"/>
        </w:rPr>
        <w:t>Valor razonable</w:t>
      </w:r>
      <w:bookmarkEnd w:id="55"/>
    </w:p>
    <w:p w14:paraId="52980E3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El valor razonable es el precio que se recibiría por vender un activo o se pagaría por transferir un pasivo en una transacción ordenada entre participantes del mercado principal (o más ventajoso en ausencia de un mercado principal) en la fecha de la medición, y bajo las condiciones de mercado presentes independientemente de si ese precio es observable directamente o estimado utilizando otra técnica de valorización. El valor razonable es una medición basada en el mercado, no una medición específica de la entidad. Una medición a valor razonable supondrá que el activo o pasivo se intercambia en una transacción ordenada entre participantes del mercado para vender el activo o transferir el pasivo en la fecha de la medición en condiciones de mercado presentes. La medición a valor razonable supondrá que la transacción de venta del activo o transferencia del pasivo tiene lugar: i) en el mercado principal del activo o pasivo; o </w:t>
      </w:r>
      <w:proofErr w:type="spellStart"/>
      <w:r>
        <w:rPr>
          <w:rFonts w:eastAsia="Times New Roman" w:cs="Times New Roman"/>
          <w:lang w:eastAsia="es-ES"/>
        </w:rPr>
        <w:t>ii</w:t>
      </w:r>
      <w:proofErr w:type="spellEnd"/>
      <w:r>
        <w:rPr>
          <w:rFonts w:eastAsia="Times New Roman" w:cs="Times New Roman"/>
          <w:lang w:eastAsia="es-ES"/>
        </w:rPr>
        <w:t>) en ausencia de un mercado principal, en el mercado más ventajoso para el activo o pasivo.</w:t>
      </w:r>
      <w:r>
        <w:rPr>
          <w:rFonts w:eastAsia="Times New Roman" w:cs="Times New Roman"/>
          <w:lang w:eastAsia="es-ES"/>
        </w:rPr>
        <w:cr/>
      </w:r>
      <w:bookmarkStart w:id="56" w:name="_Toc170226126"/>
    </w:p>
    <w:p w14:paraId="52980E32" w14:textId="77777777" w:rsidR="008748C1" w:rsidRDefault="00000000">
      <w:pPr>
        <w:keepNext/>
        <w:spacing w:before="240" w:after="120" w:line="240" w:lineRule="auto"/>
        <w:ind w:left="851"/>
        <w:jc w:val="both"/>
        <w:outlineLvl w:val="5"/>
        <w:rPr>
          <w:rFonts w:eastAsia="Times New Roman" w:cs="Arial"/>
          <w:b/>
          <w:szCs w:val="24"/>
          <w:lang w:eastAsia="es-ES"/>
        </w:rPr>
      </w:pPr>
      <w:r>
        <w:rPr>
          <w:rFonts w:eastAsia="Times New Roman" w:cs="Arial"/>
          <w:b/>
          <w:szCs w:val="24"/>
          <w:lang w:eastAsia="es-ES"/>
        </w:rPr>
        <w:t>Valor en uso y valor de cumplimiento</w:t>
      </w:r>
      <w:bookmarkEnd w:id="56"/>
    </w:p>
    <w:p w14:paraId="52980E3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valor en uso es el valor presente de los flujos de efectivo, o de otros beneficios económicos, que la empresa espera obtener del uso de un activo y de su disposición final. El valor de cumplimiento es el valor presente de los flujos de efectivo o de otros beneficios económicos, que la empresa espera verse obligada a transferir a medida que satisface un pasivo. Los importes de los flujos de efectivo o de otros beneficios económicos incluyen no solo los importes a transferir a la contraparte del pasivo, sino también los importes que la empresa espera verse obligada a transferir a terceros para permitirle satisfacer el pasivo.</w:t>
      </w:r>
    </w:p>
    <w:p w14:paraId="52980E3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Puesto que el valor en uso y el valor de cumplimiento se basan en flujos de efectivo futuros, no incluyen costos de transacción en el momento de la adquisición de un activo o la asunción de un pasivo. Sin embargo, el valor en uso y el valor de cumplimiento incluyen el valor presente de los costos de transacción que la empresa espera incurrir en la disposición final del activo o en la satisfacción del pasivo.</w:t>
      </w:r>
    </w:p>
    <w:p w14:paraId="52980E3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valor en uso y el valor de cumplimiento reflejan los supuestos específicos de la empresa en lugar de los participantes del mercado. En la práctica, puede haber, en ocasiones, poca diferencia entre los supuestos que los participantes del mercado usarían y lo que utiliza la empresa por sí misma.</w:t>
      </w:r>
    </w:p>
    <w:p w14:paraId="52980E3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valor en uso y el valor de cumplimiento no pueden observarse directamente y se determinan utilizando técnicas de medición basadas en los flujos de efectivo. El valor en uso y el valor de cumplimiento reflejan los mismos factores descritos para el valor razonable, pero desde la perspectiva específica de la empresa, en lugar de una perspectiva de los participantes del mercado.</w:t>
      </w:r>
    </w:p>
    <w:p w14:paraId="52980E37" w14:textId="77777777" w:rsidR="008748C1" w:rsidRDefault="00000000">
      <w:pPr>
        <w:keepNext/>
        <w:spacing w:before="240" w:after="120" w:line="240" w:lineRule="auto"/>
        <w:ind w:left="851"/>
        <w:jc w:val="both"/>
        <w:outlineLvl w:val="5"/>
        <w:rPr>
          <w:rFonts w:eastAsia="Times New Roman" w:cs="Arial"/>
          <w:b/>
          <w:szCs w:val="24"/>
          <w:lang w:eastAsia="es-ES"/>
        </w:rPr>
      </w:pPr>
      <w:bookmarkStart w:id="57" w:name="_Toc170226127"/>
      <w:r>
        <w:rPr>
          <w:rFonts w:eastAsia="Times New Roman" w:cs="Arial"/>
          <w:b/>
          <w:szCs w:val="24"/>
          <w:lang w:eastAsia="es-ES"/>
        </w:rPr>
        <w:t>Costo corriente</w:t>
      </w:r>
      <w:bookmarkEnd w:id="57"/>
    </w:p>
    <w:p w14:paraId="52980E3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El costo corriente de un activo es el costo de un activo equivalente en la fecha de medición, que comprende la contraprestación que se pagaría en la fecha de medición más los costos de transacción </w:t>
      </w:r>
      <w:r>
        <w:rPr>
          <w:rFonts w:eastAsia="Times New Roman" w:cs="Times New Roman"/>
          <w:lang w:eastAsia="es-ES"/>
        </w:rPr>
        <w:lastRenderedPageBreak/>
        <w:t>en los que se incurriría en esa fecha. El costo corriente de un pasivo es la contraprestación que se recibiría para un pasivo equivalente en la fecha de medición menos los costos de transacción en los que se incurriría en esa fecha.</w:t>
      </w:r>
    </w:p>
    <w:p w14:paraId="52980E3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costo corriente, como el costo histórico, son valores de entrada que reflejan precios en el mercado en el que la empresa adquiriría el activo o incurriría en el pasivo. Por ello, es diferente del valor razonable, valor en uso y valor de cumplimiento, que son valores de salida. Sin embargo, a diferencia del costo histórico, el costo corriente refleja condiciones en la fecha de medición.</w:t>
      </w:r>
    </w:p>
    <w:p w14:paraId="52980E3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En algunos casos el costo corriente no puede determinarse de forma directa observando los precios en un mercado activo y deben determinarse de forma indirecta por otros medios. Por ejemplo, si los precios están disponibles solo para activos nuevos, el costo corriente de un activo usado puede necesitar estimarse ajustando el precio corriente de un activo nuevo para reflejar la edad actual y condición del activo mantenido por la empresa.</w:t>
      </w:r>
    </w:p>
    <w:p w14:paraId="52980E3B" w14:textId="77777777" w:rsidR="008748C1" w:rsidRDefault="008748C1">
      <w:pPr>
        <w:spacing w:after="120" w:line="240" w:lineRule="auto"/>
        <w:contextualSpacing/>
        <w:jc w:val="both"/>
        <w:rPr>
          <w:rFonts w:eastAsia="Times New Roman" w:cs="Arial"/>
          <w:snapToGrid w:val="0"/>
          <w:lang w:eastAsia="es-ES"/>
        </w:rPr>
      </w:pPr>
    </w:p>
    <w:p w14:paraId="52980E3C" w14:textId="77777777" w:rsidR="008748C1" w:rsidRDefault="00000000">
      <w:pPr>
        <w:keepNext/>
        <w:numPr>
          <w:ilvl w:val="0"/>
          <w:numId w:val="4"/>
        </w:numPr>
        <w:spacing w:after="0" w:line="240" w:lineRule="auto"/>
        <w:ind w:left="0" w:hanging="284"/>
        <w:outlineLvl w:val="1"/>
        <w:rPr>
          <w:rFonts w:eastAsia="Times New Roman" w:cs="Times New Roman"/>
          <w:b/>
          <w:bCs/>
          <w:szCs w:val="24"/>
          <w:u w:val="single"/>
          <w:lang w:eastAsia="es-ES"/>
        </w:rPr>
      </w:pPr>
      <w:r>
        <w:rPr>
          <w:rFonts w:eastAsia="Times New Roman" w:cs="Times New Roman"/>
          <w:b/>
          <w:bCs/>
          <w:szCs w:val="24"/>
          <w:lang w:eastAsia="es-ES"/>
        </w:rPr>
        <w:t>PREPARACIÓN DE ESTADOS FINANCIEROS</w:t>
      </w:r>
    </w:p>
    <w:p w14:paraId="52980E3D" w14:textId="77777777" w:rsidR="008748C1" w:rsidRDefault="008748C1">
      <w:pPr>
        <w:spacing w:after="0" w:line="240" w:lineRule="auto"/>
        <w:ind w:left="360" w:hanging="360"/>
        <w:jc w:val="both"/>
        <w:rPr>
          <w:rFonts w:ascii="Arial" w:eastAsia="Times New Roman" w:hAnsi="Arial" w:cs="Arial"/>
          <w:b/>
          <w:sz w:val="20"/>
          <w:szCs w:val="24"/>
          <w:lang w:eastAsia="es-ES"/>
        </w:rPr>
      </w:pPr>
    </w:p>
    <w:p w14:paraId="52980E3E" w14:textId="77777777" w:rsidR="008748C1" w:rsidRDefault="00000000">
      <w:pPr>
        <w:spacing w:before="60" w:after="60" w:line="240" w:lineRule="auto"/>
        <w:jc w:val="both"/>
        <w:rPr>
          <w:rFonts w:eastAsia="Times New Roman" w:cs="Times New Roman"/>
          <w:szCs w:val="24"/>
          <w:lang w:eastAsia="es-ES"/>
        </w:rPr>
      </w:pPr>
      <w:r>
        <w:rPr>
          <w:rFonts w:eastAsia="Times New Roman" w:cs="Times New Roman"/>
          <w:szCs w:val="24"/>
          <w:lang w:eastAsia="es-ES"/>
        </w:rPr>
        <w:t xml:space="preserve">Los estados financieros se deben elaborar y exponer de acuerdo con los criterios contables establecidos en el presente Manual y otras disposiciones establecidas por la Superintendencia, y en aquello no contemplado por éstas, se aplicará lo dispuesto en las Normas Internacionales de Información Financiera (NIIF) emitidas por el International </w:t>
      </w:r>
      <w:proofErr w:type="spellStart"/>
      <w:r>
        <w:rPr>
          <w:rFonts w:eastAsia="Times New Roman" w:cs="Times New Roman"/>
          <w:szCs w:val="24"/>
          <w:lang w:eastAsia="es-ES"/>
        </w:rPr>
        <w:t>Accounting</w:t>
      </w:r>
      <w:proofErr w:type="spellEnd"/>
      <w:r>
        <w:rPr>
          <w:rFonts w:eastAsia="Times New Roman" w:cs="Times New Roman"/>
          <w:szCs w:val="24"/>
          <w:lang w:eastAsia="es-ES"/>
        </w:rPr>
        <w:t xml:space="preserve"> </w:t>
      </w:r>
      <w:proofErr w:type="spellStart"/>
      <w:r>
        <w:rPr>
          <w:rFonts w:eastAsia="Times New Roman" w:cs="Times New Roman"/>
          <w:szCs w:val="24"/>
          <w:lang w:eastAsia="es-ES"/>
        </w:rPr>
        <w:t>Standards</w:t>
      </w:r>
      <w:proofErr w:type="spellEnd"/>
      <w:r>
        <w:rPr>
          <w:rFonts w:eastAsia="Times New Roman" w:cs="Times New Roman"/>
          <w:szCs w:val="24"/>
          <w:lang w:eastAsia="es-ES"/>
        </w:rPr>
        <w:t xml:space="preserve"> </w:t>
      </w:r>
      <w:proofErr w:type="spellStart"/>
      <w:r>
        <w:rPr>
          <w:rFonts w:eastAsia="Times New Roman" w:cs="Times New Roman"/>
          <w:szCs w:val="24"/>
          <w:lang w:eastAsia="es-ES"/>
        </w:rPr>
        <w:t>Board</w:t>
      </w:r>
      <w:proofErr w:type="spellEnd"/>
      <w:r>
        <w:rPr>
          <w:rFonts w:eastAsia="Times New Roman" w:cs="Times New Roman"/>
          <w:szCs w:val="24"/>
          <w:lang w:eastAsia="es-ES"/>
        </w:rPr>
        <w:t xml:space="preserve"> (IASB) y aprobadas en el país por el Consejo Normativo de Contabilidad. </w:t>
      </w:r>
    </w:p>
    <w:p w14:paraId="52980E3F" w14:textId="77777777" w:rsidR="008748C1" w:rsidRDefault="00000000">
      <w:pPr>
        <w:spacing w:before="60" w:after="60" w:line="240" w:lineRule="auto"/>
        <w:jc w:val="both"/>
        <w:rPr>
          <w:rFonts w:ascii="Arial" w:eastAsia="Times New Roman" w:hAnsi="Arial" w:cs="Arial"/>
          <w:sz w:val="20"/>
          <w:szCs w:val="20"/>
          <w:lang w:eastAsia="es-ES"/>
        </w:rPr>
      </w:pPr>
      <w:r>
        <w:rPr>
          <w:rFonts w:eastAsia="Times New Roman" w:cs="Times New Roman"/>
          <w:lang w:eastAsia="es-ES"/>
        </w:rPr>
        <w:t xml:space="preserve">Los estados financieros básicos comprenden: </w:t>
      </w:r>
    </w:p>
    <w:p w14:paraId="52980E40" w14:textId="77777777" w:rsidR="008748C1" w:rsidRDefault="00000000">
      <w:pPr>
        <w:numPr>
          <w:ilvl w:val="0"/>
          <w:numId w:val="17"/>
        </w:numPr>
        <w:tabs>
          <w:tab w:val="left" w:pos="851"/>
        </w:tabs>
        <w:spacing w:before="20" w:after="20" w:line="240" w:lineRule="auto"/>
        <w:ind w:left="850" w:hanging="425"/>
        <w:jc w:val="both"/>
        <w:rPr>
          <w:rFonts w:eastAsia="Calibri" w:cs="Times New Roman"/>
          <w:szCs w:val="24"/>
          <w:lang w:eastAsia="es-ES"/>
        </w:rPr>
      </w:pPr>
      <w:r>
        <w:rPr>
          <w:rFonts w:eastAsia="Calibri" w:cs="Times New Roman"/>
          <w:szCs w:val="24"/>
          <w:lang w:eastAsia="es-ES"/>
        </w:rPr>
        <w:t>Estado de Situación Financiera</w:t>
      </w:r>
    </w:p>
    <w:p w14:paraId="52980E41" w14:textId="77777777" w:rsidR="008748C1" w:rsidRDefault="00000000">
      <w:pPr>
        <w:numPr>
          <w:ilvl w:val="0"/>
          <w:numId w:val="17"/>
        </w:numPr>
        <w:tabs>
          <w:tab w:val="left" w:pos="851"/>
        </w:tabs>
        <w:spacing w:before="20" w:after="20" w:line="240" w:lineRule="auto"/>
        <w:jc w:val="both"/>
        <w:rPr>
          <w:rFonts w:eastAsia="Calibri" w:cs="Times New Roman"/>
          <w:szCs w:val="24"/>
          <w:lang w:eastAsia="es-ES"/>
        </w:rPr>
      </w:pPr>
      <w:r>
        <w:rPr>
          <w:rFonts w:eastAsia="Calibri" w:cs="Times New Roman"/>
          <w:szCs w:val="24"/>
          <w:lang w:eastAsia="es-ES"/>
        </w:rPr>
        <w:t xml:space="preserve">Estado del Resultado Integral, conformado por: i) Estado de Resultados; y, </w:t>
      </w:r>
      <w:proofErr w:type="spellStart"/>
      <w:r>
        <w:rPr>
          <w:rFonts w:eastAsia="Calibri" w:cs="Times New Roman"/>
          <w:szCs w:val="24"/>
          <w:lang w:eastAsia="es-ES"/>
        </w:rPr>
        <w:t>ii</w:t>
      </w:r>
      <w:proofErr w:type="spellEnd"/>
      <w:r>
        <w:rPr>
          <w:rFonts w:eastAsia="Calibri" w:cs="Times New Roman"/>
          <w:szCs w:val="24"/>
          <w:lang w:eastAsia="es-ES"/>
        </w:rPr>
        <w:t>) Estado de Resultados y Otro Resultado Integral</w:t>
      </w:r>
    </w:p>
    <w:p w14:paraId="52980E42" w14:textId="77777777" w:rsidR="008748C1" w:rsidRDefault="00000000">
      <w:pPr>
        <w:numPr>
          <w:ilvl w:val="0"/>
          <w:numId w:val="17"/>
        </w:numPr>
        <w:tabs>
          <w:tab w:val="left" w:pos="851"/>
        </w:tabs>
        <w:spacing w:before="20" w:after="20" w:line="240" w:lineRule="auto"/>
        <w:ind w:left="850" w:hanging="425"/>
        <w:jc w:val="both"/>
        <w:rPr>
          <w:rFonts w:eastAsia="Calibri" w:cs="Times New Roman"/>
          <w:szCs w:val="24"/>
          <w:lang w:eastAsia="es-ES"/>
        </w:rPr>
      </w:pPr>
      <w:r>
        <w:rPr>
          <w:rFonts w:eastAsia="Calibri" w:cs="Times New Roman"/>
          <w:szCs w:val="24"/>
          <w:lang w:eastAsia="es-ES"/>
        </w:rPr>
        <w:t xml:space="preserve">Estado de Cambios en el Patrimonio </w:t>
      </w:r>
    </w:p>
    <w:p w14:paraId="52980E43" w14:textId="77777777" w:rsidR="008748C1" w:rsidRDefault="00000000">
      <w:pPr>
        <w:numPr>
          <w:ilvl w:val="0"/>
          <w:numId w:val="17"/>
        </w:numPr>
        <w:tabs>
          <w:tab w:val="left" w:pos="851"/>
        </w:tabs>
        <w:spacing w:before="20" w:after="20" w:line="240" w:lineRule="auto"/>
        <w:ind w:left="850" w:hanging="425"/>
        <w:jc w:val="both"/>
        <w:rPr>
          <w:rFonts w:eastAsia="Calibri" w:cs="Times New Roman"/>
          <w:szCs w:val="24"/>
          <w:lang w:eastAsia="es-ES"/>
        </w:rPr>
      </w:pPr>
      <w:r>
        <w:rPr>
          <w:rFonts w:eastAsia="Calibri" w:cs="Times New Roman"/>
          <w:szCs w:val="24"/>
          <w:lang w:eastAsia="es-ES"/>
        </w:rPr>
        <w:t>Estado de Flujos de Efectivo</w:t>
      </w:r>
    </w:p>
    <w:p w14:paraId="52980E44" w14:textId="77777777" w:rsidR="008748C1" w:rsidRDefault="00000000">
      <w:pPr>
        <w:numPr>
          <w:ilvl w:val="0"/>
          <w:numId w:val="17"/>
        </w:numPr>
        <w:tabs>
          <w:tab w:val="left" w:pos="851"/>
        </w:tabs>
        <w:spacing w:before="20" w:after="20" w:line="240" w:lineRule="auto"/>
        <w:ind w:left="850" w:hanging="425"/>
        <w:jc w:val="both"/>
        <w:rPr>
          <w:rFonts w:ascii="Arial" w:eastAsia="Times New Roman" w:hAnsi="Arial" w:cs="Times New Roman"/>
          <w:sz w:val="20"/>
          <w:szCs w:val="24"/>
          <w:lang w:eastAsia="es-ES"/>
        </w:rPr>
      </w:pPr>
      <w:r>
        <w:rPr>
          <w:rFonts w:eastAsia="Calibri" w:cs="Times New Roman"/>
          <w:szCs w:val="24"/>
          <w:lang w:eastAsia="es-ES"/>
        </w:rPr>
        <w:t xml:space="preserve">Notas </w:t>
      </w:r>
    </w:p>
    <w:p w14:paraId="52980E45" w14:textId="77777777" w:rsidR="008748C1" w:rsidRDefault="008748C1">
      <w:pPr>
        <w:spacing w:before="60" w:after="60" w:line="240" w:lineRule="auto"/>
        <w:jc w:val="both"/>
        <w:rPr>
          <w:rFonts w:eastAsia="Times New Roman" w:cs="Times New Roman"/>
          <w:lang w:eastAsia="es-ES"/>
        </w:rPr>
      </w:pPr>
    </w:p>
    <w:p w14:paraId="52980E46" w14:textId="77777777" w:rsidR="008748C1" w:rsidRDefault="00000000">
      <w:pPr>
        <w:keepNext/>
        <w:numPr>
          <w:ilvl w:val="0"/>
          <w:numId w:val="4"/>
        </w:numPr>
        <w:spacing w:after="0" w:line="240" w:lineRule="auto"/>
        <w:ind w:left="0" w:hanging="284"/>
        <w:outlineLvl w:val="1"/>
        <w:rPr>
          <w:rFonts w:eastAsia="Times New Roman" w:cs="Times New Roman"/>
          <w:b/>
          <w:bCs/>
          <w:szCs w:val="24"/>
          <w:lang w:eastAsia="es-ES"/>
        </w:rPr>
      </w:pPr>
      <w:bookmarkStart w:id="58" w:name="_Toc170226129"/>
      <w:r>
        <w:rPr>
          <w:rFonts w:eastAsia="Times New Roman" w:cs="Times New Roman"/>
          <w:b/>
          <w:bCs/>
          <w:szCs w:val="24"/>
          <w:lang w:eastAsia="es-ES"/>
        </w:rPr>
        <w:t>NORMAS CONTABLES GENERALES</w:t>
      </w:r>
      <w:bookmarkEnd w:id="58"/>
    </w:p>
    <w:p w14:paraId="52980E47" w14:textId="77777777" w:rsidR="008748C1" w:rsidRDefault="008748C1">
      <w:pPr>
        <w:spacing w:after="0" w:line="240" w:lineRule="auto"/>
        <w:rPr>
          <w:rFonts w:eastAsia="Times New Roman" w:cs="Times New Roman"/>
          <w:szCs w:val="24"/>
          <w:lang w:eastAsia="es-ES"/>
        </w:rPr>
      </w:pPr>
    </w:p>
    <w:p w14:paraId="52980E48" w14:textId="77777777" w:rsidR="008748C1" w:rsidRDefault="00000000">
      <w:pPr>
        <w:spacing w:before="60" w:after="60" w:line="240" w:lineRule="auto"/>
        <w:jc w:val="both"/>
        <w:rPr>
          <w:rFonts w:eastAsia="Times New Roman" w:cs="Times New Roman"/>
          <w:lang w:eastAsia="es-ES"/>
        </w:rPr>
      </w:pPr>
      <w:r>
        <w:rPr>
          <w:rFonts w:eastAsia="Times New Roman" w:cs="Times New Roman"/>
          <w:lang w:eastAsia="es-ES"/>
        </w:rPr>
        <w:t>Adicionalmente a las normas particulares definidas en el Capítulo IV “Descripción y Dinámica de Cuentas”, se establece las siguientes normas contables generales, cuya aplicación debe considerarse al registrar las operaciones que realicen las AFP, así como en la elaboración de los estados financieros.</w:t>
      </w:r>
    </w:p>
    <w:p w14:paraId="52980E49"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bookmarkStart w:id="59" w:name="_Toc170226130"/>
      <w:r>
        <w:rPr>
          <w:rFonts w:eastAsia="Times New Roman" w:cs="Times New Roman"/>
          <w:b/>
          <w:bCs/>
          <w:szCs w:val="24"/>
          <w:lang w:eastAsia="es-ES"/>
        </w:rPr>
        <w:t>INSTRUMENTOS FINANCIEROS</w:t>
      </w:r>
      <w:bookmarkEnd w:id="59"/>
      <w:r>
        <w:rPr>
          <w:rFonts w:eastAsia="Times New Roman" w:cs="Times New Roman"/>
          <w:b/>
          <w:bCs/>
          <w:szCs w:val="24"/>
          <w:lang w:eastAsia="es-ES"/>
        </w:rPr>
        <w:t xml:space="preserve"> </w:t>
      </w:r>
    </w:p>
    <w:p w14:paraId="52980E4A"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El objetivo de la presente sección es establecer principios y lineamientos para una adecuada identificación, medición, contabilización y presentación de los instrumentos financieros de las empresas, de forma que se presente información útil y relevante para los usuarios de los estados financieros.</w:t>
      </w:r>
    </w:p>
    <w:p w14:paraId="52980E4B"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 xml:space="preserve">Las disposiciones establecidas en la presente sección se encuentran en concordancia con los criterios contenidos en la NIC 32 “Instrumentos Financieros: Presentación”, NIIF 9 “Instrumentos Financieros”, NIIF 13 “Medición del Valor Razonable”, NIC 21 “Efectos de las Variaciones en las Tasas de Cambio de la Moneda Extranjera” y NIIF 7 “Instrumentos Financieros: Información a Revelar”, así como sus interpretaciones, vigentes en el Perú. </w:t>
      </w:r>
    </w:p>
    <w:p w14:paraId="52980E4C"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Las referidas NIC y NIIF mencionadas, así como sus interpretaciones resultan aplicables en lo que no se oponga a lo establecido en la presente Sección, y en aquello no contemplado por aquellas se aplicará las disposiciones establecidas en el Marco Contable Conceptual establecido en la sección D del presente capítulo.</w:t>
      </w:r>
    </w:p>
    <w:p w14:paraId="52980E4D"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lastRenderedPageBreak/>
        <w:t>En relación con las cuentas por cobrar, se le aplicarán los lineamientos específicos brindados en la sección “Otros Activos financieros” y en lo no contemplado se aplicarán los lineamientos de esta sección.</w:t>
      </w:r>
    </w:p>
    <w:p w14:paraId="52980E4E" w14:textId="77777777" w:rsidR="008748C1" w:rsidRDefault="008748C1">
      <w:pPr>
        <w:spacing w:before="60" w:after="60" w:line="240" w:lineRule="auto"/>
        <w:ind w:left="425"/>
        <w:jc w:val="both"/>
        <w:rPr>
          <w:rFonts w:eastAsia="Times New Roman" w:cs="Times New Roman"/>
          <w:lang w:eastAsia="es-ES"/>
        </w:rPr>
      </w:pPr>
    </w:p>
    <w:p w14:paraId="52980E4F"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60" w:name="_Toc170226131"/>
      <w:r>
        <w:rPr>
          <w:rFonts w:eastAsia="Times New Roman" w:cs="Times New Roman"/>
          <w:b/>
          <w:bCs/>
          <w:szCs w:val="24"/>
          <w:lang w:eastAsia="es-ES"/>
        </w:rPr>
        <w:t>DEFINICIONES</w:t>
      </w:r>
      <w:bookmarkEnd w:id="60"/>
    </w:p>
    <w:p w14:paraId="52980E50" w14:textId="77777777" w:rsidR="008748C1" w:rsidRDefault="00000000">
      <w:pPr>
        <w:numPr>
          <w:ilvl w:val="0"/>
          <w:numId w:val="18"/>
        </w:numPr>
        <w:tabs>
          <w:tab w:val="clear" w:pos="710"/>
        </w:tabs>
        <w:spacing w:beforeLines="20" w:before="48" w:afterLines="20" w:after="48" w:line="240" w:lineRule="auto"/>
        <w:ind w:left="709" w:hanging="284"/>
        <w:jc w:val="both"/>
        <w:rPr>
          <w:rFonts w:eastAsia="Calibri" w:cs="Times New Roman"/>
          <w:szCs w:val="24"/>
          <w:lang w:eastAsia="es-ES"/>
        </w:rPr>
      </w:pPr>
      <w:r>
        <w:rPr>
          <w:rFonts w:eastAsia="Calibri" w:cs="Times New Roman"/>
          <w:b/>
          <w:bCs/>
          <w:szCs w:val="24"/>
          <w:lang w:eastAsia="es-ES"/>
        </w:rPr>
        <w:t>Costo amortizado</w:t>
      </w:r>
      <w:r>
        <w:rPr>
          <w:rFonts w:eastAsia="Calibri" w:cs="Times New Roman"/>
          <w:szCs w:val="24"/>
          <w:lang w:eastAsia="es-ES"/>
        </w:rPr>
        <w:t xml:space="preserve">: Importe al que fue medido en su reconocimiento inicial un </w:t>
      </w:r>
      <w:proofErr w:type="gramStart"/>
      <w:r>
        <w:rPr>
          <w:rFonts w:eastAsia="Calibri" w:cs="Times New Roman"/>
          <w:szCs w:val="24"/>
          <w:lang w:eastAsia="es-ES"/>
        </w:rPr>
        <w:t>activo financiero o un pasivo financiero</w:t>
      </w:r>
      <w:proofErr w:type="gramEnd"/>
      <w:r>
        <w:rPr>
          <w:rFonts w:eastAsia="Calibri" w:cs="Times New Roman"/>
          <w:szCs w:val="24"/>
          <w:lang w:eastAsia="es-ES"/>
        </w:rPr>
        <w:t>, menos reembolsos del principal que se hubieran producido, más o menos, según proceda, la parte imputada en resultados utilizando el método del interés efectivo, de cualquier diferencia entre el importe inicial y el importe al vencimiento. Además, para el caso de activos financieros, ajustado por cualquier reducción de valor por deterioro que hubiera sido reconocida.</w:t>
      </w:r>
    </w:p>
    <w:p w14:paraId="52980E51"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szCs w:val="24"/>
          <w:lang w:eastAsia="es-ES"/>
        </w:rPr>
      </w:pPr>
      <w:r>
        <w:rPr>
          <w:rFonts w:eastAsia="Arial Narrow" w:cs="Arial Narrow"/>
          <w:b/>
          <w:bCs/>
          <w:szCs w:val="24"/>
          <w:lang w:eastAsia="es-ES"/>
        </w:rPr>
        <w:t>Costos de transacción:</w:t>
      </w:r>
      <w:r>
        <w:rPr>
          <w:rFonts w:eastAsia="Arial Narrow" w:cs="Arial Narrow"/>
          <w:szCs w:val="24"/>
          <w:lang w:eastAsia="es-ES"/>
        </w:rPr>
        <w:t xml:space="preserve"> costos incrementales directamente atribuibles a la compra, emisión o disposición de un activo financiero o de un pasivo financiero, es decir, proceden directamente de la transacción y son parte esencial de esta. Un costo incremental es aquel en el que no se habría incurrido si la empresa no hubiese adquirido, emitido o dispuesto del instrumento financiero. Incluyen honorarios y comisiones pagadas a los agentes (incluyendo a los empleados que actúen como agentes de venta), asesores, comisionistas e intermediarios, tasas establecidas por las agencias reguladoras y bolsas de valores, así como impuestos no recuperables y otros derechos. Los costos de transacción no incluyen primas o descuentos sobre la deuda, costos financieros, costos internos de administración o costos de mantenimiento.</w:t>
      </w:r>
    </w:p>
    <w:p w14:paraId="52980E52"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szCs w:val="24"/>
          <w:lang w:eastAsia="es-ES"/>
        </w:rPr>
      </w:pPr>
      <w:r>
        <w:rPr>
          <w:rFonts w:eastAsia="Calibri" w:cs="Times New Roman"/>
          <w:b/>
          <w:bCs/>
          <w:szCs w:val="24"/>
          <w:lang w:eastAsia="es-ES"/>
        </w:rPr>
        <w:t xml:space="preserve">Efectivo y equivalente al efectivo: </w:t>
      </w:r>
      <w:r>
        <w:rPr>
          <w:rFonts w:eastAsia="Calibri" w:cs="Times New Roman"/>
          <w:szCs w:val="24"/>
          <w:lang w:eastAsia="es-ES"/>
        </w:rPr>
        <w:t xml:space="preserve">comprende el efectivo, los depósitos a la vista (incluye depósitos en cuentas corrientes y depósitos de ahorro) y las inversiones a corto plazo de gran liquidez (inversiones que son fácilmente convertibles en efectivo y que se encuentran sujetos a un riesgo poco significativo de cambios en su valor). Los equivalentes de efectivo se mantienen más que para propósitos de inversión u otros similares, para cumplir con compromisos de pago a corto plazo. Las inversiones de corto plazo, como los depósitos a plazo que se mantienen con un periodo de vencimiento no mayor a 3 meses desde su fecha de adquisición, son considerados equivalentes de efectivo. </w:t>
      </w:r>
    </w:p>
    <w:p w14:paraId="52980E53" w14:textId="77777777" w:rsidR="008748C1" w:rsidRDefault="00000000">
      <w:pPr>
        <w:numPr>
          <w:ilvl w:val="0"/>
          <w:numId w:val="18"/>
        </w:numPr>
        <w:spacing w:beforeLines="20" w:before="48" w:afterLines="20" w:after="48" w:line="240" w:lineRule="auto"/>
        <w:ind w:left="709" w:hanging="283"/>
        <w:jc w:val="both"/>
        <w:rPr>
          <w:rFonts w:eastAsia="Calibri" w:cs="Times New Roman"/>
          <w:szCs w:val="24"/>
          <w:lang w:eastAsia="es-ES"/>
        </w:rPr>
      </w:pPr>
      <w:r>
        <w:rPr>
          <w:rFonts w:eastAsia="Calibri" w:cs="Times New Roman"/>
          <w:b/>
          <w:bCs/>
          <w:szCs w:val="24"/>
          <w:lang w:eastAsia="es-ES"/>
        </w:rPr>
        <w:t xml:space="preserve">Activo subyacente: </w:t>
      </w:r>
      <w:r>
        <w:rPr>
          <w:rFonts w:eastAsia="Calibri" w:cs="Times New Roman"/>
          <w:szCs w:val="24"/>
          <w:lang w:eastAsia="es-ES"/>
        </w:rPr>
        <w:t>Variable subyacente de la cual dependen los precios de los instrumentos financieros derivados.</w:t>
      </w:r>
    </w:p>
    <w:p w14:paraId="52980E54" w14:textId="77777777" w:rsidR="008748C1" w:rsidRDefault="00000000">
      <w:pPr>
        <w:numPr>
          <w:ilvl w:val="0"/>
          <w:numId w:val="18"/>
        </w:numPr>
        <w:tabs>
          <w:tab w:val="left" w:pos="851"/>
        </w:tabs>
        <w:spacing w:beforeLines="20" w:before="48" w:afterLines="20" w:after="48" w:line="240" w:lineRule="auto"/>
        <w:jc w:val="both"/>
        <w:rPr>
          <w:rFonts w:eastAsia="Calibri" w:cs="Times New Roman"/>
          <w:szCs w:val="24"/>
          <w:lang w:eastAsia="es-ES"/>
        </w:rPr>
      </w:pPr>
      <w:r>
        <w:rPr>
          <w:rFonts w:eastAsia="Calibri" w:cs="Times New Roman"/>
          <w:b/>
          <w:bCs/>
          <w:szCs w:val="24"/>
          <w:lang w:eastAsia="es-ES"/>
        </w:rPr>
        <w:t xml:space="preserve">Días: </w:t>
      </w:r>
      <w:r>
        <w:rPr>
          <w:rFonts w:eastAsia="Calibri" w:cs="Times New Roman"/>
          <w:szCs w:val="24"/>
          <w:lang w:eastAsia="es-ES"/>
        </w:rPr>
        <w:t>días calendario.</w:t>
      </w:r>
    </w:p>
    <w:p w14:paraId="52980E55" w14:textId="77777777" w:rsidR="008748C1" w:rsidRDefault="00000000">
      <w:pPr>
        <w:numPr>
          <w:ilvl w:val="0"/>
          <w:numId w:val="18"/>
        </w:numPr>
        <w:tabs>
          <w:tab w:val="left" w:pos="851"/>
        </w:tabs>
        <w:spacing w:beforeLines="20" w:before="48" w:afterLines="20" w:after="48" w:line="240" w:lineRule="auto"/>
        <w:jc w:val="both"/>
        <w:rPr>
          <w:rFonts w:eastAsia="Calibri" w:cs="Times New Roman"/>
          <w:szCs w:val="24"/>
          <w:lang w:eastAsia="es-ES"/>
        </w:rPr>
      </w:pPr>
      <w:r>
        <w:rPr>
          <w:rFonts w:eastAsia="Calibri" w:cs="Times New Roman"/>
          <w:b/>
          <w:bCs/>
          <w:szCs w:val="24"/>
          <w:lang w:eastAsia="es-ES"/>
        </w:rPr>
        <w:t xml:space="preserve">Un activo financiero </w:t>
      </w:r>
      <w:r>
        <w:rPr>
          <w:rFonts w:eastAsia="Calibri" w:cs="Times New Roman"/>
          <w:szCs w:val="24"/>
          <w:lang w:eastAsia="es-ES"/>
        </w:rPr>
        <w:t>es cualquier activo que sea:</w:t>
      </w:r>
    </w:p>
    <w:p w14:paraId="52980E56" w14:textId="77777777" w:rsidR="008748C1" w:rsidRDefault="00000000">
      <w:pPr>
        <w:numPr>
          <w:ilvl w:val="2"/>
          <w:numId w:val="19"/>
        </w:numPr>
        <w:spacing w:before="20" w:after="20" w:line="240" w:lineRule="auto"/>
        <w:ind w:left="1135" w:hanging="284"/>
        <w:jc w:val="both"/>
        <w:rPr>
          <w:rFonts w:eastAsia="Calibri" w:cs="Calibri"/>
          <w:szCs w:val="24"/>
          <w:lang w:eastAsia="es-ES"/>
        </w:rPr>
      </w:pPr>
      <w:r>
        <w:rPr>
          <w:rFonts w:eastAsia="Calibri" w:cs="Times New Roman"/>
          <w:szCs w:val="24"/>
          <w:lang w:eastAsia="es-ES"/>
        </w:rPr>
        <w:t>Efectivo</w:t>
      </w:r>
    </w:p>
    <w:p w14:paraId="52980E57" w14:textId="77777777" w:rsidR="008748C1" w:rsidRDefault="00000000">
      <w:pPr>
        <w:numPr>
          <w:ilvl w:val="2"/>
          <w:numId w:val="19"/>
        </w:numPr>
        <w:spacing w:before="20" w:after="20" w:line="240" w:lineRule="auto"/>
        <w:ind w:left="1135" w:hanging="284"/>
        <w:jc w:val="both"/>
        <w:rPr>
          <w:rFonts w:eastAsia="Calibri" w:cs="Times New Roman"/>
          <w:szCs w:val="24"/>
          <w:lang w:eastAsia="es-ES"/>
        </w:rPr>
      </w:pPr>
      <w:r>
        <w:rPr>
          <w:rFonts w:eastAsia="Calibri" w:cs="Times New Roman"/>
          <w:szCs w:val="24"/>
          <w:lang w:eastAsia="es-ES"/>
        </w:rPr>
        <w:t>Un instrumento de patrimonio de otra entidad</w:t>
      </w:r>
    </w:p>
    <w:p w14:paraId="52980E58" w14:textId="77777777" w:rsidR="008748C1" w:rsidRDefault="00000000">
      <w:pPr>
        <w:numPr>
          <w:ilvl w:val="2"/>
          <w:numId w:val="19"/>
        </w:numPr>
        <w:spacing w:before="20" w:after="20" w:line="240" w:lineRule="auto"/>
        <w:ind w:left="1135" w:hanging="284"/>
        <w:jc w:val="both"/>
        <w:rPr>
          <w:rFonts w:eastAsia="Calibri" w:cs="Times New Roman"/>
          <w:szCs w:val="24"/>
          <w:lang w:eastAsia="es-ES"/>
        </w:rPr>
      </w:pPr>
      <w:r>
        <w:rPr>
          <w:rFonts w:eastAsia="Calibri" w:cs="Times New Roman"/>
          <w:szCs w:val="24"/>
          <w:lang w:eastAsia="es-ES"/>
        </w:rPr>
        <w:t xml:space="preserve">Un derecho contractual: </w:t>
      </w:r>
    </w:p>
    <w:p w14:paraId="52980E59" w14:textId="77777777" w:rsidR="008748C1" w:rsidRDefault="00000000">
      <w:pPr>
        <w:numPr>
          <w:ilvl w:val="0"/>
          <w:numId w:val="9"/>
        </w:numPr>
        <w:tabs>
          <w:tab w:val="left" w:pos="1418"/>
        </w:tabs>
        <w:spacing w:before="20" w:after="20" w:line="240" w:lineRule="auto"/>
        <w:ind w:left="1418" w:hanging="284"/>
        <w:jc w:val="both"/>
        <w:rPr>
          <w:rFonts w:ascii="Arial" w:eastAsia="Times New Roman" w:hAnsi="Arial" w:cs="Arial"/>
          <w:snapToGrid w:val="0"/>
          <w:sz w:val="20"/>
          <w:lang w:eastAsia="es-ES"/>
        </w:rPr>
      </w:pPr>
      <w:r>
        <w:rPr>
          <w:rFonts w:eastAsia="Times New Roman" w:cs="Arial"/>
          <w:snapToGrid w:val="0"/>
          <w:lang w:eastAsia="es-ES"/>
        </w:rPr>
        <w:t xml:space="preserve">A recibir efectivo u otro activo financiero de otra entidad; o, </w:t>
      </w:r>
    </w:p>
    <w:p w14:paraId="52980E5A" w14:textId="77777777" w:rsidR="008748C1" w:rsidRDefault="00000000">
      <w:pPr>
        <w:numPr>
          <w:ilvl w:val="0"/>
          <w:numId w:val="9"/>
        </w:numPr>
        <w:tabs>
          <w:tab w:val="left" w:pos="1418"/>
        </w:tabs>
        <w:spacing w:before="20" w:after="20" w:line="240" w:lineRule="auto"/>
        <w:ind w:left="1418" w:hanging="284"/>
        <w:jc w:val="both"/>
        <w:rPr>
          <w:rFonts w:ascii="Arial" w:eastAsia="Times New Roman" w:hAnsi="Arial" w:cs="Arial"/>
          <w:snapToGrid w:val="0"/>
          <w:sz w:val="20"/>
          <w:lang w:eastAsia="es-ES"/>
        </w:rPr>
      </w:pPr>
      <w:r>
        <w:rPr>
          <w:rFonts w:eastAsia="Times New Roman" w:cs="Arial"/>
          <w:snapToGrid w:val="0"/>
          <w:lang w:eastAsia="es-ES"/>
        </w:rPr>
        <w:t xml:space="preserve">A intercambiar </w:t>
      </w:r>
      <w:proofErr w:type="gramStart"/>
      <w:r>
        <w:rPr>
          <w:rFonts w:eastAsia="Times New Roman" w:cs="Arial"/>
          <w:snapToGrid w:val="0"/>
          <w:lang w:eastAsia="es-ES"/>
        </w:rPr>
        <w:t>activos financieros o pasivos financieros</w:t>
      </w:r>
      <w:proofErr w:type="gramEnd"/>
      <w:r>
        <w:rPr>
          <w:rFonts w:eastAsia="Times New Roman" w:cs="Arial"/>
          <w:snapToGrid w:val="0"/>
          <w:lang w:eastAsia="es-ES"/>
        </w:rPr>
        <w:t xml:space="preserve"> con otra entidad en condiciones potencialmente favorables.</w:t>
      </w:r>
    </w:p>
    <w:p w14:paraId="52980E5B" w14:textId="77777777" w:rsidR="008748C1" w:rsidRDefault="00000000">
      <w:pPr>
        <w:numPr>
          <w:ilvl w:val="2"/>
          <w:numId w:val="19"/>
        </w:numPr>
        <w:spacing w:before="20" w:after="20" w:line="240" w:lineRule="auto"/>
        <w:ind w:left="1135" w:hanging="284"/>
        <w:jc w:val="both"/>
        <w:rPr>
          <w:rFonts w:eastAsia="Calibri" w:cs="Times New Roman"/>
          <w:szCs w:val="24"/>
          <w:lang w:eastAsia="es-ES"/>
        </w:rPr>
      </w:pPr>
      <w:r>
        <w:rPr>
          <w:rFonts w:eastAsia="Calibri" w:cs="Times New Roman"/>
          <w:szCs w:val="24"/>
          <w:lang w:eastAsia="es-ES"/>
        </w:rPr>
        <w:t>Un contrato que puede ser liquidado utilizando instrumentos de patrimonio propio de la empresa y sea:</w:t>
      </w:r>
    </w:p>
    <w:p w14:paraId="52980E5C" w14:textId="77777777" w:rsidR="008748C1" w:rsidRDefault="00000000">
      <w:pPr>
        <w:numPr>
          <w:ilvl w:val="0"/>
          <w:numId w:val="9"/>
        </w:numPr>
        <w:tabs>
          <w:tab w:val="left" w:pos="1418"/>
        </w:tabs>
        <w:spacing w:before="20" w:after="20" w:line="240" w:lineRule="auto"/>
        <w:ind w:left="1418" w:hanging="284"/>
        <w:jc w:val="both"/>
        <w:rPr>
          <w:rFonts w:ascii="Arial" w:eastAsia="Times New Roman" w:hAnsi="Arial" w:cs="Arial"/>
          <w:snapToGrid w:val="0"/>
          <w:sz w:val="20"/>
          <w:lang w:eastAsia="es-ES"/>
        </w:rPr>
      </w:pPr>
      <w:r>
        <w:rPr>
          <w:rFonts w:eastAsia="Times New Roman" w:cs="Arial"/>
          <w:snapToGrid w:val="0"/>
          <w:lang w:eastAsia="es-ES"/>
        </w:rPr>
        <w:t>Un instrumento no derivado, según el cual empresa puede estar obligada a recibir una cantidad variable de sus instrumentos de patrimonio propio; o</w:t>
      </w:r>
    </w:p>
    <w:p w14:paraId="52980E5D" w14:textId="77777777" w:rsidR="008748C1" w:rsidRDefault="00000000">
      <w:pPr>
        <w:numPr>
          <w:ilvl w:val="0"/>
          <w:numId w:val="9"/>
        </w:numPr>
        <w:tabs>
          <w:tab w:val="left" w:pos="1418"/>
        </w:tabs>
        <w:spacing w:before="20" w:after="20" w:line="240" w:lineRule="auto"/>
        <w:ind w:left="1418" w:hanging="284"/>
        <w:jc w:val="both"/>
        <w:rPr>
          <w:rFonts w:ascii="Arial" w:eastAsia="Times New Roman" w:hAnsi="Arial" w:cs="Arial"/>
          <w:snapToGrid w:val="0"/>
          <w:sz w:val="20"/>
          <w:lang w:eastAsia="es-ES"/>
        </w:rPr>
      </w:pPr>
      <w:r>
        <w:rPr>
          <w:rFonts w:eastAsia="Times New Roman" w:cs="Arial"/>
          <w:snapToGrid w:val="0"/>
          <w:lang w:eastAsia="es-ES"/>
        </w:rPr>
        <w:t>Un instrumento derivado que puede ser liquidado de una forma distinta al intercambio de un importe fijo de efectivo o de otro activo financiero, por una cantidad fija de los instrumentos de patrimonio propio de la empresa.</w:t>
      </w:r>
    </w:p>
    <w:p w14:paraId="52980E5E" w14:textId="77777777" w:rsidR="008748C1" w:rsidRDefault="00000000">
      <w:pPr>
        <w:numPr>
          <w:ilvl w:val="0"/>
          <w:numId w:val="18"/>
        </w:numPr>
        <w:tabs>
          <w:tab w:val="left" w:pos="851"/>
        </w:tabs>
        <w:spacing w:beforeLines="20" w:before="48" w:afterLines="20" w:after="48" w:line="240" w:lineRule="auto"/>
        <w:jc w:val="both"/>
        <w:rPr>
          <w:rFonts w:eastAsia="Calibri" w:cs="Times New Roman"/>
          <w:b/>
          <w:bCs/>
          <w:szCs w:val="24"/>
          <w:lang w:eastAsia="es-ES"/>
        </w:rPr>
      </w:pPr>
      <w:bookmarkStart w:id="61" w:name="_Hlk160786804"/>
      <w:r>
        <w:rPr>
          <w:rFonts w:eastAsia="Calibri" w:cs="Times New Roman"/>
          <w:b/>
          <w:bCs/>
          <w:szCs w:val="24"/>
          <w:lang w:eastAsia="es-ES"/>
        </w:rPr>
        <w:t xml:space="preserve">Un pasivo financiero </w:t>
      </w:r>
      <w:r>
        <w:rPr>
          <w:rFonts w:eastAsia="Calibri" w:cs="Times New Roman"/>
          <w:szCs w:val="24"/>
          <w:lang w:eastAsia="es-ES"/>
        </w:rPr>
        <w:t>es cualquier pasivo que sea:</w:t>
      </w:r>
    </w:p>
    <w:p w14:paraId="52980E5F" w14:textId="77777777" w:rsidR="008748C1" w:rsidRDefault="00000000">
      <w:pPr>
        <w:numPr>
          <w:ilvl w:val="0"/>
          <w:numId w:val="20"/>
        </w:numPr>
        <w:spacing w:before="20" w:after="20" w:line="240" w:lineRule="auto"/>
        <w:jc w:val="both"/>
        <w:rPr>
          <w:rFonts w:eastAsia="Calibri" w:cs="Times New Roman"/>
          <w:szCs w:val="24"/>
          <w:lang w:eastAsia="es-ES"/>
        </w:rPr>
      </w:pPr>
      <w:r>
        <w:rPr>
          <w:rFonts w:eastAsia="Calibri" w:cs="Times New Roman"/>
          <w:szCs w:val="24"/>
          <w:lang w:eastAsia="es-ES"/>
        </w:rPr>
        <w:t xml:space="preserve">Una obligación contractual: </w:t>
      </w:r>
    </w:p>
    <w:p w14:paraId="52980E60" w14:textId="77777777" w:rsidR="008748C1" w:rsidRDefault="00000000">
      <w:pPr>
        <w:numPr>
          <w:ilvl w:val="0"/>
          <w:numId w:val="21"/>
        </w:numPr>
        <w:tabs>
          <w:tab w:val="left" w:pos="1418"/>
        </w:tabs>
        <w:spacing w:before="20" w:after="20" w:line="240" w:lineRule="auto"/>
        <w:ind w:hanging="992"/>
        <w:jc w:val="both"/>
        <w:rPr>
          <w:rFonts w:ascii="Arial" w:eastAsia="Times New Roman" w:hAnsi="Arial" w:cs="Arial"/>
          <w:snapToGrid w:val="0"/>
          <w:sz w:val="20"/>
          <w:lang w:eastAsia="es-ES"/>
        </w:rPr>
      </w:pPr>
      <w:r>
        <w:rPr>
          <w:rFonts w:eastAsia="Times New Roman" w:cs="Arial"/>
          <w:snapToGrid w:val="0"/>
          <w:lang w:eastAsia="es-ES"/>
        </w:rPr>
        <w:t xml:space="preserve">de entregar efectivo u otro activo financiero a otra entidad; o, </w:t>
      </w:r>
    </w:p>
    <w:p w14:paraId="52980E61" w14:textId="77777777" w:rsidR="008748C1" w:rsidRDefault="00000000">
      <w:pPr>
        <w:numPr>
          <w:ilvl w:val="0"/>
          <w:numId w:val="21"/>
        </w:numPr>
        <w:tabs>
          <w:tab w:val="left" w:pos="1418"/>
        </w:tabs>
        <w:spacing w:before="20" w:after="20" w:line="240" w:lineRule="auto"/>
        <w:ind w:left="1418" w:hanging="284"/>
        <w:jc w:val="both"/>
        <w:rPr>
          <w:rFonts w:ascii="Arial" w:eastAsia="Times New Roman" w:hAnsi="Arial" w:cs="Arial"/>
          <w:snapToGrid w:val="0"/>
          <w:sz w:val="20"/>
          <w:lang w:eastAsia="es-ES"/>
        </w:rPr>
      </w:pPr>
      <w:r>
        <w:rPr>
          <w:rFonts w:eastAsia="Times New Roman" w:cs="Arial"/>
          <w:snapToGrid w:val="0"/>
          <w:lang w:eastAsia="es-ES"/>
        </w:rPr>
        <w:lastRenderedPageBreak/>
        <w:t xml:space="preserve">de intercambiar </w:t>
      </w:r>
      <w:proofErr w:type="gramStart"/>
      <w:r>
        <w:rPr>
          <w:rFonts w:eastAsia="Times New Roman" w:cs="Arial"/>
          <w:snapToGrid w:val="0"/>
          <w:lang w:eastAsia="es-ES"/>
        </w:rPr>
        <w:t>activos financieros o pasivos financieros</w:t>
      </w:r>
      <w:proofErr w:type="gramEnd"/>
      <w:r>
        <w:rPr>
          <w:rFonts w:eastAsia="Times New Roman" w:cs="Arial"/>
          <w:snapToGrid w:val="0"/>
          <w:lang w:eastAsia="es-ES"/>
        </w:rPr>
        <w:t xml:space="preserve"> con otra entidad, en condiciones que sean potencialmente desfavorables para la empresa; o,</w:t>
      </w:r>
    </w:p>
    <w:p w14:paraId="52980E62" w14:textId="77777777" w:rsidR="008748C1" w:rsidRDefault="00000000">
      <w:pPr>
        <w:numPr>
          <w:ilvl w:val="0"/>
          <w:numId w:val="20"/>
        </w:numPr>
        <w:spacing w:before="20" w:after="20" w:line="240" w:lineRule="auto"/>
        <w:jc w:val="both"/>
        <w:rPr>
          <w:rFonts w:eastAsia="Calibri" w:cs="Times New Roman"/>
          <w:szCs w:val="24"/>
          <w:lang w:eastAsia="es-ES"/>
        </w:rPr>
      </w:pPr>
      <w:r>
        <w:rPr>
          <w:rFonts w:eastAsia="Calibri" w:cs="Times New Roman"/>
          <w:szCs w:val="24"/>
          <w:lang w:eastAsia="es-ES"/>
        </w:rPr>
        <w:t xml:space="preserve">Un contrato que podrá ser liquidado utilizando instrumentos de patrimonio propio de la entidad, y sea: </w:t>
      </w:r>
    </w:p>
    <w:p w14:paraId="52980E63" w14:textId="77777777" w:rsidR="008748C1" w:rsidRDefault="00000000">
      <w:pPr>
        <w:numPr>
          <w:ilvl w:val="0"/>
          <w:numId w:val="21"/>
        </w:numPr>
        <w:tabs>
          <w:tab w:val="left" w:pos="1418"/>
        </w:tabs>
        <w:spacing w:before="20" w:after="20" w:line="240" w:lineRule="auto"/>
        <w:ind w:left="1418" w:hanging="284"/>
        <w:jc w:val="both"/>
        <w:rPr>
          <w:rFonts w:ascii="Arial" w:eastAsia="Times New Roman" w:hAnsi="Arial" w:cs="Arial"/>
          <w:snapToGrid w:val="0"/>
          <w:sz w:val="20"/>
          <w:lang w:eastAsia="es-ES"/>
        </w:rPr>
      </w:pPr>
      <w:r>
        <w:rPr>
          <w:rFonts w:eastAsia="Times New Roman" w:cs="Arial"/>
          <w:snapToGrid w:val="0"/>
          <w:lang w:eastAsia="es-ES"/>
        </w:rPr>
        <w:t xml:space="preserve">Un instrumento no derivado, según el cual la entidad pudiese estar obligada a entregar una cantidad variable de los instrumentos de patrimonio propio; o, </w:t>
      </w:r>
    </w:p>
    <w:p w14:paraId="52980E64" w14:textId="77777777" w:rsidR="008748C1" w:rsidRDefault="00000000">
      <w:pPr>
        <w:numPr>
          <w:ilvl w:val="0"/>
          <w:numId w:val="21"/>
        </w:numPr>
        <w:tabs>
          <w:tab w:val="left" w:pos="1418"/>
        </w:tabs>
        <w:spacing w:before="20" w:after="20" w:line="240" w:lineRule="auto"/>
        <w:ind w:left="1418" w:hanging="284"/>
        <w:jc w:val="both"/>
        <w:rPr>
          <w:rFonts w:ascii="Arial" w:eastAsia="Times New Roman" w:hAnsi="Arial" w:cs="Arial"/>
          <w:snapToGrid w:val="0"/>
          <w:sz w:val="20"/>
          <w:lang w:eastAsia="es-ES"/>
        </w:rPr>
      </w:pPr>
      <w:r>
        <w:rPr>
          <w:rFonts w:eastAsia="Times New Roman" w:cs="Arial"/>
          <w:snapToGrid w:val="0"/>
          <w:lang w:eastAsia="es-ES"/>
        </w:rPr>
        <w:t>Un instrumento financiero derivado que podrá ser liquidado mediante una forma distinta al intercambio de un importe fijo de efectivo, o de otro activo financiero, por una cantidad fija de los instrumentos de patrimonio propio de la entidad.</w:t>
      </w:r>
    </w:p>
    <w:p w14:paraId="52980E65" w14:textId="77777777" w:rsidR="008748C1" w:rsidRDefault="00000000">
      <w:pPr>
        <w:numPr>
          <w:ilvl w:val="0"/>
          <w:numId w:val="18"/>
        </w:numPr>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Instrumento financiero: </w:t>
      </w:r>
      <w:r>
        <w:rPr>
          <w:rFonts w:eastAsia="Calibri" w:cs="Times New Roman"/>
          <w:szCs w:val="24"/>
          <w:lang w:eastAsia="es-ES"/>
        </w:rPr>
        <w:t>es un contrato que da lugar a un activo financiero en una empresa y, al mismo tiempo, a un pasivo financiero o a un instrumento de patrimonio neto en otra empresa.</w:t>
      </w:r>
    </w:p>
    <w:p w14:paraId="52980E66"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Instrumentos de deuda: </w:t>
      </w:r>
      <w:r>
        <w:rPr>
          <w:rFonts w:eastAsia="Calibri" w:cs="Times New Roman"/>
          <w:szCs w:val="24"/>
          <w:lang w:eastAsia="es-ES"/>
        </w:rPr>
        <w:t xml:space="preserve">valor que representa un pasivo financiero a cargo del emisor, tiene valor nominal y puede ser amortizable. El rendimiento de estos valores está asociado a una tasa de interés, a otro valor, canasta de valores o índice de valores representativos de deuda. </w:t>
      </w:r>
    </w:p>
    <w:p w14:paraId="52980E67"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Instrumento de patrimonio: </w:t>
      </w:r>
      <w:r>
        <w:rPr>
          <w:rFonts w:eastAsia="Calibri" w:cs="Times New Roman"/>
          <w:szCs w:val="24"/>
          <w:lang w:eastAsia="es-ES"/>
        </w:rPr>
        <w:t>cualquier contrato que ponga de manifiesto una participación residual en los activos de una entidad, después de deducir todos sus pasivos. Son instrumentos de derechos sobre participación patrimonial. Incluye instrumentos donde la magnitud de su retorno esperado parcial o total, no es seguro, ni fijo, ni determinable, al momento de su adquisición.</w:t>
      </w:r>
    </w:p>
    <w:p w14:paraId="52980E68" w14:textId="77777777" w:rsidR="008748C1" w:rsidRDefault="00000000">
      <w:pPr>
        <w:numPr>
          <w:ilvl w:val="0"/>
          <w:numId w:val="18"/>
        </w:numPr>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Instrumento de cobertura: </w:t>
      </w:r>
      <w:r>
        <w:rPr>
          <w:rFonts w:eastAsia="Calibri" w:cs="Times New Roman"/>
          <w:szCs w:val="24"/>
          <w:lang w:eastAsia="es-ES"/>
        </w:rPr>
        <w:t xml:space="preserve">es un instrumento financiero derivado designado, un </w:t>
      </w:r>
      <w:proofErr w:type="gramStart"/>
      <w:r>
        <w:rPr>
          <w:rFonts w:eastAsia="Calibri" w:cs="Times New Roman"/>
          <w:szCs w:val="24"/>
          <w:lang w:eastAsia="es-ES"/>
        </w:rPr>
        <w:t>activo financiero o un pasivo financiero</w:t>
      </w:r>
      <w:proofErr w:type="gramEnd"/>
      <w:r>
        <w:rPr>
          <w:rFonts w:eastAsia="Calibri" w:cs="Times New Roman"/>
          <w:szCs w:val="24"/>
          <w:lang w:eastAsia="es-ES"/>
        </w:rPr>
        <w:t xml:space="preserve"> no derivado medidos a valor razonable, cuyo valor razonable o flujos de efectivo generados se espera que compensen los cambios en el valor razonable o los flujos de efectivo de la partida cubierta designada.</w:t>
      </w:r>
    </w:p>
    <w:p w14:paraId="52980E69" w14:textId="77777777" w:rsidR="008748C1" w:rsidRDefault="00000000">
      <w:pPr>
        <w:numPr>
          <w:ilvl w:val="0"/>
          <w:numId w:val="18"/>
        </w:numPr>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Mercado más ventajoso: </w:t>
      </w:r>
      <w:r>
        <w:rPr>
          <w:rFonts w:eastAsia="Calibri" w:cs="Times New Roman"/>
          <w:szCs w:val="24"/>
          <w:lang w:eastAsia="es-ES"/>
        </w:rPr>
        <w:t>el mercado que maximiza el importe que se recibiría por vender el activo o minimiza el importe que se pagaría por transferir el pasivo, después de tener en cuenta los costos de transacción.</w:t>
      </w:r>
    </w:p>
    <w:p w14:paraId="52980E6A"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Mercado principal: </w:t>
      </w:r>
      <w:r>
        <w:rPr>
          <w:rFonts w:eastAsia="Calibri" w:cs="Times New Roman"/>
          <w:szCs w:val="24"/>
          <w:lang w:eastAsia="es-ES"/>
        </w:rPr>
        <w:t>es el mercado con el mayor volumen negociado y nivel de actividad para el activo o pasivo.</w:t>
      </w:r>
    </w:p>
    <w:p w14:paraId="52980E6B"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Método de la tasa de interés efectiva: </w:t>
      </w:r>
      <w:r>
        <w:rPr>
          <w:rFonts w:eastAsia="Calibri" w:cs="Times New Roman"/>
          <w:szCs w:val="24"/>
          <w:lang w:eastAsia="es-ES"/>
        </w:rPr>
        <w:t>es un método de cálculo del costo amortizado de un activo o pasivo financiero y de imputación del ingreso o gasto financiero a lo largo del periodo relevante.</w:t>
      </w:r>
    </w:p>
    <w:p w14:paraId="52980E6C" w14:textId="77777777" w:rsidR="008748C1" w:rsidRDefault="00000000">
      <w:pPr>
        <w:numPr>
          <w:ilvl w:val="0"/>
          <w:numId w:val="18"/>
        </w:numPr>
        <w:tabs>
          <w:tab w:val="clear" w:pos="710"/>
          <w:tab w:val="left" w:pos="851"/>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Precio de transacción: </w:t>
      </w:r>
      <w:r>
        <w:rPr>
          <w:rFonts w:eastAsia="Calibri" w:cs="Times New Roman"/>
          <w:szCs w:val="24"/>
          <w:lang w:eastAsia="es-ES"/>
        </w:rPr>
        <w:t>es el precio pagado por adquirir un activo o recibido por asumir un pasivo (precio de entrada), el precio de transacción puede diferir del valor razonable en el reconocimiento inicial, por ejemplo, si el mercado en el que tiene lugar la transacción es diferente al mercado principal.</w:t>
      </w:r>
    </w:p>
    <w:p w14:paraId="52980E6D"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szCs w:val="24"/>
          <w:lang w:eastAsia="es-ES"/>
        </w:rPr>
      </w:pPr>
      <w:r>
        <w:rPr>
          <w:rFonts w:eastAsia="Calibri" w:cs="Times New Roman"/>
          <w:b/>
          <w:bCs/>
          <w:szCs w:val="24"/>
          <w:lang w:eastAsia="es-ES"/>
        </w:rPr>
        <w:t xml:space="preserve">Tasa de interés efectiva: </w:t>
      </w:r>
      <w:r>
        <w:rPr>
          <w:rFonts w:eastAsia="Calibri" w:cs="Times New Roman"/>
          <w:szCs w:val="24"/>
          <w:lang w:eastAsia="es-ES"/>
        </w:rPr>
        <w:t>tasa de descuento que iguala exactamente los flujos de efectivo por cobrar o por pagar estimados a lo largo de la vida esperada del instrumento financiero con el valor en libros bruto del activo financiero o al costo amortizado de un pasivo financiero. Para dicho cálculo, la entidad estimará los flujos de efectivo teniendo en cuenta todas las condiciones contractuales del instrumento financiero, no debiendo considerar las pérdidas crediticias esperadas. El cálculo de la tasa de interés efectiva incluirá todas las comisiones y los intereses pagados o recibidos por las partes en el contrato, que integran la tasa de interés efectiva, así como los costos de transacción y cualquier otra prima o descuento.</w:t>
      </w:r>
    </w:p>
    <w:p w14:paraId="52980E6E" w14:textId="77777777" w:rsidR="008748C1" w:rsidRDefault="00000000">
      <w:pPr>
        <w:numPr>
          <w:ilvl w:val="0"/>
          <w:numId w:val="18"/>
        </w:numPr>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Valor intrínseco: </w:t>
      </w:r>
      <w:r>
        <w:rPr>
          <w:rFonts w:eastAsia="Calibri" w:cs="Times New Roman"/>
          <w:szCs w:val="24"/>
          <w:lang w:eastAsia="es-ES"/>
        </w:rPr>
        <w:t xml:space="preserve">en las opciones, diferencia existente entre el precio de ejercicio y el valor de mercado del activo subyacente. Una opción de compra tendrá valor intrínseco cuando el precio de ejercicio sea inferior al valor del activo subyacente; en caso contrario, su valor intrínseco será igual a cero, pero nunca negativo. En una opción de venta, su valor intrínseco será positivo cuando el precio de ejercicio sea superior al valor del activo subyacente, </w:t>
      </w:r>
      <w:r>
        <w:rPr>
          <w:rFonts w:eastAsia="Calibri"/>
          <w:kern w:val="2"/>
        </w:rPr>
        <w:t>en</w:t>
      </w:r>
      <w:r>
        <w:rPr>
          <w:rFonts w:eastAsia="Batang"/>
          <w:bCs/>
          <w:iCs/>
          <w:lang w:eastAsia="ko-KR"/>
        </w:rPr>
        <w:t xml:space="preserve"> caso contrario, el valor intrínseco será igual a cero, pero nunca negativo</w:t>
      </w:r>
      <w:r>
        <w:rPr>
          <w:rFonts w:eastAsia="Calibri" w:cs="Times New Roman"/>
          <w:szCs w:val="24"/>
          <w:lang w:eastAsia="es-ES"/>
        </w:rPr>
        <w:t>.</w:t>
      </w:r>
    </w:p>
    <w:p w14:paraId="52980E6F"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Valor razonable: </w:t>
      </w:r>
      <w:r>
        <w:rPr>
          <w:rFonts w:eastAsia="Calibri" w:cs="Times New Roman"/>
          <w:szCs w:val="24"/>
          <w:lang w:eastAsia="es-ES"/>
        </w:rPr>
        <w:t xml:space="preserve">es el precio que se recibiría por vender un activo o se pagaría por transferir un pasivo en una transacción ordenada entre participantes del mercado </w:t>
      </w:r>
      <w:r>
        <w:rPr>
          <w:rFonts w:eastAsia="Times New Roman" w:cs="Times New Roman"/>
          <w:szCs w:val="24"/>
          <w:lang w:eastAsia="es-ES"/>
        </w:rPr>
        <w:t xml:space="preserve">principal (o más ventajoso en ausencia de </w:t>
      </w:r>
      <w:r>
        <w:rPr>
          <w:rFonts w:eastAsia="Times New Roman" w:cs="Times New Roman"/>
          <w:szCs w:val="24"/>
          <w:lang w:eastAsia="es-ES"/>
        </w:rPr>
        <w:lastRenderedPageBreak/>
        <w:t>un mercado principal) en la fecha de medición y bajo las condiciones de mercado presentes independientemente de si ese precio es observable directamente o estimado utilizando otra técnica de valorización.</w:t>
      </w:r>
    </w:p>
    <w:p w14:paraId="52980E70"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Valor temporal del dinero: </w:t>
      </w:r>
      <w:r>
        <w:rPr>
          <w:rFonts w:eastAsia="Calibri" w:cs="Times New Roman"/>
          <w:szCs w:val="24"/>
          <w:lang w:eastAsia="es-ES"/>
        </w:rPr>
        <w:t>el valor temporal del dinero es el elemento del interés que proporciona contraprestación por el solo paso del tiempo. El valor temporal de dinero no proporciona contraprestación por otros riesgos o costos asociados con la tenencia del activo financiero.</w:t>
      </w:r>
    </w:p>
    <w:p w14:paraId="52980E71" w14:textId="77777777" w:rsidR="008748C1" w:rsidRDefault="00000000">
      <w:pPr>
        <w:numPr>
          <w:ilvl w:val="0"/>
          <w:numId w:val="18"/>
        </w:numPr>
        <w:tabs>
          <w:tab w:val="left" w:pos="851"/>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Valor temporal de las opciones: </w:t>
      </w:r>
      <w:r>
        <w:rPr>
          <w:rFonts w:eastAsia="Calibri" w:cs="Times New Roman"/>
          <w:szCs w:val="24"/>
          <w:lang w:eastAsia="es-ES"/>
        </w:rPr>
        <w:t>En las opciones, es equivalente al valor razonable total de la opción menos su valor intrínseco.</w:t>
      </w:r>
    </w:p>
    <w:p w14:paraId="52980E72"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Pérdida crediticia (PC):  </w:t>
      </w:r>
      <w:r>
        <w:rPr>
          <w:rFonts w:eastAsia="Calibri" w:cs="Times New Roman"/>
          <w:szCs w:val="24"/>
          <w:lang w:eastAsia="es-ES"/>
        </w:rPr>
        <w:t>la diferencia entre todos los flujos de efectivo contractuales que se deben a una entidad de acuerdo con el contrato y todos los flujos de efectivo que la entidad espera recibir (es decir, todas las insuficiencias de efectivo) descontadas a la tasa de interés efectiva original (o a la tasa de interés efectiva ajustada por calidad crediticia para activos financieros con deterioro crediticio comprados u originados). Una entidad estimará los flujos de efectivo considerando todos los términos contractuales del activo financiero (por ejemplo, pagos anticipados, duración, opciones de compra y similares) durante la vida esperada de ese instrumento financiero. Los flujos de efectivo que se consideran incluirán los procedentes de la venta de garantías colaterales mantenidas u otras mejoras crediticias que son parte integrante de los términos contractuales. Se presume que la vida esperada de un activo financiero puede estimarse con fiabilidad. Sin embargo, en casos excepcionales en que no es posible estimar con fiabilidad la vida esperada de un instrumento financiero, la empresa utilizará el término contractual restante de dicho activo financiero.</w:t>
      </w:r>
    </w:p>
    <w:p w14:paraId="52980E73"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Pérdida crediticia esperada (PCE): </w:t>
      </w:r>
      <w:r>
        <w:rPr>
          <w:rFonts w:eastAsia="Calibri" w:cs="Times New Roman"/>
          <w:szCs w:val="24"/>
          <w:lang w:eastAsia="es-ES"/>
        </w:rPr>
        <w:t xml:space="preserve">el promedio ponderado de las pérdidas crediticias con los riesgos respectivos de que ocurra un incumplimiento como ponderadores. Resulta de multiplicar la PD por la LGD por la EAD. </w:t>
      </w:r>
    </w:p>
    <w:p w14:paraId="52980E74"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Pérdida crediticia esperada de 12 meses (PCE de 12 meses): </w:t>
      </w:r>
      <w:r>
        <w:rPr>
          <w:rFonts w:eastAsia="Calibri" w:cs="Times New Roman"/>
          <w:szCs w:val="24"/>
          <w:lang w:eastAsia="es-ES"/>
        </w:rPr>
        <w:t>la parte de las pérdidas crediticias esperadas durante el tiempo de vida del instrumento financiero que representan las pérdidas crediticias esperadas que proceden de sucesos de incumplimiento sobre un instrumento financiero que están posiblemente dentro de los 12 meses después de la fecha de presentación.</w:t>
      </w:r>
    </w:p>
    <w:p w14:paraId="52980E75"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Pérdidas crediticias esperadas durante el tiempo de vida del instrumento financiero (PCE de la vida del activo financiero):  </w:t>
      </w:r>
      <w:r>
        <w:rPr>
          <w:rFonts w:eastAsia="Calibri" w:cs="Times New Roman"/>
          <w:szCs w:val="24"/>
          <w:lang w:eastAsia="es-ES"/>
        </w:rPr>
        <w:t>las pérdidas crediticias esperadas que proceden de todos los sucesos de incumplimiento posibles a lo largo de la vida esperada de un activo financiero.</w:t>
      </w:r>
    </w:p>
    <w:p w14:paraId="52980E76"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Probabilidad de Incumplimiento (PD): </w:t>
      </w:r>
      <w:r>
        <w:rPr>
          <w:rFonts w:eastAsia="Calibri" w:cs="Times New Roman"/>
          <w:szCs w:val="24"/>
          <w:lang w:eastAsia="es-ES"/>
        </w:rPr>
        <w:t>es la probabilidad de ocurrencia del evento de incumplimiento (default) en un periodo de tiempo específico (por ejemplo, durante 12 meses o mientras esté vigente el contrato).</w:t>
      </w:r>
    </w:p>
    <w:p w14:paraId="52980E77"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Pérdida dado el incumplimiento (LGD): </w:t>
      </w:r>
      <w:r>
        <w:rPr>
          <w:rFonts w:eastAsia="Calibri" w:cs="Times New Roman"/>
          <w:szCs w:val="24"/>
          <w:lang w:eastAsia="es-ES"/>
        </w:rPr>
        <w:t>corresponde al porcentaje de la exposición ante el incumplimiento que no será recuperado producido el evento de incumplimiento. Es el complemento de la tasa de recuperación de los flujos contractuales.</w:t>
      </w:r>
    </w:p>
    <w:p w14:paraId="52980E78"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Exposición ante el incumplimiento (EAD): </w:t>
      </w:r>
      <w:r>
        <w:rPr>
          <w:rFonts w:eastAsia="Calibri" w:cs="Times New Roman"/>
          <w:szCs w:val="24"/>
          <w:lang w:eastAsia="es-ES"/>
        </w:rPr>
        <w:t>es la mejor estimación de la exposición cuando ocurra el evento de incumplimiento.</w:t>
      </w:r>
    </w:p>
    <w:p w14:paraId="52980E79"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Clasificación crediticia del deudor: </w:t>
      </w:r>
      <w:r>
        <w:rPr>
          <w:rFonts w:eastAsia="Calibri" w:cs="Times New Roman"/>
          <w:szCs w:val="24"/>
          <w:lang w:eastAsia="es-ES"/>
        </w:rPr>
        <w:t>corresponde a la categoría de clasificación crediticia asignada a los deudores, de conformidad con lo dispuesto en el Reglamento para la Evaluación y Clasificación del Deudor y la Exigencia de Provisiones aprobado por la Resolución SBS N°11356-2008 y sus normas modificatorias.</w:t>
      </w:r>
    </w:p>
    <w:p w14:paraId="52980E7A"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Cámara de compensación: </w:t>
      </w:r>
      <w:r>
        <w:rPr>
          <w:rFonts w:eastAsia="Calibri" w:cs="Times New Roman"/>
          <w:szCs w:val="24"/>
          <w:lang w:eastAsia="es-ES"/>
        </w:rPr>
        <w:t>entidades que actúan como contrapartes en los contratos de futuros y opciones que se celebran en los mecanismos centralizados de negociación de estas operaciones.</w:t>
      </w:r>
    </w:p>
    <w:p w14:paraId="52980E7B"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Compromiso en firme: </w:t>
      </w:r>
      <w:r>
        <w:rPr>
          <w:rFonts w:eastAsia="Calibri" w:cs="Times New Roman"/>
          <w:szCs w:val="24"/>
          <w:lang w:eastAsia="es-ES"/>
        </w:rPr>
        <w:t>un acuerdo obligatorio para intercambiar una determinada cantidad de activos a un precio determinado, en una fecha o fechas futuras prefijadas.</w:t>
      </w:r>
    </w:p>
    <w:p w14:paraId="52980E7C"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proofErr w:type="spellStart"/>
      <w:r>
        <w:rPr>
          <w:rFonts w:eastAsia="Calibri" w:cs="Times New Roman"/>
          <w:b/>
          <w:bCs/>
          <w:szCs w:val="24"/>
          <w:lang w:eastAsia="es-ES"/>
        </w:rPr>
        <w:lastRenderedPageBreak/>
        <w:t>Commodities</w:t>
      </w:r>
      <w:proofErr w:type="spellEnd"/>
      <w:r>
        <w:rPr>
          <w:rFonts w:eastAsia="Calibri" w:cs="Times New Roman"/>
          <w:b/>
          <w:bCs/>
          <w:szCs w:val="24"/>
          <w:lang w:eastAsia="es-ES"/>
        </w:rPr>
        <w:t xml:space="preserve">: </w:t>
      </w:r>
      <w:r>
        <w:rPr>
          <w:rFonts w:eastAsia="Calibri" w:cs="Times New Roman"/>
          <w:szCs w:val="24"/>
          <w:lang w:eastAsia="es-ES"/>
        </w:rPr>
        <w:t xml:space="preserve">mercancías primarias o básicas consistentes en instrumento físicos, que pueden ser intercambiadas en un mercado secundario, incluyendo metales </w:t>
      </w:r>
      <w:proofErr w:type="gramStart"/>
      <w:r>
        <w:rPr>
          <w:rFonts w:eastAsia="Calibri" w:cs="Times New Roman"/>
          <w:szCs w:val="24"/>
          <w:lang w:eastAsia="es-ES"/>
        </w:rPr>
        <w:t>preciosos</w:t>
      </w:r>
      <w:proofErr w:type="gramEnd"/>
      <w:r>
        <w:rPr>
          <w:rFonts w:eastAsia="Calibri" w:cs="Times New Roman"/>
          <w:szCs w:val="24"/>
          <w:lang w:eastAsia="es-ES"/>
        </w:rPr>
        <w:t xml:space="preserve"> pero excluyendo oro, que es tratado como una divisa.</w:t>
      </w:r>
    </w:p>
    <w:p w14:paraId="52980E7D"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Contrato: </w:t>
      </w:r>
      <w:r>
        <w:rPr>
          <w:rFonts w:eastAsia="Calibri" w:cs="Times New Roman"/>
          <w:szCs w:val="24"/>
          <w:lang w:eastAsia="es-ES"/>
        </w:rPr>
        <w:t>acuerdo entre dos o más partes, que les produce claras consecuencias económicas que ellas tienen poca o ninguna capacidad de evitar, por ser el cumplimiento del acuerdo legalmente exigible. Los contratos, y por tanto los instrumentos financieros asociados, pueden adoptar una gran variedad de formas y no precisan ser fijados por escrito.</w:t>
      </w:r>
    </w:p>
    <w:p w14:paraId="52980E7E"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proofErr w:type="spellStart"/>
      <w:r>
        <w:rPr>
          <w:rFonts w:eastAsia="Calibri" w:cs="Times New Roman"/>
          <w:b/>
          <w:bCs/>
          <w:szCs w:val="24"/>
          <w:lang w:eastAsia="es-ES"/>
        </w:rPr>
        <w:t>Delivery</w:t>
      </w:r>
      <w:proofErr w:type="spellEnd"/>
      <w:r>
        <w:rPr>
          <w:rFonts w:eastAsia="Calibri" w:cs="Times New Roman"/>
          <w:b/>
          <w:bCs/>
          <w:szCs w:val="24"/>
          <w:lang w:eastAsia="es-ES"/>
        </w:rPr>
        <w:t xml:space="preserve"> versus </w:t>
      </w:r>
      <w:proofErr w:type="spellStart"/>
      <w:r>
        <w:rPr>
          <w:rFonts w:eastAsia="Calibri" w:cs="Times New Roman"/>
          <w:b/>
          <w:bCs/>
          <w:szCs w:val="24"/>
          <w:lang w:eastAsia="es-ES"/>
        </w:rPr>
        <w:t>payment</w:t>
      </w:r>
      <w:proofErr w:type="spellEnd"/>
      <w:r>
        <w:rPr>
          <w:rFonts w:eastAsia="Calibri" w:cs="Times New Roman"/>
          <w:b/>
          <w:bCs/>
          <w:szCs w:val="24"/>
          <w:lang w:eastAsia="es-ES"/>
        </w:rPr>
        <w:t xml:space="preserve">: </w:t>
      </w:r>
      <w:r>
        <w:rPr>
          <w:rFonts w:eastAsia="Calibri" w:cs="Times New Roman"/>
          <w:szCs w:val="24"/>
          <w:lang w:eastAsia="es-ES"/>
        </w:rPr>
        <w:t>modalidad mediante la cual la liquidación de los instrumentos de inversión negociados se efectúa a través de su entrega a cambio de la recepción de efectivo según los términos pactados en la transacción.</w:t>
      </w:r>
    </w:p>
    <w:p w14:paraId="52980E7F"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Días de atraso: </w:t>
      </w:r>
      <w:r>
        <w:rPr>
          <w:rFonts w:eastAsia="Calibri" w:cs="Times New Roman"/>
          <w:szCs w:val="24"/>
          <w:lang w:eastAsia="es-ES"/>
        </w:rPr>
        <w:t>días transcurridos desde la fecha en que la contraparte dejó de efectuar un pago cuando contractualmente debía hacerlo.</w:t>
      </w:r>
    </w:p>
    <w:p w14:paraId="52980E80"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Empresas clasificadoras de riesgo locales: </w:t>
      </w:r>
      <w:r>
        <w:rPr>
          <w:rFonts w:eastAsia="Calibri" w:cs="Times New Roman"/>
          <w:szCs w:val="24"/>
          <w:lang w:eastAsia="es-ES"/>
        </w:rPr>
        <w:t>empresas autorizadas para clasificar instrumentos de inversión conforme lo dispone la Ley del Mercado de Valores.</w:t>
      </w:r>
      <w:r>
        <w:rPr>
          <w:rFonts w:eastAsia="Calibri" w:cs="Times New Roman"/>
          <w:b/>
          <w:bCs/>
          <w:szCs w:val="24"/>
          <w:lang w:eastAsia="es-ES"/>
        </w:rPr>
        <w:t xml:space="preserve"> </w:t>
      </w:r>
    </w:p>
    <w:p w14:paraId="52980E81"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Fecha de liquidación (</w:t>
      </w:r>
      <w:bookmarkStart w:id="62" w:name="_Hlk163221905"/>
      <w:proofErr w:type="spellStart"/>
      <w:r>
        <w:rPr>
          <w:rFonts w:eastAsia="Calibri" w:cs="Times New Roman"/>
          <w:b/>
          <w:bCs/>
          <w:i/>
          <w:iCs/>
          <w:szCs w:val="24"/>
          <w:lang w:eastAsia="es-ES"/>
        </w:rPr>
        <w:t>settlement</w:t>
      </w:r>
      <w:proofErr w:type="spellEnd"/>
      <w:r>
        <w:rPr>
          <w:rFonts w:eastAsia="Calibri" w:cs="Times New Roman"/>
          <w:b/>
          <w:bCs/>
          <w:szCs w:val="24"/>
          <w:lang w:eastAsia="es-ES"/>
        </w:rPr>
        <w:t xml:space="preserve"> </w:t>
      </w:r>
      <w:proofErr w:type="spellStart"/>
      <w:r>
        <w:rPr>
          <w:rFonts w:eastAsia="Calibri" w:cs="Times New Roman"/>
          <w:b/>
          <w:bCs/>
          <w:szCs w:val="24"/>
          <w:lang w:eastAsia="es-ES"/>
        </w:rPr>
        <w:t>day</w:t>
      </w:r>
      <w:bookmarkEnd w:id="62"/>
      <w:proofErr w:type="spellEnd"/>
      <w:r>
        <w:rPr>
          <w:rFonts w:eastAsia="Calibri" w:cs="Times New Roman"/>
          <w:b/>
          <w:bCs/>
          <w:szCs w:val="24"/>
          <w:lang w:eastAsia="es-ES"/>
        </w:rPr>
        <w:t xml:space="preserve">): </w:t>
      </w:r>
      <w:r>
        <w:rPr>
          <w:rFonts w:eastAsia="Calibri" w:cs="Times New Roman"/>
          <w:szCs w:val="24"/>
          <w:lang w:eastAsia="es-ES"/>
        </w:rPr>
        <w:t>es la fecha en que un activo se entrega a o por la empresa.</w:t>
      </w:r>
    </w:p>
    <w:p w14:paraId="52980E82"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Fecha de presentación</w:t>
      </w:r>
      <w:r>
        <w:rPr>
          <w:rFonts w:eastAsia="Times New Roman" w:cs="Times New Roman"/>
          <w:szCs w:val="24"/>
          <w:shd w:val="clear" w:color="auto" w:fill="FFFFFF"/>
          <w:lang w:eastAsia="es-ES"/>
        </w:rPr>
        <w:t>: Fecha de cierre de información financiera.</w:t>
      </w:r>
    </w:p>
    <w:p w14:paraId="52980E83"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Fuentes de precios de libre acceso: </w:t>
      </w:r>
      <w:r>
        <w:rPr>
          <w:rFonts w:eastAsia="Calibri" w:cs="Times New Roman"/>
          <w:szCs w:val="24"/>
          <w:lang w:eastAsia="es-ES"/>
        </w:rPr>
        <w:t xml:space="preserve">aquellas provistas a través de los sistemas de información Bloomberg, Reuters, </w:t>
      </w:r>
      <w:proofErr w:type="spellStart"/>
      <w:r>
        <w:rPr>
          <w:rFonts w:eastAsia="Calibri" w:cs="Times New Roman"/>
          <w:szCs w:val="24"/>
          <w:lang w:eastAsia="es-ES"/>
        </w:rPr>
        <w:t>Datatec</w:t>
      </w:r>
      <w:proofErr w:type="spellEnd"/>
      <w:r>
        <w:rPr>
          <w:rFonts w:eastAsia="Calibri" w:cs="Times New Roman"/>
          <w:szCs w:val="24"/>
          <w:lang w:eastAsia="es-ES"/>
        </w:rPr>
        <w:t xml:space="preserve"> u otros de características similares.</w:t>
      </w:r>
    </w:p>
    <w:p w14:paraId="52980E84"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Instrumentos de inversión:</w:t>
      </w:r>
      <w:r>
        <w:rPr>
          <w:rFonts w:eastAsia="Calibri" w:cs="Times New Roman"/>
          <w:szCs w:val="24"/>
          <w:lang w:eastAsia="es-ES"/>
        </w:rPr>
        <w:t xml:space="preserve"> instrumentos de deuda, instrumentos de patrimonio, certificados de participación en fondos mutuos y en fondos de inversión y otros instrumentos que determine la Superintendencia</w:t>
      </w:r>
      <w:r>
        <w:rPr>
          <w:rFonts w:eastAsia="Calibri" w:cs="Times New Roman"/>
          <w:b/>
          <w:bCs/>
          <w:szCs w:val="24"/>
          <w:lang w:eastAsia="es-ES"/>
        </w:rPr>
        <w:t>.</w:t>
      </w:r>
    </w:p>
    <w:p w14:paraId="52980E85" w14:textId="77777777" w:rsidR="008748C1" w:rsidRDefault="00000000">
      <w:pPr>
        <w:numPr>
          <w:ilvl w:val="0"/>
          <w:numId w:val="18"/>
        </w:numPr>
        <w:tabs>
          <w:tab w:val="left" w:pos="851"/>
        </w:tabs>
        <w:spacing w:beforeLines="20" w:before="48" w:afterLines="20" w:after="48" w:line="240" w:lineRule="auto"/>
        <w:jc w:val="both"/>
        <w:rPr>
          <w:rFonts w:eastAsia="Calibri" w:cs="Times New Roman"/>
          <w:b/>
          <w:bCs/>
          <w:szCs w:val="24"/>
          <w:lang w:eastAsia="es-ES"/>
        </w:rPr>
      </w:pPr>
      <w:r>
        <w:rPr>
          <w:rFonts w:eastAsia="Calibri" w:cs="Times New Roman"/>
          <w:b/>
          <w:bCs/>
          <w:szCs w:val="24"/>
          <w:lang w:eastAsia="es-ES"/>
        </w:rPr>
        <w:t xml:space="preserve">Instrumento financiero derivado: </w:t>
      </w:r>
      <w:r>
        <w:rPr>
          <w:rFonts w:eastAsia="Calibri" w:cs="Times New Roman"/>
          <w:szCs w:val="24"/>
          <w:lang w:eastAsia="es-ES"/>
        </w:rPr>
        <w:t xml:space="preserve">instrumento financiero que cumple con las siguientes condiciones: </w:t>
      </w:r>
    </w:p>
    <w:p w14:paraId="52980E86" w14:textId="77777777" w:rsidR="008748C1" w:rsidRDefault="00000000">
      <w:pPr>
        <w:numPr>
          <w:ilvl w:val="0"/>
          <w:numId w:val="22"/>
        </w:numPr>
        <w:tabs>
          <w:tab w:val="left" w:pos="1276"/>
        </w:tabs>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su valor razonable fluctúa en respuesta a cambios en el nivel o precio de un activo subyacente, </w:t>
      </w:r>
    </w:p>
    <w:p w14:paraId="52980E87" w14:textId="77777777" w:rsidR="008748C1" w:rsidRDefault="00000000">
      <w:pPr>
        <w:numPr>
          <w:ilvl w:val="0"/>
          <w:numId w:val="22"/>
        </w:numPr>
        <w:tabs>
          <w:tab w:val="left" w:pos="1276"/>
        </w:tabs>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no requiere una inversión inicial neta o sólo obliga a realizar una inversión inferior a la que se requeriría en contratos que responden de manera similar a cambios en las variables de mercado y; </w:t>
      </w:r>
    </w:p>
    <w:p w14:paraId="52980E88" w14:textId="77777777" w:rsidR="008748C1" w:rsidRDefault="00000000">
      <w:pPr>
        <w:numPr>
          <w:ilvl w:val="0"/>
          <w:numId w:val="22"/>
        </w:numPr>
        <w:tabs>
          <w:tab w:val="left" w:pos="1276"/>
        </w:tabs>
        <w:spacing w:before="20" w:after="20" w:line="240" w:lineRule="auto"/>
        <w:ind w:left="1276" w:hanging="425"/>
        <w:jc w:val="both"/>
        <w:rPr>
          <w:rFonts w:eastAsia="Calibri" w:cs="Times New Roman"/>
          <w:szCs w:val="24"/>
          <w:lang w:eastAsia="es-ES"/>
        </w:rPr>
      </w:pPr>
      <w:r>
        <w:rPr>
          <w:rFonts w:eastAsia="Calibri" w:cs="Times New Roman"/>
          <w:szCs w:val="24"/>
          <w:lang w:eastAsia="es-ES"/>
        </w:rPr>
        <w:t>se liquida en una fecha futura.</w:t>
      </w:r>
    </w:p>
    <w:p w14:paraId="52980E89"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Instrumento financiero híbrido: </w:t>
      </w:r>
      <w:r>
        <w:rPr>
          <w:rFonts w:eastAsia="Calibri" w:cs="Times New Roman"/>
          <w:szCs w:val="24"/>
          <w:lang w:eastAsia="es-ES"/>
        </w:rPr>
        <w:t>combinación de un contrato principal no derivado (contrato anfitrión) y un derivado financiero, denominado «derivado implícito», que no puede ser transferido de manera independiente ni tiene una contraparte distinta, y cuyo efecto es que algunos de los flujos de efectivo del instrumento híbrido varían de forma similar a los flujos de efectivo del derivado considerado de forma independiente.</w:t>
      </w:r>
    </w:p>
    <w:p w14:paraId="52980E8A"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Mercado activo: </w:t>
      </w:r>
      <w:r>
        <w:rPr>
          <w:rFonts w:eastAsia="Calibri" w:cs="Times New Roman"/>
          <w:szCs w:val="24"/>
          <w:lang w:eastAsia="es-ES"/>
        </w:rPr>
        <w:t>es un mercado en el que las transacciones del activo o pasivo tienen lugar con suficiente frecuencia y volumen para proporcionar información sobre precios de manera continua.</w:t>
      </w:r>
      <w:bookmarkStart w:id="63" w:name="_Hlk163222163"/>
    </w:p>
    <w:p w14:paraId="52980E8B"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 xml:space="preserve">Riesgo de incumplimiento: </w:t>
      </w:r>
      <w:r>
        <w:rPr>
          <w:rFonts w:eastAsia="Calibri" w:cs="Times New Roman"/>
          <w:szCs w:val="24"/>
          <w:lang w:eastAsia="es-ES"/>
        </w:rPr>
        <w:t xml:space="preserve">al determinar valor razonable se deben elegir datos de entrada que sean congruentes con las características del activo o pasivo que los participantes del mercado tendrían en cuenta en una transacción, por lo que el riesgo de incumplimiento debe estar comprendido tanto para activos como para pasivos. </w:t>
      </w:r>
    </w:p>
    <w:p w14:paraId="52980E8C" w14:textId="77777777" w:rsidR="008748C1" w:rsidRDefault="00000000">
      <w:pPr>
        <w:spacing w:beforeLines="20" w:before="48" w:afterLines="20" w:after="48" w:line="240" w:lineRule="auto"/>
        <w:ind w:left="709"/>
        <w:jc w:val="both"/>
        <w:rPr>
          <w:rFonts w:eastAsia="Calibri" w:cs="Times New Roman"/>
          <w:b/>
          <w:bCs/>
          <w:szCs w:val="24"/>
          <w:lang w:eastAsia="es-ES"/>
        </w:rPr>
      </w:pPr>
      <w:r>
        <w:rPr>
          <w:rFonts w:eastAsia="Calibri" w:cs="Times New Roman"/>
          <w:szCs w:val="24"/>
          <w:lang w:eastAsia="es-ES"/>
        </w:rPr>
        <w:t xml:space="preserve">El valor razonable de un pasivo refleja el efecto del riesgo de incumplimiento, el cual </w:t>
      </w:r>
      <w:proofErr w:type="gramStart"/>
      <w:r>
        <w:rPr>
          <w:rFonts w:eastAsia="Calibri" w:cs="Times New Roman"/>
          <w:szCs w:val="24"/>
          <w:lang w:eastAsia="es-ES"/>
        </w:rPr>
        <w:t>incluye</w:t>
      </w:r>
      <w:proofErr w:type="gramEnd"/>
      <w:r>
        <w:rPr>
          <w:rFonts w:eastAsia="Calibri" w:cs="Times New Roman"/>
          <w:szCs w:val="24"/>
          <w:lang w:eastAsia="es-ES"/>
        </w:rPr>
        <w:t xml:space="preserve"> pero puede no limitarse, al riesgo de crédito propio de una empresa. El riesgo de incumplimiento se supone que es el mismo antes y después de la transferencia del pasivo</w:t>
      </w:r>
      <w:bookmarkEnd w:id="63"/>
      <w:r>
        <w:rPr>
          <w:rFonts w:eastAsia="Calibri" w:cs="Times New Roman"/>
          <w:szCs w:val="24"/>
          <w:lang w:eastAsia="es-ES"/>
        </w:rPr>
        <w:t xml:space="preserve">. </w:t>
      </w:r>
    </w:p>
    <w:p w14:paraId="52980E8D"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Arial Narrow" w:cs="Arial Narrow"/>
          <w:b/>
          <w:bCs/>
          <w:szCs w:val="24"/>
          <w:lang w:eastAsia="es-ES"/>
        </w:rPr>
        <w:t>Pruebas retrospectivas</w:t>
      </w:r>
      <w:r>
        <w:rPr>
          <w:rFonts w:eastAsia="Times New Roman" w:cs="Times New Roman"/>
          <w:szCs w:val="24"/>
          <w:lang w:eastAsia="es-ES"/>
        </w:rPr>
        <w:t>: Consiste en comparar, para un período determinado, los resultados estimados con los resultados efectivamente generados. c</w:t>
      </w:r>
      <w:r>
        <w:rPr>
          <w:rFonts w:eastAsia="Arial Narrow" w:cs="Arial Narrow"/>
          <w:szCs w:val="24"/>
          <w:lang w:eastAsia="es-ES"/>
        </w:rPr>
        <w:t>onforme a lo señalado en el Reglamento de Gestión de Riesgos de Modelo, aprobado por la Resolución SBS N°053-2023.</w:t>
      </w:r>
      <w:bookmarkStart w:id="64" w:name="_Hlk163222291"/>
    </w:p>
    <w:p w14:paraId="52980E8E"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t>Transacción prevista:</w:t>
      </w:r>
      <w:r>
        <w:rPr>
          <w:rFonts w:eastAsia="Calibri" w:cs="Times New Roman"/>
          <w:szCs w:val="24"/>
          <w:lang w:eastAsia="es-ES"/>
        </w:rPr>
        <w:t xml:space="preserve"> una transacción futura anticipada pero no comprometida.</w:t>
      </w:r>
      <w:bookmarkEnd w:id="64"/>
    </w:p>
    <w:p w14:paraId="52980E8F" w14:textId="77777777" w:rsidR="008748C1" w:rsidRDefault="00000000">
      <w:pPr>
        <w:numPr>
          <w:ilvl w:val="0"/>
          <w:numId w:val="18"/>
        </w:numPr>
        <w:tabs>
          <w:tab w:val="clear" w:pos="710"/>
        </w:tabs>
        <w:spacing w:beforeLines="20" w:before="48" w:afterLines="20" w:after="48" w:line="240" w:lineRule="auto"/>
        <w:ind w:left="709" w:hanging="283"/>
        <w:jc w:val="both"/>
        <w:rPr>
          <w:rFonts w:eastAsia="Calibri" w:cs="Times New Roman"/>
          <w:b/>
          <w:bCs/>
          <w:szCs w:val="24"/>
          <w:lang w:eastAsia="es-ES"/>
        </w:rPr>
      </w:pPr>
      <w:r>
        <w:rPr>
          <w:rFonts w:eastAsia="Calibri" w:cs="Times New Roman"/>
          <w:b/>
          <w:bCs/>
          <w:szCs w:val="24"/>
          <w:lang w:eastAsia="es-ES"/>
        </w:rPr>
        <w:lastRenderedPageBreak/>
        <w:t>F</w:t>
      </w:r>
      <w:r>
        <w:rPr>
          <w:rFonts w:eastAsia="Times New Roman" w:cs="Times New Roman"/>
          <w:b/>
          <w:bCs/>
          <w:szCs w:val="24"/>
          <w:lang w:eastAsia="es-ES"/>
        </w:rPr>
        <w:t>echa de contratación o negociación:</w:t>
      </w:r>
      <w:r>
        <w:rPr>
          <w:rFonts w:eastAsia="Times New Roman" w:cs="Times New Roman"/>
          <w:szCs w:val="24"/>
          <w:lang w:eastAsia="es-ES"/>
        </w:rPr>
        <w:t xml:space="preserve"> es la fecha en la que la empresa se compromete a comprar o vender un activo. El registro contable de las operaciones en dicha fecha sería, para el comprador, el reconocimiento del activo a recibir y del pasivo a pagar y, para el vendedor, la baja en cuentas del activo que se vende, el reconocimiento de cualquier ganancia o pérdida en la disposición y el reconocimiento de la cuenta por cobrar.</w:t>
      </w:r>
    </w:p>
    <w:p w14:paraId="52980E90"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65" w:name="_Toc170226132"/>
      <w:bookmarkEnd w:id="61"/>
      <w:r>
        <w:rPr>
          <w:rFonts w:eastAsia="Times New Roman" w:cs="Times New Roman"/>
          <w:b/>
          <w:bCs/>
          <w:szCs w:val="24"/>
          <w:lang w:eastAsia="es-ES"/>
        </w:rPr>
        <w:t>ACTIVOS FINANCIEROS</w:t>
      </w:r>
      <w:bookmarkEnd w:id="65"/>
    </w:p>
    <w:p w14:paraId="52980E91" w14:textId="77777777" w:rsidR="008748C1" w:rsidRDefault="008748C1">
      <w:pPr>
        <w:numPr>
          <w:ilvl w:val="0"/>
          <w:numId w:val="23"/>
        </w:numPr>
        <w:spacing w:before="240" w:after="120" w:line="240" w:lineRule="auto"/>
        <w:jc w:val="both"/>
        <w:outlineLvl w:val="3"/>
        <w:rPr>
          <w:rFonts w:eastAsia="Times New Roman" w:cs="Arial"/>
          <w:b/>
          <w:vanish/>
          <w:szCs w:val="24"/>
          <w:lang w:eastAsia="es-ES"/>
        </w:rPr>
      </w:pPr>
      <w:bookmarkStart w:id="66" w:name="_Toc164102685"/>
      <w:bookmarkStart w:id="67" w:name="_Toc161134614"/>
      <w:bookmarkStart w:id="68" w:name="_Toc161059127"/>
      <w:bookmarkStart w:id="69" w:name="_Toc161058896"/>
      <w:bookmarkStart w:id="70" w:name="_Toc161058430"/>
      <w:bookmarkStart w:id="71" w:name="_Toc161817732"/>
      <w:bookmarkStart w:id="72" w:name="_Toc161130713"/>
      <w:bookmarkStart w:id="73" w:name="_Toc161736229"/>
      <w:bookmarkStart w:id="74" w:name="_Toc161814544"/>
      <w:bookmarkStart w:id="75" w:name="_Toc161058663"/>
      <w:bookmarkStart w:id="76" w:name="_Toc162258791"/>
      <w:bookmarkStart w:id="77" w:name="_Toc162259000"/>
      <w:bookmarkStart w:id="78" w:name="_Toc164095867"/>
      <w:bookmarkStart w:id="79" w:name="_Toc165359392"/>
      <w:bookmarkStart w:id="80" w:name="_Toc164102913"/>
      <w:bookmarkStart w:id="81" w:name="_Toc164103365"/>
      <w:bookmarkStart w:id="82" w:name="_Toc164103139"/>
      <w:bookmarkStart w:id="83" w:name="_Toc170226133"/>
      <w:bookmarkStart w:id="84" w:name="_Toc14567018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2980E92"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85" w:name="_Toc170226134"/>
      <w:r>
        <w:rPr>
          <w:rFonts w:eastAsia="Times New Roman" w:cs="Arial"/>
          <w:b/>
          <w:bCs/>
          <w:szCs w:val="24"/>
          <w:lang w:eastAsia="es-ES"/>
        </w:rPr>
        <w:t>Criterios para determinar la clasificación de los activos financieros</w:t>
      </w:r>
      <w:bookmarkEnd w:id="84"/>
      <w:bookmarkEnd w:id="85"/>
    </w:p>
    <w:p w14:paraId="52980E93"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Salvo que una empresa clasifique un activo financiero como activos financieros designados a valor razonable con cambios en resultados, clasificará los activos financieros sobre la base de los dos siguientes criterios:</w:t>
      </w:r>
    </w:p>
    <w:p w14:paraId="52980E94" w14:textId="77777777" w:rsidR="008748C1" w:rsidRDefault="00000000">
      <w:pPr>
        <w:numPr>
          <w:ilvl w:val="0"/>
          <w:numId w:val="24"/>
        </w:numPr>
        <w:tabs>
          <w:tab w:val="left" w:pos="1276"/>
        </w:tabs>
        <w:spacing w:before="20" w:after="20" w:line="240" w:lineRule="auto"/>
        <w:ind w:left="1276" w:hanging="437"/>
        <w:jc w:val="both"/>
        <w:rPr>
          <w:rFonts w:eastAsia="Arial Narrow" w:cs="Arial Narrow"/>
          <w:szCs w:val="24"/>
          <w:lang w:eastAsia="es-ES"/>
        </w:rPr>
      </w:pPr>
      <w:r>
        <w:rPr>
          <w:rFonts w:eastAsia="Arial Narrow" w:cs="Arial Narrow"/>
          <w:szCs w:val="24"/>
          <w:lang w:eastAsia="es-ES"/>
        </w:rPr>
        <w:t>El modelo de negocio de la empresa para gestionar los activos financieros; y,</w:t>
      </w:r>
    </w:p>
    <w:p w14:paraId="52980E95" w14:textId="77777777" w:rsidR="008748C1" w:rsidRDefault="00000000">
      <w:pPr>
        <w:numPr>
          <w:ilvl w:val="0"/>
          <w:numId w:val="24"/>
        </w:numPr>
        <w:tabs>
          <w:tab w:val="left" w:pos="1276"/>
        </w:tabs>
        <w:spacing w:before="20" w:after="20" w:line="240" w:lineRule="auto"/>
        <w:ind w:left="1276" w:hanging="437"/>
        <w:jc w:val="both"/>
        <w:rPr>
          <w:rFonts w:eastAsia="Times New Roman" w:cs="Times New Roman"/>
          <w:szCs w:val="24"/>
          <w:lang w:eastAsia="es-ES"/>
        </w:rPr>
      </w:pPr>
      <w:r>
        <w:rPr>
          <w:rFonts w:eastAsia="Arial Narrow" w:cs="Arial Narrow"/>
          <w:szCs w:val="24"/>
          <w:lang w:eastAsia="es-ES"/>
        </w:rPr>
        <w:t>Las características de los flujos de efectivo contractuales del activo financiero.</w:t>
      </w:r>
    </w:p>
    <w:p w14:paraId="52980E96"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86" w:name="_Toc145670184"/>
      <w:bookmarkStart w:id="87" w:name="_Toc170226135"/>
      <w:bookmarkStart w:id="88" w:name="_Hlk129100389"/>
      <w:r>
        <w:rPr>
          <w:rFonts w:eastAsia="Times New Roman" w:cs="Arial"/>
          <w:b/>
          <w:szCs w:val="24"/>
          <w:lang w:eastAsia="es-ES"/>
        </w:rPr>
        <w:t>Modelo de negocio para la gestión de los activos financieros</w:t>
      </w:r>
      <w:bookmarkEnd w:id="86"/>
      <w:bookmarkEnd w:id="87"/>
    </w:p>
    <w:bookmarkEnd w:id="88"/>
    <w:p w14:paraId="52980E97"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El modelo de negocio de una empresa se debe entender como la forma en que gestiona sus activos financieros para generar flujos de efectivo. El modelo de negocio puede consistir en mantener los activos financieros para recibir sus flujos de efectivo contractuales, en vender estos activos o en una combinación de ambas opciones. Esta evaluación no debe considerar escenarios que la empresa no espera razonablemente que ocurran, tales como el escenario más desfavorable. Asimismo, si los flujos de efectivo se reciben de una forma diferente a la esperada por la empresa al momento de evaluar el modelo de negocio, ello no debe ser considerado ni tratado como un error ocurrido en periodos anteriores, ni hace que se modifique la clasificación de los activos restantes en ese modelo de negocio, siempre que en la evaluación la empresa haya tomado en consideración toda la información relevante que estaba disponible.</w:t>
      </w:r>
    </w:p>
    <w:p w14:paraId="52980E98"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El modelo de negocio debe determinarse considerando cómo se gestionan conjuntamente grupos de activos financieros para alcanzar un objetivo concreto. La empresa debe considerar toda la información relevante que está disponible en el momento en que se realiza la evaluación del modelo de negocio. El modelo o modelos de negocio deben formar parte de las políticas de inversiones de la empresa. </w:t>
      </w:r>
    </w:p>
    <w:p w14:paraId="52980E99"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El modelo de negocio no dependerá de las intenciones de la empresa para un instrumento individual, sino que debe determinarse para un conjunto de instrumentos. Las empresas pueden tener más de un modelo negocio y un mismo tipo de instrumento puede ser gestionado en carteras o portafolios con distintos modelos de negocio. </w:t>
      </w:r>
    </w:p>
    <w:p w14:paraId="52980E9A"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Una empresa puede tener más de un modelo de negocio para la gestión de sus activos financieros. Por ejemplo, la empresa puede mantener un grupo de activos financieros que gestione con el objetivo de percibir sus flujos de efectivo contractuales y otro que gestione como una cartera de negociación con el objetivo de vender los activos financieros a corto plazo, en algunas circunstancias, puede ser apropiado separar un grupo de activos financieros en grupos más pequeños para reflejar el modo en que la empresa los gestiona. </w:t>
      </w:r>
    </w:p>
    <w:p w14:paraId="52980E9B"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La asignación en el reconocimiento inicial de un grupo de activos financieros a un modelo de negocio existente deberá estar soportada por información que evidencie que los objetivos de este modelo de negocio se están cumpliendo, la cual debe estar a disposición de esta Superintendencia.</w:t>
      </w:r>
    </w:p>
    <w:p w14:paraId="52980E9C"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En la evaluación del modelo de negocio, las empresas deben considerar toda la información relevante que esté a su disposición que incluye, pero no se limita a:</w:t>
      </w:r>
    </w:p>
    <w:p w14:paraId="52980E9D" w14:textId="77777777" w:rsidR="008748C1" w:rsidRDefault="00000000">
      <w:pPr>
        <w:numPr>
          <w:ilvl w:val="0"/>
          <w:numId w:val="25"/>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La manera en que se evalúa y se informa a la gerencia sobre el rendimiento de cada modelo de negocio y los activos mantenidos en cada modelo de negocio.</w:t>
      </w:r>
    </w:p>
    <w:p w14:paraId="52980E9E" w14:textId="77777777" w:rsidR="008748C1" w:rsidRDefault="00000000">
      <w:pPr>
        <w:numPr>
          <w:ilvl w:val="0"/>
          <w:numId w:val="25"/>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lastRenderedPageBreak/>
        <w:t>Los riesgos que afectan el rendimiento de cada modelo de negocio y a los activos que conforman cada modelo de negocio, así como la forma en que se gestionan dichos riesgos.</w:t>
      </w:r>
    </w:p>
    <w:p w14:paraId="52980E9F" w14:textId="77777777" w:rsidR="008748C1" w:rsidRDefault="00000000">
      <w:pPr>
        <w:numPr>
          <w:ilvl w:val="0"/>
          <w:numId w:val="25"/>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La forma en que se retribuye a los gestores de cada modelo de negocio.</w:t>
      </w:r>
    </w:p>
    <w:p w14:paraId="52980EA0"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Los tipos de modelos de negocios son los siguientes:</w:t>
      </w:r>
    </w:p>
    <w:p w14:paraId="52980EA1" w14:textId="77777777" w:rsidR="008748C1" w:rsidRDefault="00000000">
      <w:pPr>
        <w:numPr>
          <w:ilvl w:val="0"/>
          <w:numId w:val="26"/>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Modelo de negocio cuyo objetivo es mantener los activos financieros para obtener los flujos de efectivo contractuales.</w:t>
      </w:r>
    </w:p>
    <w:p w14:paraId="52980EA2" w14:textId="77777777" w:rsidR="008748C1" w:rsidRDefault="00000000">
      <w:pPr>
        <w:numPr>
          <w:ilvl w:val="0"/>
          <w:numId w:val="26"/>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Modelo de negocio cuyo objetivo es lograr la obtención de flujos de efectivo contractuales y la venta de activos financieros.</w:t>
      </w:r>
    </w:p>
    <w:p w14:paraId="52980EA3" w14:textId="77777777" w:rsidR="008748C1" w:rsidRDefault="00000000">
      <w:pPr>
        <w:numPr>
          <w:ilvl w:val="0"/>
          <w:numId w:val="26"/>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Otros Modelos de negocio.</w:t>
      </w:r>
    </w:p>
    <w:p w14:paraId="52980EA4"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A continuación, se describen las características principales de cada modelo de negocio:</w:t>
      </w:r>
    </w:p>
    <w:p w14:paraId="52980EA5"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89" w:name="_Toc145670185"/>
      <w:bookmarkStart w:id="90" w:name="_Toc170226136"/>
      <w:r>
        <w:rPr>
          <w:rFonts w:eastAsia="Times New Roman" w:cs="Arial"/>
          <w:b/>
          <w:bCs/>
          <w:szCs w:val="24"/>
          <w:u w:val="single"/>
          <w:lang w:eastAsia="es-ES"/>
        </w:rPr>
        <w:t>Modelo de negocio cuyo objetivo es mantener los activos financieros para obtener los flujos de efectivo contractuales</w:t>
      </w:r>
      <w:bookmarkEnd w:id="89"/>
      <w:bookmarkEnd w:id="90"/>
    </w:p>
    <w:p w14:paraId="52980EA6"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Bajo este modelo de negocio la empresa mantiene los activos financieros con la finalidad de cobrar los flujos de efectivos contractuales a lo largo de la vida de dichos activos. No obstante, la elección de este modelo no obliga a la empresa a mantener todos los activos hasta su vencimiento, puesto que la venta en algunos activos en determinadas circunstancias no se contradice con la elección de este modelo de negocio.</w:t>
      </w:r>
    </w:p>
    <w:p w14:paraId="52980EA7"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Para determinar si la elección de este modelo de negocio es adecuada para un conjunto de activos financieros, la empresa debe evaluar lo siguiente:</w:t>
      </w:r>
    </w:p>
    <w:p w14:paraId="52980EA8"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 xml:space="preserve">La frecuencia de ventas en periodos anteriores; </w:t>
      </w:r>
    </w:p>
    <w:p w14:paraId="52980EA9"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El valor y el calendario de las ventas en periodos anteriores;</w:t>
      </w:r>
    </w:p>
    <w:p w14:paraId="52980EAA"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 xml:space="preserve">Los motivos de esas ventas; y, </w:t>
      </w:r>
    </w:p>
    <w:p w14:paraId="52980EAB"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Las expectativas en relación con la actividad de ventas futuras.</w:t>
      </w:r>
    </w:p>
    <w:p w14:paraId="52980EAC"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Sin embargo, las ventas en sí mismas no determinan el modelo de negocio y, por ello, no pueden considerarse de forma aislada. La información sobre ventas pasadas y las expectativas sobre ventas futuras proporcionan evidencia relacionada con la forma en que se logra el objetivo señalado de la empresa para gestionar los activos financieros y cómo se realizan los flujos de efectivo.</w:t>
      </w:r>
    </w:p>
    <w:p w14:paraId="52980EAD"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Aunque el objetivo del modelo de negocio de una empresa puede ser mantener activos financieros para cobrar flujos de efectivo contractuales, la empresa no necesita mantener todos los instrumentos hasta el vencimiento; por lo cual, se podrá considerar incluso en este modelo de negocio cuando las ventas de los activos financieros tengan lugar o se espera que ocurran en el futuro.</w:t>
      </w:r>
    </w:p>
    <w:p w14:paraId="52980EAE"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Así, podrían ser compatibles con el modelo de mantener activos para recibir flujos de efectivo contractuales, los siguientes: </w:t>
      </w:r>
    </w:p>
    <w:p w14:paraId="52980EAF"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 xml:space="preserve">Ventas poco frecuentes (incluso si son significativas en valor) o poco significativas (incluso si son frecuentes). </w:t>
      </w:r>
    </w:p>
    <w:p w14:paraId="52980EB0"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Ventas de activos próximos al vencimiento, es decir, a menos de tres (3) meses de su vencimiento, de forma tal que los cambios en las tasas de mercado no tendrían un efecto significativo sobre el valor razonable, o cuando resta diez por ciento (10%) o menos del principal de la inversión por amortizar de acuerdo con el plan de amortización del activo financiero.</w:t>
      </w:r>
    </w:p>
    <w:p w14:paraId="52980EB1"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Ventas motivadas por incremento del riesgo de crédito de los emisores de los activos financieros</w:t>
      </w:r>
    </w:p>
    <w:p w14:paraId="52980EB2"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 xml:space="preserve">Ventas para gestionar el riesgo de concentración. </w:t>
      </w:r>
    </w:p>
    <w:p w14:paraId="52980EB3"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Otras ventas, si la empresa puede explicar los motivos de las ventas y demostrar por qué no reflejan un cambio en su modelo de negocio.</w:t>
      </w:r>
    </w:p>
    <w:p w14:paraId="52980EB4"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Otros que sean necesarios para el cumplimiento de algún cambio normativo y/</w:t>
      </w:r>
      <w:proofErr w:type="spellStart"/>
      <w:r>
        <w:rPr>
          <w:rFonts w:eastAsia="Calibri" w:cs="Times New Roman"/>
          <w:szCs w:val="24"/>
          <w:lang w:eastAsia="es-ES"/>
        </w:rPr>
        <w:t>o</w:t>
      </w:r>
      <w:proofErr w:type="spellEnd"/>
      <w:r>
        <w:rPr>
          <w:rFonts w:eastAsia="Calibri" w:cs="Times New Roman"/>
          <w:szCs w:val="24"/>
          <w:lang w:eastAsia="es-ES"/>
        </w:rPr>
        <w:t xml:space="preserve"> otros que disponga esta Superintendencia.</w:t>
      </w:r>
    </w:p>
    <w:p w14:paraId="52980EB5"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91" w:name="_Toc145670186"/>
      <w:bookmarkStart w:id="92" w:name="_Toc170226137"/>
      <w:r>
        <w:rPr>
          <w:rFonts w:eastAsia="Times New Roman" w:cs="Arial"/>
          <w:b/>
          <w:bCs/>
          <w:szCs w:val="24"/>
          <w:u w:val="single"/>
          <w:lang w:eastAsia="es-ES"/>
        </w:rPr>
        <w:lastRenderedPageBreak/>
        <w:t>Modelo de negocio cuyo objetivo es lograr la obtención de flujos de efectivo contractuales y la venta de activos financieros</w:t>
      </w:r>
      <w:bookmarkEnd w:id="91"/>
      <w:bookmarkEnd w:id="92"/>
    </w:p>
    <w:p w14:paraId="52980EB6"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Bajo este modelo de negocio se combina la recepción de los flujos de efectivo contractuales y la venta activos financieros. En este tipo de modelo de negocio, la gerencia de la empresa ha tomado la decisión de que tanto la obtención de flujos de efectivo contractuales como la venta de activos financieros son esenciales para lograr el objetivo del modelo de negocio. </w:t>
      </w:r>
    </w:p>
    <w:p w14:paraId="52980EB7"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Existen varios objetivos que pueden ser congruentes con este tipo de modelo de negocio. Por ejemplo:</w:t>
      </w:r>
    </w:p>
    <w:p w14:paraId="52980EB8"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El objetivo del modelo de negocio puede ser gestionar las necesidades de liquidez,</w:t>
      </w:r>
    </w:p>
    <w:p w14:paraId="52980EB9"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Mantener un perfil de rendimiento de interés concreto, o</w:t>
      </w:r>
    </w:p>
    <w:p w14:paraId="52980EBA" w14:textId="77777777" w:rsidR="008748C1" w:rsidRDefault="00000000">
      <w:pPr>
        <w:numPr>
          <w:ilvl w:val="0"/>
          <w:numId w:val="27"/>
        </w:numPr>
        <w:spacing w:before="20" w:after="20" w:line="240" w:lineRule="auto"/>
        <w:ind w:left="1134" w:hanging="283"/>
        <w:jc w:val="both"/>
        <w:rPr>
          <w:rFonts w:eastAsia="Calibri" w:cs="Times New Roman"/>
          <w:szCs w:val="24"/>
          <w:lang w:eastAsia="es-ES"/>
        </w:rPr>
      </w:pPr>
      <w:r>
        <w:rPr>
          <w:rFonts w:eastAsia="Calibri" w:cs="Times New Roman"/>
          <w:szCs w:val="24"/>
          <w:lang w:eastAsia="es-ES"/>
        </w:rPr>
        <w:t>Coordinar la duración de los activos financieros con la de los pasivos que financian dichos activos.</w:t>
      </w:r>
    </w:p>
    <w:p w14:paraId="52980EBB"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Este modelo de negocio involucrará habitualmente mayor frecuencia y valor de ventas de activos financieros, debido a que la venta de activos financieros es esencial para lograr el objetivo del modelo de negocio en lugar de ser solo secundaria. </w:t>
      </w:r>
    </w:p>
    <w:p w14:paraId="52980EBC"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93" w:name="_Toc145670187"/>
      <w:bookmarkStart w:id="94" w:name="_Toc170226138"/>
      <w:r>
        <w:rPr>
          <w:rFonts w:eastAsia="Times New Roman" w:cs="Arial"/>
          <w:b/>
          <w:bCs/>
          <w:szCs w:val="24"/>
          <w:u w:val="single"/>
          <w:lang w:eastAsia="es-ES"/>
        </w:rPr>
        <w:t>Otros modelos de negocio</w:t>
      </w:r>
      <w:bookmarkEnd w:id="93"/>
      <w:bookmarkEnd w:id="94"/>
    </w:p>
    <w:p w14:paraId="52980EBD"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Un modelo de negocio que dé lugar a mediciones a valor razonable con cambios en resultados es uno en el que una empresa gestiona los activos financieros con el objetivo de cobrar flujos de efectivo a través de la venta de los activos. La empresa toma decisiones basadas en los valores razonables de los activos y los gestiona para obtener esos valores razonables.</w:t>
      </w:r>
    </w:p>
    <w:p w14:paraId="52980EBE"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El objetivo de la empresa habitualmente dará lugar a compras y ventas activas. Aun cuando la empresa obtenga flujos de efectivo contractuales mientras mantiene los activos financieros, el objetivo de este modelo de negocio no es lograrlo con la obtención de flujos de efectivo contractuales y la venta de activos financieros. Esto es así, porque la obtención de flujos de efectivo contractuales no es esencial para lograr el objetivo del modelo de negocio, sino que es secundaria.</w:t>
      </w:r>
    </w:p>
    <w:p w14:paraId="52980EBF"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95" w:name="_Toc170226139"/>
      <w:r>
        <w:rPr>
          <w:rFonts w:eastAsia="Times New Roman" w:cs="Arial"/>
          <w:b/>
          <w:szCs w:val="24"/>
          <w:lang w:eastAsia="es-ES"/>
        </w:rPr>
        <w:t xml:space="preserve">Características de los flujos de efectivo contractuales - </w:t>
      </w:r>
      <w:bookmarkEnd w:id="95"/>
      <w:r>
        <w:rPr>
          <w:rFonts w:eastAsia="Times New Roman" w:cs="Arial"/>
          <w:b/>
          <w:szCs w:val="24"/>
          <w:lang w:eastAsia="es-ES"/>
        </w:rPr>
        <w:t>Prueba de solo pagos de principal e intereses (SPPI)</w:t>
      </w:r>
    </w:p>
    <w:p w14:paraId="52980EC0"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Una vez determinado el modelo de negocio para la gestión de los activos financieros, y en caso de que este se enmarque en un modelo de negocio cuyo objetivo es mantener activos para cobrar flujos de efectivo contractuales, o en un modelo de negocio que persiga la obtención de flujos de efectivo tanto contractuales como de las ventas; la empresa debe analizar las características de dichos flujos de efectivo contractuales del activo financiero antes de clasificar su medición al costo amortizado o al valor razonable con cambios en otro resultado integral, excepto si se ha optado por designar de forma irrevocable, en el momento de reconocimiento inicial, como medido al valor razonable con cambios en los resultados, cumpliendo con los lineamientos establecidos para tal efecto.</w:t>
      </w:r>
    </w:p>
    <w:p w14:paraId="52980EC1"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En términos generales, se considera que un activo financiero cumple con </w:t>
      </w:r>
      <w:proofErr w:type="gramStart"/>
      <w:r>
        <w:rPr>
          <w:rFonts w:eastAsia="Times New Roman" w:cs="Times New Roman"/>
          <w:szCs w:val="24"/>
          <w:lang w:eastAsia="es-ES"/>
        </w:rPr>
        <w:t>el prueba</w:t>
      </w:r>
      <w:proofErr w:type="gramEnd"/>
      <w:r>
        <w:rPr>
          <w:rFonts w:eastAsia="Times New Roman" w:cs="Times New Roman"/>
          <w:szCs w:val="24"/>
          <w:lang w:eastAsia="es-ES"/>
        </w:rPr>
        <w:t xml:space="preserve"> de SPPI si sus flujos contractuales corresponden únicamente a los pagos del principal y de los intereses sobre el importe del principal pendiente, es decir, si sus flujos contractuales son consistentes con un acuerdo básico de préstamo. No está relacionado a un préstamo básico las exposiciones a cambios de precios de acciones o precios de materias primas cotizadas. Un activo financiero comprado u originado puede ser un acuerdo básico de préstamo independientemente de si es un préstamo en su forma legal.</w:t>
      </w:r>
    </w:p>
    <w:p w14:paraId="52980EC2"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Se entiende que el principal es el valor razonable del activo financiero al momento de su reconocimiento inicial. Sin embargo, el principal puede variar a lo largo de la vida del activo financiero (por ejemplo, en caso de amortizaciones o reembolsos parciales del principal). </w:t>
      </w:r>
    </w:p>
    <w:p w14:paraId="52980EC3"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Por otro lado, el interés comprende los siguientes elementos: </w:t>
      </w:r>
    </w:p>
    <w:p w14:paraId="52980EC4" w14:textId="77777777" w:rsidR="008748C1" w:rsidRDefault="00000000">
      <w:pPr>
        <w:numPr>
          <w:ilvl w:val="0"/>
          <w:numId w:val="28"/>
        </w:numPr>
        <w:tabs>
          <w:tab w:val="left" w:pos="1276"/>
        </w:tabs>
        <w:spacing w:before="20" w:after="20" w:line="240" w:lineRule="auto"/>
        <w:ind w:left="1276" w:hanging="425"/>
        <w:jc w:val="both"/>
        <w:rPr>
          <w:rFonts w:eastAsia="Times New Roman" w:cs="Calibri"/>
          <w:szCs w:val="24"/>
          <w:lang w:eastAsia="es-ES"/>
        </w:rPr>
      </w:pPr>
      <w:r>
        <w:rPr>
          <w:rFonts w:eastAsia="Times New Roman" w:cs="Calibri"/>
          <w:szCs w:val="24"/>
          <w:lang w:eastAsia="es-ES"/>
        </w:rPr>
        <w:t xml:space="preserve">El valor temporal del dinero; </w:t>
      </w:r>
    </w:p>
    <w:p w14:paraId="52980EC5" w14:textId="77777777" w:rsidR="008748C1" w:rsidRDefault="00000000">
      <w:pPr>
        <w:numPr>
          <w:ilvl w:val="0"/>
          <w:numId w:val="28"/>
        </w:numPr>
        <w:tabs>
          <w:tab w:val="left" w:pos="1276"/>
        </w:tabs>
        <w:spacing w:before="20" w:after="20" w:line="240" w:lineRule="auto"/>
        <w:ind w:left="1276" w:hanging="425"/>
        <w:jc w:val="both"/>
        <w:rPr>
          <w:rFonts w:eastAsia="Times New Roman" w:cs="Calibri"/>
          <w:szCs w:val="24"/>
          <w:lang w:eastAsia="es-ES"/>
        </w:rPr>
      </w:pPr>
      <w:r>
        <w:rPr>
          <w:rFonts w:eastAsia="Times New Roman" w:cs="Calibri"/>
          <w:szCs w:val="24"/>
          <w:lang w:eastAsia="es-ES"/>
        </w:rPr>
        <w:lastRenderedPageBreak/>
        <w:t xml:space="preserve">El riesgo crediticio asociado con el importe del principal pendiente; </w:t>
      </w:r>
    </w:p>
    <w:p w14:paraId="52980EC6" w14:textId="77777777" w:rsidR="008748C1" w:rsidRDefault="00000000">
      <w:pPr>
        <w:numPr>
          <w:ilvl w:val="0"/>
          <w:numId w:val="28"/>
        </w:numPr>
        <w:tabs>
          <w:tab w:val="left" w:pos="1276"/>
        </w:tabs>
        <w:spacing w:before="20" w:after="20" w:line="240" w:lineRule="auto"/>
        <w:ind w:left="1276" w:hanging="425"/>
        <w:jc w:val="both"/>
        <w:rPr>
          <w:rFonts w:eastAsia="Times New Roman" w:cs="Calibri"/>
          <w:szCs w:val="24"/>
          <w:lang w:eastAsia="es-ES"/>
        </w:rPr>
      </w:pPr>
      <w:r>
        <w:rPr>
          <w:rFonts w:eastAsia="Times New Roman" w:cs="Calibri"/>
          <w:szCs w:val="24"/>
          <w:lang w:eastAsia="es-ES"/>
        </w:rPr>
        <w:t xml:space="preserve">Otros riesgos y costos de préstamos básicos; y, </w:t>
      </w:r>
    </w:p>
    <w:p w14:paraId="52980EC7" w14:textId="77777777" w:rsidR="008748C1" w:rsidRDefault="00000000">
      <w:pPr>
        <w:numPr>
          <w:ilvl w:val="0"/>
          <w:numId w:val="28"/>
        </w:numPr>
        <w:tabs>
          <w:tab w:val="left" w:pos="1276"/>
        </w:tabs>
        <w:spacing w:before="20" w:after="20" w:line="240" w:lineRule="auto"/>
        <w:ind w:left="1276" w:hanging="425"/>
        <w:jc w:val="both"/>
        <w:rPr>
          <w:rFonts w:eastAsia="Times New Roman" w:cs="Calibri"/>
          <w:szCs w:val="24"/>
          <w:lang w:eastAsia="es-ES"/>
        </w:rPr>
      </w:pPr>
      <w:r>
        <w:rPr>
          <w:rFonts w:eastAsia="Times New Roman" w:cs="Calibri"/>
          <w:szCs w:val="24"/>
          <w:lang w:eastAsia="es-ES"/>
        </w:rPr>
        <w:t>Un margen de ganancia.</w:t>
      </w:r>
    </w:p>
    <w:p w14:paraId="52980EC8"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El valor temporal del dinero es el elemento del interés que proporciona una contraprestación por el solo paso del tiempo y no proporciona contraprestación por otros riesgos o costes asociadas con la tenencia del activo financiero. Sin embargo, el elemento del valor temporal del dinero puede modificarse, por lo tanto, la empresa debe considerar todos los factores de forma cuantitativa y/o cualitativa al momento de evaluar el elemento del valor temporal del dinero modificado para determinar si los flujos de efectivo contractuales representan solo pagos del principal e intereses sobre el importe principal pendiente. </w:t>
      </w:r>
    </w:p>
    <w:p w14:paraId="52980EC9"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De otro lado, el apalancamiento hace referencia a los incrementos de la variabilidad de los flujos contractuales de tal forma que no tienen la consideración económica de intereses. Un instrumento que tenga apalancamiento no es consistente con SPPI. </w:t>
      </w:r>
    </w:p>
    <w:p w14:paraId="52980ECA"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Las empresas deben tener en cuenta los escenarios razonablemente posibles en lugar de todos los posibles al momento de evaluar el elemento del valor temporal del dinero modificado. Será necesaria la realización de un índice de referencia (</w:t>
      </w:r>
      <w:proofErr w:type="spellStart"/>
      <w:r>
        <w:rPr>
          <w:rFonts w:eastAsia="Times New Roman" w:cs="Times New Roman"/>
          <w:i/>
          <w:iCs/>
          <w:szCs w:val="24"/>
          <w:lang w:eastAsia="es-ES"/>
        </w:rPr>
        <w:t>Benchmark</w:t>
      </w:r>
      <w:proofErr w:type="spellEnd"/>
      <w:r>
        <w:rPr>
          <w:rFonts w:eastAsia="Times New Roman" w:cs="Times New Roman"/>
          <w:i/>
          <w:iCs/>
          <w:szCs w:val="24"/>
          <w:lang w:eastAsia="es-ES"/>
        </w:rPr>
        <w:t xml:space="preserve"> test</w:t>
      </w:r>
      <w:r>
        <w:rPr>
          <w:rFonts w:eastAsia="Times New Roman" w:cs="Times New Roman"/>
          <w:szCs w:val="24"/>
          <w:lang w:eastAsia="es-ES"/>
        </w:rPr>
        <w:t xml:space="preserve">) para comprobar si la modificación del valor temporal del dinero produce variaciones significativas, en caso de que se determine que la variación es significativa, el instrumento financiero no pasaría </w:t>
      </w:r>
      <w:proofErr w:type="gramStart"/>
      <w:r>
        <w:rPr>
          <w:rFonts w:eastAsia="Times New Roman" w:cs="Times New Roman"/>
          <w:szCs w:val="24"/>
          <w:lang w:eastAsia="es-ES"/>
        </w:rPr>
        <w:t>el test</w:t>
      </w:r>
      <w:proofErr w:type="gramEnd"/>
      <w:r>
        <w:rPr>
          <w:rFonts w:eastAsia="Times New Roman" w:cs="Times New Roman"/>
          <w:szCs w:val="24"/>
          <w:lang w:eastAsia="es-ES"/>
        </w:rPr>
        <w:t xml:space="preserve"> SPPI.</w:t>
      </w:r>
    </w:p>
    <w:p w14:paraId="52980ECB"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Las empresas deben desarrollar una metodología que les permita evaluar si un determinado instrumento o cartera de instrumentos genera flujos de efectivo contractuales que son únicamente pagos de principal e intereses sobre el importe del capital pendiente. Si el instrumento o cartera de instrumentos no cumple con </w:t>
      </w:r>
      <w:proofErr w:type="gramStart"/>
      <w:r>
        <w:rPr>
          <w:rFonts w:eastAsia="Times New Roman" w:cs="Times New Roman"/>
          <w:szCs w:val="24"/>
          <w:lang w:eastAsia="es-ES"/>
        </w:rPr>
        <w:t>este test</w:t>
      </w:r>
      <w:proofErr w:type="gramEnd"/>
      <w:r>
        <w:rPr>
          <w:rFonts w:eastAsia="Times New Roman" w:cs="Times New Roman"/>
          <w:szCs w:val="24"/>
          <w:lang w:eastAsia="es-ES"/>
        </w:rPr>
        <w:t xml:space="preserve">, debe ser clasificado como valor razonable con cambios en los resultados. </w:t>
      </w:r>
    </w:p>
    <w:p w14:paraId="52980ECC"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Sobre la periodicidad de la prueba, esta evaluación se debe realizar cada vez que se realicen cambios contractuales en el instrumento y la actualización debe ser realizada y ser reflejada en la información financiera próxima a presentar a la Superintendencia. Si producto de la evaluación señalada se produce un cambio en la categoría de clasificación, se realizará la reclasificación de acuerdo con el literal f) Reclasificación de activos financieros, aunque el cambio no se deba a un cambio en el modelo de negocio. En caso no haya ocurrido cambios contractuales en el instrumento, no es necesario realizar la prueba señalada. La prueba SPPI se realiza por cada activo financiero.</w:t>
      </w:r>
    </w:p>
    <w:p w14:paraId="52980ECD"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96" w:name="_Toc170226140"/>
      <w:bookmarkStart w:id="97" w:name="_Toc145670190"/>
      <w:r>
        <w:rPr>
          <w:rFonts w:eastAsia="Times New Roman" w:cs="Arial"/>
          <w:b/>
          <w:bCs/>
          <w:szCs w:val="24"/>
          <w:lang w:eastAsia="es-ES"/>
        </w:rPr>
        <w:t>Clasificación de activos financieros</w:t>
      </w:r>
      <w:bookmarkEnd w:id="96"/>
      <w:bookmarkEnd w:id="97"/>
    </w:p>
    <w:p w14:paraId="52980ECE"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Los activos financieros que adquieran las empresas de acuerdo con los lineamientos establecidos en sus manuales de políticas y procedimientos deberán ser clasificadas en las siguientes categorías:</w:t>
      </w:r>
    </w:p>
    <w:p w14:paraId="52980ECF" w14:textId="77777777" w:rsidR="008748C1" w:rsidRDefault="00000000">
      <w:pPr>
        <w:numPr>
          <w:ilvl w:val="0"/>
          <w:numId w:val="29"/>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Activos financieros al costo amortizado;</w:t>
      </w:r>
    </w:p>
    <w:p w14:paraId="52980ED0" w14:textId="77777777" w:rsidR="008748C1" w:rsidRDefault="00000000">
      <w:pPr>
        <w:numPr>
          <w:ilvl w:val="0"/>
          <w:numId w:val="29"/>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Activos financieros a valor razonable con cambios en otro resultado integral;</w:t>
      </w:r>
    </w:p>
    <w:p w14:paraId="52980ED1" w14:textId="77777777" w:rsidR="008748C1" w:rsidRDefault="00000000">
      <w:pPr>
        <w:numPr>
          <w:ilvl w:val="0"/>
          <w:numId w:val="29"/>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Activos financieros a valor razonable con cambios en resultados:</w:t>
      </w:r>
    </w:p>
    <w:p w14:paraId="52980ED2" w14:textId="77777777" w:rsidR="008748C1" w:rsidRDefault="00000000">
      <w:pPr>
        <w:numPr>
          <w:ilvl w:val="1"/>
          <w:numId w:val="29"/>
        </w:numPr>
        <w:spacing w:before="20" w:after="20" w:line="240" w:lineRule="auto"/>
        <w:ind w:hanging="425"/>
        <w:jc w:val="both"/>
        <w:rPr>
          <w:rFonts w:eastAsia="Times New Roman" w:cs="Times New Roman"/>
          <w:szCs w:val="24"/>
          <w:lang w:eastAsia="es-ES"/>
        </w:rPr>
      </w:pPr>
      <w:r>
        <w:rPr>
          <w:rFonts w:eastAsia="Times New Roman" w:cs="Times New Roman"/>
          <w:szCs w:val="24"/>
          <w:lang w:eastAsia="es-ES"/>
        </w:rPr>
        <w:t xml:space="preserve">Activos financieros a valor razonable mantenidos para negociar </w:t>
      </w:r>
      <w:r>
        <w:rPr>
          <w:rFonts w:eastAsia="Times New Roman" w:cs="Times New Roman"/>
          <w:bCs/>
          <w:szCs w:val="24"/>
          <w:lang w:eastAsia="es-ES"/>
        </w:rPr>
        <w:t>con cambios en resultados</w:t>
      </w:r>
    </w:p>
    <w:p w14:paraId="52980ED3" w14:textId="77777777" w:rsidR="008748C1" w:rsidRDefault="00000000">
      <w:pPr>
        <w:numPr>
          <w:ilvl w:val="1"/>
          <w:numId w:val="29"/>
        </w:numPr>
        <w:spacing w:before="20" w:after="20" w:line="240" w:lineRule="auto"/>
        <w:ind w:hanging="425"/>
        <w:jc w:val="both"/>
        <w:rPr>
          <w:rFonts w:eastAsia="Times New Roman" w:cs="Times New Roman"/>
          <w:szCs w:val="24"/>
          <w:lang w:eastAsia="es-ES"/>
        </w:rPr>
      </w:pPr>
      <w:r>
        <w:rPr>
          <w:rFonts w:eastAsia="Times New Roman" w:cs="Times New Roman"/>
          <w:szCs w:val="24"/>
          <w:lang w:eastAsia="es-ES"/>
        </w:rPr>
        <w:t>Activos financieros designados a valor razonable con cambios en resultados</w:t>
      </w:r>
    </w:p>
    <w:p w14:paraId="52980ED4" w14:textId="77777777" w:rsidR="008748C1" w:rsidRDefault="00000000">
      <w:pPr>
        <w:numPr>
          <w:ilvl w:val="1"/>
          <w:numId w:val="29"/>
        </w:numPr>
        <w:spacing w:before="20" w:after="20" w:line="240" w:lineRule="auto"/>
        <w:ind w:hanging="425"/>
        <w:jc w:val="both"/>
        <w:rPr>
          <w:rFonts w:ascii="Arial" w:eastAsia="Times New Roman" w:hAnsi="Arial" w:cs="Times New Roman"/>
          <w:szCs w:val="24"/>
          <w:lang w:eastAsia="es-ES"/>
        </w:rPr>
      </w:pPr>
      <w:r>
        <w:rPr>
          <w:rFonts w:eastAsia="Times New Roman" w:cs="Times New Roman"/>
          <w:szCs w:val="24"/>
          <w:lang w:eastAsia="es-ES"/>
        </w:rPr>
        <w:t>Activos financieros medidos obligatoriamente a valor razonable con cambios en resultados</w:t>
      </w:r>
    </w:p>
    <w:p w14:paraId="52980ED5"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Independientemente de las cuentas contables utilizadas para el registro contable, las cuales se detallan en los Capítulos III y IV, las empresas deben de clasificar los activos financieros en alguna de las categorías antes descritas para efectos de su medición, deterioro, valorización u otros lineamientos, según corresponda.</w:t>
      </w:r>
    </w:p>
    <w:p w14:paraId="52980ED6"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Salvo que los activos financieros se clasifiquen en la categoría de activos financieros designados a valor razonable con cambios en resultados, estos deben clasificarse sobre la base de dos criterios:</w:t>
      </w:r>
    </w:p>
    <w:p w14:paraId="52980ED7" w14:textId="77777777" w:rsidR="008748C1" w:rsidRDefault="00000000">
      <w:pPr>
        <w:numPr>
          <w:ilvl w:val="0"/>
          <w:numId w:val="30"/>
        </w:numPr>
        <w:spacing w:before="20" w:after="20" w:line="240" w:lineRule="auto"/>
        <w:ind w:left="1135" w:hanging="284"/>
        <w:jc w:val="both"/>
        <w:rPr>
          <w:rFonts w:eastAsia="Times New Roman" w:cs="Times New Roman"/>
          <w:szCs w:val="24"/>
          <w:lang w:eastAsia="es-ES"/>
        </w:rPr>
      </w:pPr>
      <w:r>
        <w:rPr>
          <w:rFonts w:eastAsia="Times New Roman" w:cs="Times New Roman"/>
          <w:szCs w:val="24"/>
          <w:lang w:eastAsia="es-ES"/>
        </w:rPr>
        <w:t>el modelo de negocio para gestionar los activos financieros; y,</w:t>
      </w:r>
    </w:p>
    <w:p w14:paraId="52980ED8" w14:textId="77777777" w:rsidR="008748C1" w:rsidRDefault="00000000">
      <w:pPr>
        <w:numPr>
          <w:ilvl w:val="0"/>
          <w:numId w:val="30"/>
        </w:numPr>
        <w:spacing w:before="20" w:after="20" w:line="240" w:lineRule="auto"/>
        <w:ind w:left="1135" w:hanging="284"/>
        <w:jc w:val="both"/>
        <w:rPr>
          <w:rFonts w:eastAsia="Times New Roman" w:cs="Times New Roman"/>
          <w:szCs w:val="24"/>
          <w:lang w:eastAsia="es-ES"/>
        </w:rPr>
      </w:pPr>
      <w:r>
        <w:rPr>
          <w:rFonts w:eastAsia="Times New Roman" w:cs="Times New Roman"/>
          <w:szCs w:val="24"/>
          <w:lang w:eastAsia="es-ES"/>
        </w:rPr>
        <w:lastRenderedPageBreak/>
        <w:t>las características de los flujos de efectivo contractuales del activo</w:t>
      </w:r>
    </w:p>
    <w:p w14:paraId="52980ED9"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98" w:name="_Toc170226141"/>
      <w:bookmarkStart w:id="99" w:name="_Toc160009478"/>
      <w:bookmarkStart w:id="100" w:name="_Toc154063977"/>
      <w:bookmarkStart w:id="101" w:name="_Toc144131614"/>
      <w:r>
        <w:rPr>
          <w:rFonts w:eastAsia="Times New Roman" w:cs="Arial"/>
          <w:b/>
          <w:szCs w:val="24"/>
          <w:lang w:eastAsia="es-ES"/>
        </w:rPr>
        <w:t>Activos financieros al costo amortizado</w:t>
      </w:r>
      <w:bookmarkEnd w:id="98"/>
      <w:bookmarkEnd w:id="99"/>
      <w:bookmarkEnd w:id="100"/>
      <w:bookmarkEnd w:id="101"/>
    </w:p>
    <w:p w14:paraId="52980EDA"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No se pueden clasificar en esta categoría a los instrumentos de patrimonio.</w:t>
      </w:r>
    </w:p>
    <w:p w14:paraId="52980EDB"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Los instrumentos de deuda deberán clasificarse en la categoría de activos financieros al costo amortizado cuando cumplan las dos condiciones siguientes:</w:t>
      </w:r>
    </w:p>
    <w:p w14:paraId="52980EDC" w14:textId="77777777" w:rsidR="008748C1" w:rsidRDefault="00000000">
      <w:pPr>
        <w:numPr>
          <w:ilvl w:val="0"/>
          <w:numId w:val="31"/>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Los activos financieros se gestionan bajo un modelo de negocio cuyo objetivo es mantener los activos financieros para obtener los flujos de efectivo contractuales, y</w:t>
      </w:r>
    </w:p>
    <w:p w14:paraId="52980EDD" w14:textId="77777777" w:rsidR="008748C1" w:rsidRDefault="00000000">
      <w:pPr>
        <w:numPr>
          <w:ilvl w:val="0"/>
          <w:numId w:val="31"/>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las condiciones contractuales de los activos financieros dan lugar, en fechas especificadas, a flujos de efectivo que son únicamente pagos del principal e intereses sobre el importe del principal pendiente.</w:t>
      </w:r>
      <w:bookmarkStart w:id="102" w:name="_Toc144131615"/>
      <w:bookmarkStart w:id="103" w:name="_Toc160009479"/>
      <w:bookmarkStart w:id="104" w:name="_Toc154063978"/>
    </w:p>
    <w:p w14:paraId="52980EDE" w14:textId="77777777" w:rsidR="008748C1" w:rsidRDefault="008748C1">
      <w:pPr>
        <w:spacing w:after="120" w:line="240" w:lineRule="auto"/>
        <w:ind w:left="786"/>
        <w:jc w:val="both"/>
        <w:rPr>
          <w:rFonts w:eastAsia="Arial Narrow" w:cs="Arial Narrow"/>
          <w:szCs w:val="24"/>
          <w:lang w:eastAsia="es-ES"/>
        </w:rPr>
      </w:pPr>
    </w:p>
    <w:p w14:paraId="52980EDF"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Las empresas deben establecer en sus políticas de inversiones, manuales de políticas y procedimientos una calificación mínima de riesgo para sus activos financieros clasificados al costo amortizado.</w:t>
      </w:r>
    </w:p>
    <w:p w14:paraId="52980EE0"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105" w:name="_Toc170226142"/>
      <w:r>
        <w:rPr>
          <w:rFonts w:eastAsia="Times New Roman" w:cs="Arial"/>
          <w:b/>
          <w:szCs w:val="24"/>
          <w:lang w:eastAsia="es-ES"/>
        </w:rPr>
        <w:t>Activos financieros a valor razonable con cambios en otro resultado integral</w:t>
      </w:r>
      <w:bookmarkEnd w:id="102"/>
      <w:bookmarkEnd w:id="103"/>
      <w:bookmarkEnd w:id="104"/>
      <w:bookmarkEnd w:id="105"/>
    </w:p>
    <w:p w14:paraId="52980EE1"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En esta categoría se pueden clasificar a los instrumentos de deuda y también a los instrumentos de patrimonio para los que se haya hecho una elección irrevocable en el reconocimiento inicial de presentar los cambios posteriores en el valor razonable en otro resultado integral.</w:t>
      </w:r>
    </w:p>
    <w:p w14:paraId="52980EE2"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Los instrumentos deberán clasificarse en la categoría de activos financieros a valor razonable con cambios en otro resultado integral cuando cumplan las dos condiciones siguientes:</w:t>
      </w:r>
    </w:p>
    <w:p w14:paraId="52980EE3" w14:textId="77777777" w:rsidR="008748C1" w:rsidRDefault="00000000">
      <w:pPr>
        <w:numPr>
          <w:ilvl w:val="0"/>
          <w:numId w:val="32"/>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Los activos financieros se gestionan bajo un modelo de negocio cuyo objetivo se logra mediante la obtención de flujos de efectivo contractuales y la venta de activos financieros, y</w:t>
      </w:r>
    </w:p>
    <w:p w14:paraId="52980EE4" w14:textId="77777777" w:rsidR="008748C1" w:rsidRDefault="00000000">
      <w:pPr>
        <w:numPr>
          <w:ilvl w:val="0"/>
          <w:numId w:val="32"/>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las condiciones contractuales de los activos financieros dan lugar, en fechas especificadas, a flujos de efectivo que son únicamente pagos del principal e intereses sobre el importe del principal pendiente.</w:t>
      </w:r>
      <w:bookmarkStart w:id="106" w:name="_Toc144131616"/>
      <w:bookmarkStart w:id="107" w:name="_Toc160009480"/>
      <w:bookmarkStart w:id="108" w:name="_Toc154063979"/>
    </w:p>
    <w:p w14:paraId="52980EE5"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Excepcionalmente, algunos instrumentos de patrimonio pueden ser clasificados en esta categoría. El uso de esta opción se realiza instrumento por instrumento, es irrevocable y se debe realizar en el momento del reconocimiento inicial. Asimismo, estos instrumentos no deben ser mantenidos para negociar y tampoco sea una contraprestación contingente reconocida por una adquirente en una combinación de negocios a la que se aplica la NIIF 3 “Combinaciones de negocios”.</w:t>
      </w:r>
    </w:p>
    <w:p w14:paraId="52980EE6"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La empresa debe establecer en su política contable bajo que casuísticas o situaciones se utilizará esta opción, de acuerdo con los criterios establecidos en la NIIF 7 “Instrumentos Financieros: Información a Revelar”.</w:t>
      </w:r>
    </w:p>
    <w:p w14:paraId="52980EE7" w14:textId="77777777" w:rsidR="008748C1" w:rsidRDefault="00000000">
      <w:pPr>
        <w:keepNext/>
        <w:numPr>
          <w:ilvl w:val="5"/>
          <w:numId w:val="4"/>
        </w:numPr>
        <w:spacing w:before="240" w:after="120" w:line="240" w:lineRule="auto"/>
        <w:ind w:left="850" w:hanging="425"/>
        <w:jc w:val="both"/>
        <w:outlineLvl w:val="5"/>
        <w:rPr>
          <w:rFonts w:ascii="Arial" w:eastAsia="Times New Roman" w:hAnsi="Arial" w:cs="Arial"/>
          <w:szCs w:val="24"/>
          <w:lang w:eastAsia="es-ES"/>
        </w:rPr>
      </w:pPr>
      <w:bookmarkStart w:id="109" w:name="_Toc162452773"/>
      <w:bookmarkStart w:id="110" w:name="_Toc170155664"/>
      <w:bookmarkStart w:id="111" w:name="_Toc170226143"/>
      <w:r>
        <w:rPr>
          <w:rFonts w:eastAsia="Times New Roman" w:cs="Arial"/>
          <w:b/>
          <w:szCs w:val="24"/>
          <w:lang w:eastAsia="es-ES"/>
        </w:rPr>
        <w:t>Activos financieros a valor razonable mantenidos para negociar con cambios en resultados</w:t>
      </w:r>
      <w:bookmarkEnd w:id="109"/>
      <w:bookmarkEnd w:id="110"/>
      <w:bookmarkEnd w:id="111"/>
    </w:p>
    <w:p w14:paraId="52980EE8"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Un activo financiero mantenido para negociar es aquel que se compra principalmente con el objetivo de venderlo o de volver a comprarlo en un futuro cercano o que en su reconocimiento inicial es parte de una cartera de inversiones identificadas, que se gestionan conjuntamente y para la cual existe evidencia de un patrón real reciente de obtención de beneficios a corto plazo.</w:t>
      </w:r>
    </w:p>
    <w:p w14:paraId="52980EE9" w14:textId="77777777" w:rsidR="008748C1" w:rsidRDefault="00000000">
      <w:pPr>
        <w:spacing w:before="60" w:after="60" w:line="240" w:lineRule="auto"/>
        <w:ind w:left="851"/>
        <w:jc w:val="both"/>
        <w:rPr>
          <w:rFonts w:eastAsia="Times New Roman" w:cs="Times New Roman"/>
          <w:szCs w:val="24"/>
          <w:lang w:eastAsia="es-ES"/>
        </w:rPr>
      </w:pPr>
      <w:bookmarkStart w:id="112" w:name="_Hlk170150599"/>
      <w:r>
        <w:rPr>
          <w:rFonts w:eastAsia="Times New Roman" w:cs="Times New Roman"/>
          <w:szCs w:val="24"/>
          <w:lang w:eastAsia="es-ES"/>
        </w:rPr>
        <w:t>En esta categoría se pueden clasificar a los instrumentos de deuda e instrumentos de patrimonio.</w:t>
      </w:r>
    </w:p>
    <w:p w14:paraId="52980EEA"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113" w:name="_Toc144131617"/>
      <w:bookmarkStart w:id="114" w:name="_Toc160009481"/>
      <w:bookmarkStart w:id="115" w:name="_Toc154063980"/>
      <w:bookmarkStart w:id="116" w:name="_Toc170226144"/>
      <w:bookmarkEnd w:id="106"/>
      <w:bookmarkEnd w:id="107"/>
      <w:bookmarkEnd w:id="108"/>
      <w:bookmarkEnd w:id="112"/>
      <w:r>
        <w:rPr>
          <w:rFonts w:eastAsia="Times New Roman" w:cs="Arial"/>
          <w:b/>
          <w:szCs w:val="24"/>
          <w:lang w:eastAsia="es-ES"/>
        </w:rPr>
        <w:t>Activos financieros designados a valor razonable con cambios en resultados</w:t>
      </w:r>
      <w:bookmarkEnd w:id="113"/>
      <w:bookmarkEnd w:id="114"/>
      <w:bookmarkEnd w:id="115"/>
      <w:r>
        <w:rPr>
          <w:rFonts w:eastAsia="Times New Roman" w:cs="Arial"/>
          <w:b/>
          <w:szCs w:val="24"/>
          <w:lang w:eastAsia="es-ES"/>
        </w:rPr>
        <w:t xml:space="preserve"> (opción de valor razonable)</w:t>
      </w:r>
      <w:bookmarkEnd w:id="116"/>
    </w:p>
    <w:p w14:paraId="52980EEB"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Sin perjuicio de lo señalado en las categorías anteriores, la empresa podrá optar, en el momento del reconocimiento inicial y de forma irrevocable, designar sus activos financieros en la categoría de activos </w:t>
      </w:r>
      <w:r>
        <w:rPr>
          <w:rFonts w:eastAsia="Times New Roman" w:cs="Times New Roman"/>
          <w:szCs w:val="24"/>
          <w:lang w:eastAsia="es-ES"/>
        </w:rPr>
        <w:lastRenderedPageBreak/>
        <w:t>financieros designados a valor razonable con cambios en resultados, si al hacerlo elimina o reduce significativamente alguna incongruencia en la medición o en el reconocimiento (también denominada «asimetría contable») que surgiría, de otro modo, en la medición de los activos o pasivos, o del reconocimiento de las ganancias y pérdidas de los mismos sobre bases diferentes.</w:t>
      </w:r>
    </w:p>
    <w:p w14:paraId="52980EEC"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Cuando existen asimetrías contables, esta opción puede ser ejercida con independencia del modelo de negocio de la empresa para la gestión de los activos financieros y de las características de los flujos de efectivo contractuales.</w:t>
      </w:r>
    </w:p>
    <w:p w14:paraId="52980EED"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En esta categoría se pueden clasificar a los instrumentos de deuda.</w:t>
      </w:r>
    </w:p>
    <w:p w14:paraId="52980EEE"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117" w:name="_Toc170155666"/>
      <w:bookmarkStart w:id="118" w:name="_Toc170226145"/>
      <w:r>
        <w:rPr>
          <w:rFonts w:eastAsia="Times New Roman" w:cs="Arial"/>
          <w:b/>
          <w:szCs w:val="24"/>
          <w:lang w:eastAsia="es-ES"/>
        </w:rPr>
        <w:t>Activos financieros medidos obligatoriamente a valor razonable con cambios en resultados</w:t>
      </w:r>
      <w:bookmarkEnd w:id="117"/>
      <w:bookmarkEnd w:id="118"/>
      <w:r>
        <w:rPr>
          <w:rFonts w:eastAsia="Times New Roman" w:cs="Arial"/>
          <w:b/>
          <w:szCs w:val="24"/>
          <w:lang w:eastAsia="es-ES"/>
        </w:rPr>
        <w:t xml:space="preserve"> </w:t>
      </w:r>
    </w:p>
    <w:p w14:paraId="52980EEF"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Los activos financieros deberán clasificarse en esta categoría siempre que por el modelo de negocio de la empresa para la gestión de activos financieros y por las características de sus flujos de efectivo contractuales, no puedan ser clasificados como activos financieros al costo amortizado o activos financieros a valor razonable con cambios en Otro Resultado Integral.</w:t>
      </w:r>
    </w:p>
    <w:p w14:paraId="52980EF0"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En esta categoría se pueden clasificar a instrumentos de deuda, instrumentos de patrimonio y otros instrumentos, tales como el encaje por excesos de inversión, certificados de participación en fondos mutuos y fondos de inversión.</w:t>
      </w:r>
    </w:p>
    <w:p w14:paraId="52980EF1"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119" w:name="_Toc170226146"/>
      <w:r>
        <w:rPr>
          <w:rFonts w:eastAsia="Times New Roman" w:cs="Arial"/>
          <w:b/>
          <w:bCs/>
          <w:szCs w:val="24"/>
          <w:lang w:eastAsia="es-ES"/>
        </w:rPr>
        <w:t>Medición de activos financieros</w:t>
      </w:r>
      <w:bookmarkEnd w:id="119"/>
    </w:p>
    <w:p w14:paraId="52980EF2"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120" w:name="_Toc154063987"/>
      <w:bookmarkStart w:id="121" w:name="_Toc170226147"/>
      <w:bookmarkStart w:id="122" w:name="_Toc144131036"/>
      <w:bookmarkStart w:id="123" w:name="_Toc144131622"/>
      <w:bookmarkStart w:id="124" w:name="_Toc160009488"/>
      <w:r>
        <w:rPr>
          <w:rFonts w:eastAsia="Times New Roman" w:cs="Arial"/>
          <w:b/>
          <w:szCs w:val="24"/>
          <w:lang w:eastAsia="es-ES"/>
        </w:rPr>
        <w:t>Reconocimiento inicial</w:t>
      </w:r>
      <w:bookmarkEnd w:id="120"/>
      <w:bookmarkEnd w:id="121"/>
      <w:bookmarkEnd w:id="122"/>
      <w:bookmarkEnd w:id="123"/>
      <w:bookmarkEnd w:id="124"/>
    </w:p>
    <w:p w14:paraId="52980EF3" w14:textId="77777777" w:rsidR="008748C1" w:rsidRDefault="00000000">
      <w:pPr>
        <w:spacing w:before="60" w:after="60" w:line="240" w:lineRule="auto"/>
        <w:ind w:left="851"/>
        <w:jc w:val="both"/>
        <w:rPr>
          <w:rFonts w:eastAsia="Times New Roman" w:cs="Times New Roman"/>
          <w:szCs w:val="24"/>
          <w:lang w:eastAsia="es-ES"/>
        </w:rPr>
      </w:pPr>
      <w:bookmarkStart w:id="125" w:name="_Hlk159576365"/>
      <w:r>
        <w:rPr>
          <w:rFonts w:eastAsia="Times New Roman" w:cs="Times New Roman"/>
          <w:szCs w:val="24"/>
          <w:lang w:eastAsia="es-ES"/>
        </w:rPr>
        <w:t>Las transacciones de los activos financieros clasificados en cualquiera de las categorías antes descritas deben registrarse contablemente en la fecha de contratación o negociación</w:t>
      </w:r>
      <w:bookmarkEnd w:id="125"/>
      <w:r>
        <w:rPr>
          <w:rFonts w:eastAsia="Times New Roman" w:cs="Times New Roman"/>
          <w:szCs w:val="24"/>
          <w:lang w:eastAsia="es-ES"/>
        </w:rPr>
        <w:t>.</w:t>
      </w:r>
    </w:p>
    <w:p w14:paraId="52980EF4"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En el reconocimiento inicial los activos financieros se registrarán por su valor razonable, que corresponderá al precio de transacción. Si la empresa determina que el valor razonable en el momento del reconocimiento inicial difiere del precio de la transacción, realizará la contabilización del instrumento de la siguiente forma:</w:t>
      </w:r>
    </w:p>
    <w:p w14:paraId="52980EF5" w14:textId="77777777" w:rsidR="008748C1" w:rsidRDefault="00000000">
      <w:pPr>
        <w:numPr>
          <w:ilvl w:val="0"/>
          <w:numId w:val="33"/>
        </w:numPr>
        <w:spacing w:after="120" w:line="240" w:lineRule="auto"/>
        <w:ind w:left="1276" w:hanging="425"/>
        <w:jc w:val="both"/>
        <w:rPr>
          <w:rFonts w:eastAsia="Calibri" w:cs="Times New Roman"/>
          <w:szCs w:val="24"/>
          <w:lang w:eastAsia="es-ES"/>
        </w:rPr>
      </w:pPr>
      <w:r>
        <w:rPr>
          <w:rFonts w:eastAsia="Calibri" w:cs="Times New Roman"/>
          <w:szCs w:val="24"/>
          <w:lang w:eastAsia="es-ES"/>
        </w:rPr>
        <w:t>Si ese valor razonable se determina por un precio cotizado en un mercado activo para un activo idéntico (dato de entrada de Nivel 1) o se basa en una técnica de valoración que utiliza solo datos de mercados observables, la empresa reconocerá la diferencia entre el valor razonable en el momento del reconocimiento inicial y el precio de transacción como una ganancia o pérdida.</w:t>
      </w:r>
    </w:p>
    <w:p w14:paraId="52980EF6" w14:textId="77777777" w:rsidR="008748C1" w:rsidRDefault="00000000">
      <w:pPr>
        <w:numPr>
          <w:ilvl w:val="0"/>
          <w:numId w:val="33"/>
        </w:numPr>
        <w:spacing w:after="120" w:line="240" w:lineRule="auto"/>
        <w:ind w:left="1276" w:hanging="425"/>
        <w:jc w:val="both"/>
        <w:rPr>
          <w:rFonts w:eastAsia="Calibri" w:cs="Times New Roman"/>
          <w:szCs w:val="24"/>
          <w:lang w:eastAsia="es-ES"/>
        </w:rPr>
      </w:pPr>
      <w:r>
        <w:rPr>
          <w:rFonts w:eastAsia="Calibri" w:cs="Times New Roman"/>
          <w:szCs w:val="24"/>
          <w:lang w:eastAsia="es-ES"/>
        </w:rPr>
        <w:t>En los demás casos, la empresa debe contabilizar el instrumento por su valor razonable, la diferencia entre el valor razonable en el momento del reconocimiento inicial y el precio de transacción se diferirá. Posteriormente, la empresa reconocerá esa diferencia diferida como una ganancia o pérdida en resultados del ejercicio durante el periodo de la operación, sólo en la medida en que surja de un cambio en un factor (incluyendo el tiempo) que los participantes de mercado tendrían en cuenta al determinar el precio del activo.</w:t>
      </w:r>
    </w:p>
    <w:p w14:paraId="52980EF7"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Para los activos financieros que no se registren a valor razonable con cambios en resultados, el importe del valor razonable se ajustará añadiendo los costos de transacción directamente atribuibles a su adquisición.</w:t>
      </w:r>
    </w:p>
    <w:p w14:paraId="52980EF8"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26" w:name="_Toc154063988"/>
      <w:bookmarkStart w:id="127" w:name="_Toc170226148"/>
      <w:bookmarkStart w:id="128" w:name="_Toc144131623"/>
      <w:bookmarkStart w:id="129" w:name="_Toc160009489"/>
      <w:r>
        <w:rPr>
          <w:rFonts w:eastAsia="Times New Roman" w:cs="Arial"/>
          <w:b/>
          <w:bCs/>
          <w:szCs w:val="24"/>
          <w:u w:val="single"/>
          <w:lang w:eastAsia="es-ES"/>
        </w:rPr>
        <w:t>Activos financieros al costo amortizado y Activos financieros a valor razonable con cambios en Otro Resultado Integral</w:t>
      </w:r>
      <w:bookmarkEnd w:id="126"/>
      <w:bookmarkEnd w:id="127"/>
      <w:bookmarkEnd w:id="128"/>
      <w:bookmarkEnd w:id="129"/>
    </w:p>
    <w:p w14:paraId="52980EF9"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 xml:space="preserve">El registro contable inicial de los activos financieros clasificados como activos financieros al costo amortizado y activos financieros a valor razonable con cambios en Otro Resultado Integral, se efectuará </w:t>
      </w:r>
      <w:r>
        <w:rPr>
          <w:rFonts w:eastAsia="Times New Roman" w:cs="Times New Roman"/>
          <w:szCs w:val="24"/>
          <w:lang w:eastAsia="es-ES"/>
        </w:rPr>
        <w:lastRenderedPageBreak/>
        <w:t>al valor razonable incluyendo los costos de transacción que sean directamente atribuibles a la adquisición de dichos activos.</w:t>
      </w:r>
    </w:p>
    <w:p w14:paraId="52980EFA"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30" w:name="_Toc170226149"/>
      <w:bookmarkStart w:id="131" w:name="_Toc154063989"/>
      <w:bookmarkStart w:id="132" w:name="_Toc160009490"/>
      <w:bookmarkStart w:id="133" w:name="_Toc144131624"/>
      <w:r>
        <w:rPr>
          <w:rFonts w:eastAsia="Times New Roman" w:cs="Arial"/>
          <w:b/>
          <w:bCs/>
          <w:szCs w:val="24"/>
          <w:u w:val="single"/>
          <w:lang w:eastAsia="es-ES"/>
        </w:rPr>
        <w:t>Activos financieros a valor razonable con cambios en resultados</w:t>
      </w:r>
      <w:bookmarkEnd w:id="130"/>
      <w:r>
        <w:rPr>
          <w:rFonts w:eastAsia="Times New Roman" w:cs="Arial"/>
          <w:b/>
          <w:bCs/>
          <w:szCs w:val="24"/>
          <w:u w:val="single"/>
          <w:lang w:eastAsia="es-ES"/>
        </w:rPr>
        <w:t xml:space="preserve"> </w:t>
      </w:r>
      <w:bookmarkEnd w:id="131"/>
      <w:bookmarkEnd w:id="132"/>
      <w:bookmarkEnd w:id="133"/>
    </w:p>
    <w:p w14:paraId="52980EFB" w14:textId="77777777" w:rsidR="008748C1" w:rsidRDefault="00000000">
      <w:pPr>
        <w:spacing w:before="60" w:after="60" w:line="240" w:lineRule="auto"/>
        <w:ind w:left="851"/>
        <w:jc w:val="both"/>
        <w:rPr>
          <w:rFonts w:eastAsia="Times New Roman" w:cs="Times New Roman"/>
          <w:szCs w:val="24"/>
          <w:lang w:eastAsia="es-ES"/>
        </w:rPr>
      </w:pPr>
      <w:bookmarkStart w:id="134" w:name="_Toc170155671"/>
      <w:bookmarkStart w:id="135" w:name="_Toc170226150"/>
      <w:r>
        <w:rPr>
          <w:rFonts w:eastAsia="Times New Roman" w:cs="Times New Roman"/>
          <w:szCs w:val="24"/>
          <w:lang w:eastAsia="es-ES"/>
        </w:rPr>
        <w:t>El registro contable inicial de los activos financieros clasificados a valor razonable con cambios en resultados (activos financieros a valor razonable mantenidos para negociar con cambios en resultados, activos financieros designados a valor razonable con cambios en resultados y activos financieros medidos obligatoriamente a valor razonable con cambios en resultados), se efectuará al valor razonable sin considerar los costos de transacción, registrándose dichos costos como gastos.</w:t>
      </w:r>
      <w:bookmarkEnd w:id="134"/>
      <w:bookmarkEnd w:id="135"/>
    </w:p>
    <w:p w14:paraId="52980EFC"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136" w:name="_Toc170226151"/>
      <w:r>
        <w:rPr>
          <w:rFonts w:eastAsia="Times New Roman" w:cs="Arial"/>
          <w:b/>
          <w:szCs w:val="24"/>
          <w:lang w:eastAsia="es-ES"/>
        </w:rPr>
        <w:t>Reconocimiento posterior</w:t>
      </w:r>
      <w:bookmarkEnd w:id="136"/>
    </w:p>
    <w:p w14:paraId="52980EFD"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Después del reconocimiento inicial, una empresa deberá contabilizar sus activos financieros tomando en cuenta la categoría en la cual se encuentren clasificadas, al costo amortizado, a valor razonable con cambios en otro resultado integral o a valor razonable con cambios en resultados (activos financieros a valor razonable mantenidos para negociar con cambios en resultados, activos financieros designados a valor razonable con cambios en resultados y activos financieros medidos obligatoriamente a valor razonable con cambios en resultados).</w:t>
      </w:r>
    </w:p>
    <w:p w14:paraId="52980EFE"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Para efectos de determinar el valor razonable, se deberán seguir los lineamientos establecidos en la sección Valor Razonable - Activos y Pasivos Financieros.</w:t>
      </w:r>
    </w:p>
    <w:p w14:paraId="52980EFF"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37" w:name="_Toc144131626"/>
      <w:bookmarkStart w:id="138" w:name="_Toc160009492"/>
      <w:bookmarkStart w:id="139" w:name="_Toc170226152"/>
      <w:bookmarkStart w:id="140" w:name="_Toc154063991"/>
      <w:r>
        <w:rPr>
          <w:rFonts w:eastAsia="Times New Roman" w:cs="Arial"/>
          <w:b/>
          <w:bCs/>
          <w:szCs w:val="24"/>
          <w:u w:val="single"/>
          <w:lang w:eastAsia="es-ES"/>
        </w:rPr>
        <w:t>Activos financieros al costo amortizado</w:t>
      </w:r>
      <w:bookmarkEnd w:id="137"/>
      <w:r>
        <w:rPr>
          <w:rFonts w:eastAsia="Times New Roman" w:cs="Arial"/>
          <w:b/>
          <w:bCs/>
          <w:szCs w:val="24"/>
          <w:u w:val="single"/>
          <w:lang w:eastAsia="es-ES"/>
        </w:rPr>
        <w:t xml:space="preserve"> (aplicable únicamente a instrumentos de deuda)</w:t>
      </w:r>
      <w:bookmarkEnd w:id="138"/>
      <w:bookmarkEnd w:id="139"/>
      <w:bookmarkEnd w:id="140"/>
    </w:p>
    <w:p w14:paraId="52980F00" w14:textId="77777777" w:rsidR="008748C1" w:rsidRDefault="00000000">
      <w:pPr>
        <w:numPr>
          <w:ilvl w:val="0"/>
          <w:numId w:val="34"/>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 xml:space="preserve">Medición al costo amortizado </w:t>
      </w:r>
    </w:p>
    <w:p w14:paraId="52980F01"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La empresa medirá sus activos financieros clasificados en esta categoría, al costo amortizado, utilizando el método de la tasa de interés efectiva. </w:t>
      </w:r>
    </w:p>
    <w:p w14:paraId="52980F02"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ingresos por intereses se registrarán en el resultado del periodo y deberán calcularse utilizando la metodología de la tasa de interés efectiva. Esta deberá calcularse aplicando la tasa de interés efectiva al importe en libros bruto del activo financiero, excepto para:</w:t>
      </w:r>
    </w:p>
    <w:p w14:paraId="52980F03" w14:textId="77777777" w:rsidR="008748C1" w:rsidRDefault="00000000">
      <w:pPr>
        <w:numPr>
          <w:ilvl w:val="0"/>
          <w:numId w:val="35"/>
        </w:numPr>
        <w:spacing w:before="20" w:after="20" w:line="240" w:lineRule="auto"/>
        <w:jc w:val="both"/>
        <w:rPr>
          <w:rFonts w:eastAsia="Calibri" w:cs="Times New Roman"/>
          <w:szCs w:val="24"/>
          <w:lang w:eastAsia="es-ES"/>
        </w:rPr>
      </w:pPr>
      <w:r>
        <w:rPr>
          <w:rFonts w:eastAsia="Calibri" w:cs="Times New Roman"/>
          <w:szCs w:val="24"/>
          <w:lang w:eastAsia="es-ES"/>
        </w:rPr>
        <w:t>Activos financieros comprados u originados con deterioro de valor crediticio. Para estos activos financieros, la empresa aplicará la tasa de interés efectiva ajustada por calidad crediticia al costo amortizado del activo financiero desde el reconocimiento inicial.</w:t>
      </w:r>
    </w:p>
    <w:p w14:paraId="52980F04" w14:textId="77777777" w:rsidR="008748C1" w:rsidRDefault="00000000">
      <w:pPr>
        <w:numPr>
          <w:ilvl w:val="0"/>
          <w:numId w:val="35"/>
        </w:numPr>
        <w:spacing w:before="20" w:after="20" w:line="240" w:lineRule="auto"/>
        <w:jc w:val="both"/>
        <w:rPr>
          <w:rFonts w:eastAsia="Calibri" w:cs="Times New Roman"/>
          <w:szCs w:val="24"/>
          <w:lang w:eastAsia="es-ES"/>
        </w:rPr>
      </w:pPr>
      <w:r>
        <w:rPr>
          <w:rFonts w:eastAsia="Calibri" w:cs="Times New Roman"/>
          <w:szCs w:val="24"/>
          <w:lang w:eastAsia="es-ES"/>
        </w:rPr>
        <w:t>Activos financieros que no son activos financieros con deterioro de valor crediticio comprados u originados pero que posteriormente se han convertido en activos financieros con deterioro de valor crediticio. Para estos activos financieros, la empresa aplicará la tasa de interés efectiva al costo amortizado del activo financiero en los periodos de presentación posteriores, salvo si el riesgo crediticio sobre el instrumento de deuda mejora, de forma que el activo financiero deja de tener un deterioro de valor crediticio y la mejora puede estar relacionada de forma objetiva con un suceso que ocurre después.</w:t>
      </w:r>
    </w:p>
    <w:p w14:paraId="52980F05" w14:textId="77777777" w:rsidR="008748C1" w:rsidRDefault="00000000">
      <w:pPr>
        <w:numPr>
          <w:ilvl w:val="0"/>
          <w:numId w:val="34"/>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Ganancias y pérdidas</w:t>
      </w:r>
    </w:p>
    <w:p w14:paraId="52980F06"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intereses devengados se registrarán en el resultado del periodo y deberán calcularse utilizando la metodología de la tasa de interés efectiva. </w:t>
      </w:r>
    </w:p>
    <w:p w14:paraId="52980F07"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Para los activos financieros que se ubiquen en las fases 1 y 2 de deterioro de valor, los intereses se calculan sobre el importe bruto del activo, mientras que para los activos financieros que se ubiquen en la fase 3 de deterioro de valor, los intereses se calculan sobre el importe neto de deterioro, en línea con lo señalado en la sección “Deterioro de activos financieros”.</w:t>
      </w:r>
    </w:p>
    <w:p w14:paraId="52980F08" w14:textId="77777777" w:rsidR="008748C1" w:rsidRDefault="008748C1">
      <w:pPr>
        <w:autoSpaceDE w:val="0"/>
        <w:autoSpaceDN w:val="0"/>
        <w:adjustRightInd w:val="0"/>
        <w:spacing w:before="60" w:after="60" w:line="240" w:lineRule="auto"/>
        <w:ind w:left="1276"/>
        <w:jc w:val="both"/>
        <w:rPr>
          <w:rFonts w:eastAsia="Calibri" w:cs="Arial"/>
          <w:szCs w:val="24"/>
          <w:lang w:eastAsia="es-ES"/>
        </w:rPr>
      </w:pPr>
    </w:p>
    <w:p w14:paraId="52980F09"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lastRenderedPageBreak/>
        <w:t>El resultado del periodo no será afectado por reconocimientos de ganancias ni de pérdidas por el aumento o disminución en el valor razonable de los instrumentos clasificados dentro de esta categoría.  </w:t>
      </w:r>
    </w:p>
    <w:p w14:paraId="52980F0A"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Sin perjuicio de lo dispuesto en el párrafo anterior, cuando el instrumento se haya dado de baja o se haya deteriorado, las ganancias o pérdidas correspondientes se reconocerán en el resultado del periodo.  </w:t>
      </w:r>
    </w:p>
    <w:p w14:paraId="52980F0B" w14:textId="77777777" w:rsidR="008748C1" w:rsidRDefault="00000000">
      <w:pPr>
        <w:numPr>
          <w:ilvl w:val="0"/>
          <w:numId w:val="34"/>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 </w:t>
      </w:r>
    </w:p>
    <w:p w14:paraId="52980F0C"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se reconocerán en el resultado del periodo, siempre que no se trate de operaciones de cobertura. </w:t>
      </w:r>
    </w:p>
    <w:p w14:paraId="52980F0D" w14:textId="77777777" w:rsidR="008748C1" w:rsidRDefault="00000000">
      <w:pPr>
        <w:numPr>
          <w:ilvl w:val="0"/>
          <w:numId w:val="34"/>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Pérdidas y reversiones por deterioro de valor</w:t>
      </w:r>
    </w:p>
    <w:p w14:paraId="52980F0E"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Para los activos financieros que se midan al costo amortizado, las pérdidas y reversiones de las pérdidas crediticias esperadas se reconocen en resultados del ejercicio y la corrección de valor del instrumento deben reconocerse en la cuenta correctora correspondiente. El importe de las pérdidas crediticias esperadas se actualiza en cada fecha de presentación para reflejar cambios en el riesgo crediticio.</w:t>
      </w:r>
    </w:p>
    <w:p w14:paraId="52980F0F"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En el caso de los activos financieros con deterioro de valor comprados u originados, el tratamiento contable se ceñirá de acuerdo con los lineamientos específicos señalados en la presente sección.</w:t>
      </w:r>
    </w:p>
    <w:p w14:paraId="52980F10"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41" w:name="_Toc144131627"/>
      <w:bookmarkStart w:id="142" w:name="_Toc154063992"/>
      <w:bookmarkStart w:id="143" w:name="_Toc160009493"/>
      <w:bookmarkStart w:id="144" w:name="_Toc170226153"/>
      <w:r>
        <w:rPr>
          <w:rFonts w:eastAsia="Times New Roman" w:cs="Arial"/>
          <w:b/>
          <w:bCs/>
          <w:szCs w:val="24"/>
          <w:u w:val="single"/>
          <w:lang w:eastAsia="es-ES"/>
        </w:rPr>
        <w:t>Activos financieros a valor razonable con cambios en Otro Resultado Integral</w:t>
      </w:r>
      <w:bookmarkEnd w:id="141"/>
      <w:bookmarkEnd w:id="142"/>
      <w:bookmarkEnd w:id="143"/>
      <w:bookmarkEnd w:id="144"/>
    </w:p>
    <w:p w14:paraId="52980F11" w14:textId="77777777" w:rsidR="008748C1" w:rsidRDefault="00000000">
      <w:pPr>
        <w:keepNext/>
        <w:spacing w:before="120" w:after="120" w:line="240" w:lineRule="auto"/>
        <w:ind w:left="851"/>
        <w:outlineLvl w:val="7"/>
        <w:rPr>
          <w:rFonts w:eastAsia="Times New Roman" w:cs="Arial"/>
          <w:b/>
          <w:bCs/>
          <w:i/>
          <w:iCs/>
          <w:szCs w:val="24"/>
          <w:lang w:eastAsia="es-ES"/>
        </w:rPr>
      </w:pPr>
      <w:bookmarkStart w:id="145" w:name="_Toc154063993"/>
      <w:bookmarkStart w:id="146" w:name="_Toc160009494"/>
      <w:bookmarkStart w:id="147" w:name="_Toc144131628"/>
      <w:bookmarkStart w:id="148" w:name="_Toc170226154"/>
      <w:r>
        <w:rPr>
          <w:rFonts w:eastAsia="Times New Roman" w:cs="Arial"/>
          <w:b/>
          <w:bCs/>
          <w:i/>
          <w:iCs/>
          <w:szCs w:val="24"/>
          <w:lang w:eastAsia="es-ES"/>
        </w:rPr>
        <w:t>Instrumentos de Deuda</w:t>
      </w:r>
      <w:bookmarkEnd w:id="145"/>
      <w:bookmarkEnd w:id="146"/>
      <w:bookmarkEnd w:id="147"/>
      <w:bookmarkEnd w:id="148"/>
    </w:p>
    <w:p w14:paraId="52980F12" w14:textId="77777777" w:rsidR="008748C1" w:rsidRDefault="00000000">
      <w:pPr>
        <w:numPr>
          <w:ilvl w:val="0"/>
          <w:numId w:val="36"/>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Valorización a valor razonable</w:t>
      </w:r>
    </w:p>
    <w:p w14:paraId="52980F13"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valuación de los instrumentos de deuda clasificados en esta categoría se efectuará a valor razonable.</w:t>
      </w:r>
    </w:p>
    <w:p w14:paraId="52980F14"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Previamente a la valorización a valor razonable, las empresas deben actualizar contablemente la inversión al costo amortizado aplicando la metodología de la tasa de interés efectiva y a partir del costo amortizado obtenido se debe reconocer las ganancias y pérdidas por la variación a valor razonable.</w:t>
      </w:r>
    </w:p>
    <w:p w14:paraId="52980F15" w14:textId="77777777" w:rsidR="008748C1" w:rsidRDefault="00000000">
      <w:pPr>
        <w:numPr>
          <w:ilvl w:val="0"/>
          <w:numId w:val="36"/>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 xml:space="preserve">Intereses </w:t>
      </w:r>
    </w:p>
    <w:p w14:paraId="52980F16"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intereses devengados calculados utilizando la metodología de la tasa de interés efectiva se reconocerán en el resultado del periodo.</w:t>
      </w:r>
    </w:p>
    <w:p w14:paraId="52980F17"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Para los activos financieros que se ubiquen en las fases 1 y 2 de deterioro de valor, los intereses se calculan sobre el importe bruto del activo, mientras que para los activos financieros que se ubiquen en la fase 3 de deterioro de valor, los intereses se calculan sobre el importe neto de deterioro, en línea con lo señalado en la sección “Deterioro de activos financieros”.</w:t>
      </w:r>
    </w:p>
    <w:p w14:paraId="52980F18" w14:textId="77777777" w:rsidR="008748C1" w:rsidRDefault="008748C1">
      <w:pPr>
        <w:autoSpaceDE w:val="0"/>
        <w:autoSpaceDN w:val="0"/>
        <w:adjustRightInd w:val="0"/>
        <w:spacing w:before="60" w:after="60" w:line="240" w:lineRule="auto"/>
        <w:ind w:left="1276"/>
        <w:jc w:val="both"/>
        <w:rPr>
          <w:rFonts w:eastAsia="Calibri" w:cs="Arial"/>
          <w:szCs w:val="24"/>
          <w:lang w:eastAsia="es-ES"/>
        </w:rPr>
      </w:pPr>
    </w:p>
    <w:p w14:paraId="52980F19" w14:textId="77777777" w:rsidR="008748C1" w:rsidRDefault="00000000">
      <w:pPr>
        <w:numPr>
          <w:ilvl w:val="0"/>
          <w:numId w:val="36"/>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Ganancias y pérdidas por valor razonable</w:t>
      </w:r>
    </w:p>
    <w:p w14:paraId="52980F1A"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La ganancia o pérdida originada por la fluctuación del valor razonable del instrumento de deuda clasificado en esta categoría, se presentará en otro resultado integral hasta que el instrumento sea dado de baja en cuentas o se reclasifique, momento en el cual la ganancia o pérdida no realizada se reclasificará del patrimonio al resultado del periodo.  </w:t>
      </w:r>
    </w:p>
    <w:p w14:paraId="52980F1B" w14:textId="77777777" w:rsidR="008748C1" w:rsidRDefault="00000000">
      <w:pPr>
        <w:numPr>
          <w:ilvl w:val="0"/>
          <w:numId w:val="36"/>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w:t>
      </w:r>
    </w:p>
    <w:p w14:paraId="52980F1C"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relacionadas al costo amortizado afectarán el resultado del periodo, siempre que no se trate de instrumentos utilizados para fines de cobertura. Para dicho efecto, se seguirá el siguiente procedimiento:</w:t>
      </w:r>
    </w:p>
    <w:p w14:paraId="52980F1D" w14:textId="77777777" w:rsidR="008748C1" w:rsidRDefault="00000000">
      <w:pPr>
        <w:numPr>
          <w:ilvl w:val="0"/>
          <w:numId w:val="37"/>
        </w:numPr>
        <w:tabs>
          <w:tab w:val="left" w:pos="1560"/>
        </w:tabs>
        <w:autoSpaceDE w:val="0"/>
        <w:autoSpaceDN w:val="0"/>
        <w:adjustRightInd w:val="0"/>
        <w:spacing w:before="60" w:after="60" w:line="240" w:lineRule="auto"/>
        <w:ind w:left="1560"/>
        <w:jc w:val="both"/>
        <w:rPr>
          <w:rFonts w:eastAsia="Calibri" w:cs="Arial"/>
          <w:szCs w:val="24"/>
          <w:lang w:eastAsia="es-ES"/>
        </w:rPr>
      </w:pPr>
      <w:r>
        <w:rPr>
          <w:rFonts w:eastAsia="Calibri" w:cs="Arial"/>
          <w:szCs w:val="24"/>
          <w:lang w:eastAsia="es-ES"/>
        </w:rPr>
        <w:t>Primero, se debe determinar la diferencia entre:</w:t>
      </w:r>
    </w:p>
    <w:p w14:paraId="52980F1E" w14:textId="77777777" w:rsidR="008748C1" w:rsidRDefault="00000000">
      <w:pPr>
        <w:numPr>
          <w:ilvl w:val="0"/>
          <w:numId w:val="38"/>
        </w:numPr>
        <w:spacing w:before="20" w:after="20" w:line="240" w:lineRule="auto"/>
        <w:jc w:val="both"/>
        <w:rPr>
          <w:rFonts w:eastAsia="Calibri" w:cs="Times New Roman"/>
          <w:szCs w:val="24"/>
          <w:lang w:eastAsia="es-ES"/>
        </w:rPr>
      </w:pPr>
      <w:r>
        <w:rPr>
          <w:rFonts w:eastAsia="Calibri" w:cs="Times New Roman"/>
          <w:szCs w:val="24"/>
          <w:lang w:eastAsia="es-ES"/>
        </w:rPr>
        <w:lastRenderedPageBreak/>
        <w:t>El costo amortizado en moneda nacional a la fecha de reporte, utilizando el tipo de cambio contable de cierre; y,</w:t>
      </w:r>
    </w:p>
    <w:p w14:paraId="52980F1F" w14:textId="77777777" w:rsidR="008748C1" w:rsidRDefault="00000000">
      <w:pPr>
        <w:numPr>
          <w:ilvl w:val="0"/>
          <w:numId w:val="38"/>
        </w:numPr>
        <w:spacing w:before="20" w:after="20" w:line="240" w:lineRule="auto"/>
        <w:jc w:val="both"/>
        <w:rPr>
          <w:rFonts w:eastAsia="Calibri" w:cs="Times New Roman"/>
          <w:szCs w:val="24"/>
          <w:lang w:eastAsia="es-ES"/>
        </w:rPr>
      </w:pPr>
      <w:r>
        <w:rPr>
          <w:rFonts w:eastAsia="Calibri" w:cs="Times New Roman"/>
          <w:szCs w:val="24"/>
          <w:lang w:eastAsia="es-ES"/>
        </w:rPr>
        <w:t>El costo amortizado del periodo anterior utilizando el tipo de cambio de cierre de dicho periodo, más los intereses devengados desde la fecha de reporte anterior hasta la fecha de reporte, usando el tipo de cambio promedio o de cierre del periodo, menos los intereses cobrados desde la fecha de reporte anterior hasta la fecha de reporte, usando el tipo de cambio de la fecha de la transacción.</w:t>
      </w:r>
    </w:p>
    <w:p w14:paraId="52980F20"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Dicha diferencia debe reconocerse como una ganancia o pérdida por diferencia de cambio, en cuentas de resultado del periodo.</w:t>
      </w:r>
    </w:p>
    <w:p w14:paraId="52980F21" w14:textId="77777777" w:rsidR="008748C1" w:rsidRDefault="00000000">
      <w:pPr>
        <w:numPr>
          <w:ilvl w:val="0"/>
          <w:numId w:val="37"/>
        </w:numPr>
        <w:tabs>
          <w:tab w:val="left" w:pos="1560"/>
        </w:tabs>
        <w:autoSpaceDE w:val="0"/>
        <w:autoSpaceDN w:val="0"/>
        <w:adjustRightInd w:val="0"/>
        <w:spacing w:before="60" w:after="60" w:line="240" w:lineRule="auto"/>
        <w:ind w:left="1560"/>
        <w:jc w:val="both"/>
        <w:rPr>
          <w:rFonts w:eastAsia="Calibri" w:cs="Arial"/>
          <w:szCs w:val="24"/>
          <w:lang w:eastAsia="es-ES"/>
        </w:rPr>
      </w:pPr>
      <w:r>
        <w:rPr>
          <w:rFonts w:eastAsia="Calibri" w:cs="Arial"/>
          <w:szCs w:val="24"/>
          <w:lang w:eastAsia="es-ES"/>
        </w:rPr>
        <w:t>Segundo, se debe determinar el valor razonable de la inversión a la fecha de reporte y expresarlo en moneda nacional al tipo de cambio contable de cierre, donde la diferencia entre el valor razonable en moneda nacional y el costo amortizado en moneda nacional (resultante del ajuste del punto anterior) a la fecha de reporte se debe reconocer como ganancia o pérdida por fluctuación de valor, según corresponda, en cuentas patrimoniales (ganancia o pérdida no realizada), presentándose en el Otro Resultado Integral.</w:t>
      </w:r>
    </w:p>
    <w:p w14:paraId="52980F22" w14:textId="77777777" w:rsidR="008748C1" w:rsidRDefault="00000000">
      <w:pPr>
        <w:numPr>
          <w:ilvl w:val="0"/>
          <w:numId w:val="36"/>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Pérdidas y reversiones por deterioro de valor</w:t>
      </w:r>
    </w:p>
    <w:p w14:paraId="52980F23"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Para los activos financieros que se midan al valor razonable con cambios en otro resultado integral, las pérdidas y reversiones por pérdidas crediticias esperadas se reconocen en resultados del ejercicio; sin embargo, la corrección de valor del instrumento debe reconocerse en otro resultado integral y no reducirá el importe en libros del activo financiero en el estado de situación financiera. El importe de las pérdidas crediticias esperadas se actualiza en cada fecha de presentación de los estados financieros a la Superintendencia para reflejar cambios en el riesgo crediticio.</w:t>
      </w:r>
    </w:p>
    <w:p w14:paraId="52980F24"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En el caso de los activos financieros con deterioro de valor comprados u originados, el tratamiento contable se ceñirá de acuerdo con los lineamientos específicos señalados en la presente sección, en Deterioro de activos financieros.</w:t>
      </w:r>
    </w:p>
    <w:p w14:paraId="52980F25" w14:textId="77777777" w:rsidR="008748C1" w:rsidRDefault="008748C1">
      <w:pPr>
        <w:autoSpaceDE w:val="0"/>
        <w:autoSpaceDN w:val="0"/>
        <w:adjustRightInd w:val="0"/>
        <w:spacing w:before="60" w:after="60" w:line="240" w:lineRule="auto"/>
        <w:ind w:left="1276"/>
        <w:jc w:val="both"/>
        <w:rPr>
          <w:rFonts w:eastAsia="Calibri" w:cs="Arial"/>
          <w:szCs w:val="24"/>
          <w:lang w:eastAsia="es-ES"/>
        </w:rPr>
      </w:pPr>
    </w:p>
    <w:p w14:paraId="52980F26" w14:textId="77777777" w:rsidR="008748C1" w:rsidRDefault="00000000">
      <w:pPr>
        <w:keepNext/>
        <w:spacing w:before="120" w:after="120" w:line="240" w:lineRule="auto"/>
        <w:ind w:left="851"/>
        <w:outlineLvl w:val="7"/>
        <w:rPr>
          <w:rFonts w:eastAsia="Times New Roman" w:cs="Arial"/>
          <w:b/>
          <w:bCs/>
          <w:i/>
          <w:iCs/>
          <w:szCs w:val="24"/>
          <w:lang w:eastAsia="es-ES"/>
        </w:rPr>
      </w:pPr>
      <w:bookmarkStart w:id="149" w:name="_Toc144131629"/>
      <w:bookmarkStart w:id="150" w:name="_Toc154063994"/>
      <w:bookmarkStart w:id="151" w:name="_Toc160009495"/>
      <w:bookmarkStart w:id="152" w:name="_Toc170226155"/>
      <w:r>
        <w:rPr>
          <w:rFonts w:eastAsia="Times New Roman" w:cs="Arial"/>
          <w:b/>
          <w:bCs/>
          <w:i/>
          <w:iCs/>
          <w:szCs w:val="24"/>
          <w:lang w:eastAsia="es-ES"/>
        </w:rPr>
        <w:t>Instrumentos de Patrimonio</w:t>
      </w:r>
      <w:bookmarkEnd w:id="149"/>
      <w:bookmarkEnd w:id="150"/>
      <w:bookmarkEnd w:id="151"/>
      <w:bookmarkEnd w:id="152"/>
    </w:p>
    <w:p w14:paraId="52980F27" w14:textId="77777777" w:rsidR="008748C1" w:rsidRDefault="00000000">
      <w:pPr>
        <w:numPr>
          <w:ilvl w:val="0"/>
          <w:numId w:val="39"/>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Valorización a valor razonable</w:t>
      </w:r>
    </w:p>
    <w:p w14:paraId="52980F28"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Si la empresa opta, en el reconocimiento inicial y de forma irrevocable, de clasificar a sus instrumentos de patrimonio sin fines de negociación, en la categoría de activos financieros a valor razonable con cambios en otro resultado integral, la valuación de dichos activos financieros se efectuará a valor razonable</w:t>
      </w:r>
      <w:bookmarkStart w:id="153" w:name="_Hlk160048210"/>
      <w:r>
        <w:rPr>
          <w:rFonts w:eastAsia="Calibri" w:cs="Arial"/>
          <w:szCs w:val="24"/>
          <w:lang w:eastAsia="es-ES"/>
        </w:rPr>
        <w:t>.</w:t>
      </w:r>
    </w:p>
    <w:bookmarkEnd w:id="153"/>
    <w:p w14:paraId="52980F29" w14:textId="77777777" w:rsidR="008748C1" w:rsidRDefault="00000000">
      <w:pPr>
        <w:numPr>
          <w:ilvl w:val="0"/>
          <w:numId w:val="39"/>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Ganancias y pérdidas por valor razonable</w:t>
      </w:r>
    </w:p>
    <w:p w14:paraId="52980F2A"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ganancia o pérdida originada por la fluctuación del valor razonable del instrumento de patrimonio clasificado en esta categoría, se presentará en otro resultado integral, no pudiendo reclasificarse posteriormente al resultado del periodo; sin embargo, pueden ser transferidos a ganancias o pérdidas acumuladas dentro del patrimonio.</w:t>
      </w:r>
    </w:p>
    <w:p w14:paraId="52980F2B" w14:textId="77777777" w:rsidR="008748C1" w:rsidRDefault="00000000">
      <w:pPr>
        <w:numPr>
          <w:ilvl w:val="0"/>
          <w:numId w:val="39"/>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w:t>
      </w:r>
    </w:p>
    <w:p w14:paraId="52980F2C"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 de cambio se presentarán en el Otro Resultado Integral contabilizándose en cuentas patrimoniales, siempre que no se trate de operaciones de cobertura.</w:t>
      </w:r>
    </w:p>
    <w:p w14:paraId="52980F2D" w14:textId="77777777" w:rsidR="008748C1" w:rsidRDefault="00000000">
      <w:pPr>
        <w:numPr>
          <w:ilvl w:val="0"/>
          <w:numId w:val="39"/>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Dividendos</w:t>
      </w:r>
    </w:p>
    <w:p w14:paraId="52980F2E"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dividendos se reconocerán en resultados del ejercicio solo cuando:</w:t>
      </w:r>
    </w:p>
    <w:p w14:paraId="52980F2F" w14:textId="77777777" w:rsidR="008748C1" w:rsidRDefault="00000000">
      <w:pPr>
        <w:numPr>
          <w:ilvl w:val="0"/>
          <w:numId w:val="40"/>
        </w:numPr>
        <w:spacing w:before="20" w:after="20" w:line="240" w:lineRule="auto"/>
        <w:jc w:val="both"/>
        <w:rPr>
          <w:rFonts w:eastAsia="Calibri" w:cs="Times New Roman"/>
          <w:szCs w:val="24"/>
          <w:lang w:eastAsia="es-ES"/>
        </w:rPr>
      </w:pPr>
      <w:r>
        <w:rPr>
          <w:rFonts w:eastAsia="Calibri" w:cs="Times New Roman"/>
          <w:szCs w:val="24"/>
          <w:lang w:eastAsia="es-ES"/>
        </w:rPr>
        <w:t>se establezca el derecho de la empresa a recibir el pago del dividendo;</w:t>
      </w:r>
    </w:p>
    <w:p w14:paraId="52980F30" w14:textId="77777777" w:rsidR="008748C1" w:rsidRDefault="00000000">
      <w:pPr>
        <w:numPr>
          <w:ilvl w:val="0"/>
          <w:numId w:val="40"/>
        </w:numPr>
        <w:spacing w:before="20" w:after="20" w:line="240" w:lineRule="auto"/>
        <w:jc w:val="both"/>
        <w:rPr>
          <w:rFonts w:eastAsia="Calibri" w:cs="Times New Roman"/>
          <w:szCs w:val="24"/>
          <w:lang w:eastAsia="es-ES"/>
        </w:rPr>
      </w:pPr>
      <w:r>
        <w:rPr>
          <w:rFonts w:eastAsia="Calibri" w:cs="Times New Roman"/>
          <w:szCs w:val="24"/>
          <w:lang w:eastAsia="es-ES"/>
        </w:rPr>
        <w:t>sea probable que la empresa reciba los beneficios económicos asociados con el dividendo; y</w:t>
      </w:r>
    </w:p>
    <w:p w14:paraId="52980F31" w14:textId="77777777" w:rsidR="008748C1" w:rsidRDefault="00000000">
      <w:pPr>
        <w:numPr>
          <w:ilvl w:val="0"/>
          <w:numId w:val="40"/>
        </w:numPr>
        <w:spacing w:before="20" w:after="20" w:line="240" w:lineRule="auto"/>
        <w:jc w:val="both"/>
        <w:rPr>
          <w:rFonts w:eastAsia="Calibri" w:cs="Times New Roman"/>
          <w:szCs w:val="24"/>
          <w:lang w:eastAsia="es-ES"/>
        </w:rPr>
      </w:pPr>
      <w:r>
        <w:rPr>
          <w:rFonts w:eastAsia="Calibri" w:cs="Times New Roman"/>
          <w:szCs w:val="24"/>
          <w:lang w:eastAsia="es-ES"/>
        </w:rPr>
        <w:lastRenderedPageBreak/>
        <w:t>el importe del dividendo pueda ser medido de forma fiable.</w:t>
      </w:r>
    </w:p>
    <w:p w14:paraId="52980F32"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Salvo que representen una recuperación de parte del costo de la inversión.</w:t>
      </w:r>
    </w:p>
    <w:p w14:paraId="52980F33"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dividendos recibidos en acciones se deben reconocer a su costo de adquisición (cero) debiendo modificarse el costo promedio unitario (no el total) y la valorización posterior se registrará en cuentas de resultados del ejercicio.</w:t>
      </w:r>
    </w:p>
    <w:p w14:paraId="52980F34"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54" w:name="_Toc170226156"/>
      <w:bookmarkStart w:id="155" w:name="_Toc170155676"/>
      <w:r>
        <w:rPr>
          <w:rFonts w:eastAsia="Times New Roman" w:cs="Arial"/>
          <w:b/>
          <w:bCs/>
          <w:szCs w:val="24"/>
          <w:u w:val="single"/>
          <w:lang w:eastAsia="es-ES"/>
        </w:rPr>
        <w:t>Activos financieros a valor razonable mantenidos para negociar con cambios en resultados</w:t>
      </w:r>
      <w:bookmarkEnd w:id="154"/>
      <w:r>
        <w:rPr>
          <w:rFonts w:eastAsia="Times New Roman" w:cs="Arial"/>
          <w:b/>
          <w:bCs/>
          <w:szCs w:val="24"/>
          <w:u w:val="single"/>
          <w:lang w:eastAsia="es-ES"/>
        </w:rPr>
        <w:t xml:space="preserve"> </w:t>
      </w:r>
    </w:p>
    <w:p w14:paraId="52980F35" w14:textId="77777777" w:rsidR="008748C1" w:rsidRDefault="00000000">
      <w:pPr>
        <w:keepNext/>
        <w:spacing w:before="120" w:after="120" w:line="240" w:lineRule="auto"/>
        <w:ind w:left="851"/>
        <w:outlineLvl w:val="7"/>
        <w:rPr>
          <w:rFonts w:eastAsia="Times New Roman" w:cs="Arial"/>
          <w:i/>
          <w:iCs/>
          <w:szCs w:val="24"/>
          <w:lang w:eastAsia="es-ES"/>
        </w:rPr>
      </w:pPr>
      <w:bookmarkStart w:id="156" w:name="_Toc170226157"/>
      <w:r>
        <w:rPr>
          <w:rFonts w:eastAsia="Times New Roman" w:cs="Arial"/>
          <w:b/>
          <w:bCs/>
          <w:i/>
          <w:iCs/>
          <w:szCs w:val="24"/>
          <w:lang w:eastAsia="es-ES"/>
        </w:rPr>
        <w:t>Instrumentos de deuda</w:t>
      </w:r>
      <w:bookmarkEnd w:id="155"/>
      <w:bookmarkEnd w:id="156"/>
    </w:p>
    <w:p w14:paraId="52980F36" w14:textId="77777777" w:rsidR="008748C1" w:rsidRDefault="00000000">
      <w:pPr>
        <w:numPr>
          <w:ilvl w:val="0"/>
          <w:numId w:val="41"/>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Valorización a valor razonable</w:t>
      </w:r>
    </w:p>
    <w:p w14:paraId="52980F37"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valuación de los activos financieros clasificados en esta categoría se efectuará a valor razonable.</w:t>
      </w:r>
    </w:p>
    <w:p w14:paraId="52980F38" w14:textId="77777777" w:rsidR="008748C1" w:rsidRDefault="00000000">
      <w:pPr>
        <w:numPr>
          <w:ilvl w:val="0"/>
          <w:numId w:val="41"/>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Ganancias o pérdidas por valor razonable</w:t>
      </w:r>
    </w:p>
    <w:p w14:paraId="52980F39"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Cuando el valor razonable exceda el valor en libros se reconocerá una ganancia por fluctuación de valor, de lo contrario se reconocerá una pérdida por fluctuación de valor. En ambos casos, dicha fluctuación afectará a los resultados del ejercicio. </w:t>
      </w:r>
    </w:p>
    <w:p w14:paraId="52980F3A" w14:textId="77777777" w:rsidR="008748C1" w:rsidRDefault="00000000">
      <w:pPr>
        <w:numPr>
          <w:ilvl w:val="0"/>
          <w:numId w:val="41"/>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Intereses</w:t>
      </w:r>
    </w:p>
    <w:p w14:paraId="52980F3B"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Los ingresos por intereses se calculan aplicando la tasa de interés contractual sobre el valor nominal o descontando los reembolsos del principal en caso se hubiera producido. Estos intereses forman parte de la fluctuación del valor razonable de dicho instrumento. </w:t>
      </w:r>
    </w:p>
    <w:p w14:paraId="52980F3C" w14:textId="77777777" w:rsidR="008748C1" w:rsidRDefault="00000000">
      <w:pPr>
        <w:numPr>
          <w:ilvl w:val="0"/>
          <w:numId w:val="41"/>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w:t>
      </w:r>
    </w:p>
    <w:p w14:paraId="52980F3D"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forman parte de la fluctuación de valor razonable y se reconocerán contra resultados del ejercicio siempre que no se trate de operaciones de cobertura.</w:t>
      </w:r>
    </w:p>
    <w:p w14:paraId="52980F3E" w14:textId="77777777" w:rsidR="008748C1" w:rsidRDefault="008748C1">
      <w:pPr>
        <w:autoSpaceDE w:val="0"/>
        <w:autoSpaceDN w:val="0"/>
        <w:adjustRightInd w:val="0"/>
        <w:spacing w:before="60" w:after="60" w:line="240" w:lineRule="auto"/>
        <w:ind w:left="1276"/>
        <w:jc w:val="both"/>
        <w:rPr>
          <w:rFonts w:eastAsia="Calibri" w:cs="Arial"/>
          <w:szCs w:val="24"/>
          <w:lang w:eastAsia="es-ES"/>
        </w:rPr>
      </w:pPr>
    </w:p>
    <w:p w14:paraId="52980F3F" w14:textId="77777777" w:rsidR="008748C1" w:rsidRDefault="00000000">
      <w:pPr>
        <w:keepNext/>
        <w:spacing w:before="120" w:after="120" w:line="240" w:lineRule="auto"/>
        <w:ind w:left="851"/>
        <w:outlineLvl w:val="7"/>
        <w:rPr>
          <w:rFonts w:eastAsia="Times New Roman" w:cs="Arial"/>
          <w:i/>
          <w:iCs/>
          <w:szCs w:val="24"/>
          <w:lang w:eastAsia="es-ES"/>
        </w:rPr>
      </w:pPr>
      <w:bookmarkStart w:id="157" w:name="_Toc170155677"/>
      <w:bookmarkStart w:id="158" w:name="_Toc170226158"/>
      <w:r>
        <w:rPr>
          <w:rFonts w:eastAsia="Times New Roman" w:cs="Arial"/>
          <w:b/>
          <w:bCs/>
          <w:i/>
          <w:iCs/>
          <w:szCs w:val="24"/>
          <w:lang w:eastAsia="es-ES"/>
        </w:rPr>
        <w:t>Instrumentos de patrimonio</w:t>
      </w:r>
      <w:bookmarkEnd w:id="157"/>
      <w:bookmarkEnd w:id="158"/>
    </w:p>
    <w:p w14:paraId="52980F40" w14:textId="77777777" w:rsidR="008748C1" w:rsidRDefault="00000000">
      <w:pPr>
        <w:numPr>
          <w:ilvl w:val="0"/>
          <w:numId w:val="42"/>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Valorización a valor razonable</w:t>
      </w:r>
    </w:p>
    <w:p w14:paraId="52980F41"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valuación de los activos financieros clasificados en esta categoría se efectuará a valor razonable.</w:t>
      </w:r>
    </w:p>
    <w:p w14:paraId="52980F42" w14:textId="77777777" w:rsidR="008748C1" w:rsidRDefault="00000000">
      <w:pPr>
        <w:numPr>
          <w:ilvl w:val="0"/>
          <w:numId w:val="42"/>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Ganancias y pérdidas por valor razonable</w:t>
      </w:r>
    </w:p>
    <w:p w14:paraId="52980F43"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Cuando el valor razonable exceda el valor en libros se reconocerá una ganancia por fluctuación de valor, de lo contrario se reconocerá una pérdida por fluctuación de valor. En ambos casos, dicha fluctuación afectará a los resultados del ejercicio. </w:t>
      </w:r>
    </w:p>
    <w:p w14:paraId="52980F44" w14:textId="77777777" w:rsidR="008748C1" w:rsidRDefault="00000000">
      <w:pPr>
        <w:numPr>
          <w:ilvl w:val="0"/>
          <w:numId w:val="42"/>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w:t>
      </w:r>
    </w:p>
    <w:p w14:paraId="52980F45"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forman parte de la fluctuación de valor razonable y se reconocerán contra resultados del ejercicio siempre que no se trate de operaciones de cobertura.</w:t>
      </w:r>
    </w:p>
    <w:p w14:paraId="52980F46" w14:textId="77777777" w:rsidR="008748C1" w:rsidRDefault="00000000">
      <w:pPr>
        <w:numPr>
          <w:ilvl w:val="0"/>
          <w:numId w:val="42"/>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Dividendos</w:t>
      </w:r>
    </w:p>
    <w:p w14:paraId="52980F47"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dividendos forman parte de la fluctuación de valor razonable y se reconocerán contra resultados del ejercicio.</w:t>
      </w:r>
    </w:p>
    <w:p w14:paraId="52980F48"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dividendos recibidos en acciones se deben reconocer a su costo de adquisición (cero) debiendo modificarse el costo promedio unitario (no el total) y la valorización posterior se registrará en cuentas de resultados del ejercicio.</w:t>
      </w:r>
    </w:p>
    <w:p w14:paraId="52980F49"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59" w:name="_Toc162452782"/>
      <w:bookmarkStart w:id="160" w:name="_Toc170155678"/>
      <w:bookmarkStart w:id="161" w:name="_Toc170226159"/>
      <w:bookmarkStart w:id="162" w:name="_Hlk170152143"/>
      <w:r>
        <w:rPr>
          <w:rFonts w:eastAsia="Times New Roman" w:cs="Arial"/>
          <w:b/>
          <w:bCs/>
          <w:szCs w:val="24"/>
          <w:u w:val="single"/>
          <w:lang w:eastAsia="es-ES"/>
        </w:rPr>
        <w:lastRenderedPageBreak/>
        <w:t xml:space="preserve">Activos financieros designados a valor razonable con cambios en resultados </w:t>
      </w:r>
      <w:bookmarkEnd w:id="159"/>
      <w:r>
        <w:rPr>
          <w:rFonts w:eastAsia="Times New Roman" w:cs="Arial"/>
          <w:b/>
          <w:bCs/>
          <w:szCs w:val="24"/>
          <w:u w:val="single"/>
          <w:lang w:eastAsia="es-ES"/>
        </w:rPr>
        <w:t>(aplicable solo a instrumentos de deuda)</w:t>
      </w:r>
      <w:bookmarkEnd w:id="160"/>
      <w:bookmarkEnd w:id="161"/>
    </w:p>
    <w:p w14:paraId="52980F4A" w14:textId="77777777" w:rsidR="008748C1" w:rsidRDefault="00000000">
      <w:pPr>
        <w:numPr>
          <w:ilvl w:val="0"/>
          <w:numId w:val="43"/>
        </w:numPr>
        <w:spacing w:before="60" w:after="60" w:line="240" w:lineRule="auto"/>
        <w:ind w:left="1276" w:hanging="425"/>
        <w:jc w:val="both"/>
        <w:rPr>
          <w:rFonts w:eastAsia="Calibri" w:cs="Times New Roman"/>
          <w:b/>
          <w:bCs/>
          <w:szCs w:val="24"/>
          <w:lang w:eastAsia="es-ES"/>
        </w:rPr>
      </w:pPr>
      <w:bookmarkStart w:id="163" w:name="_Hlk170216886"/>
      <w:bookmarkEnd w:id="162"/>
      <w:r>
        <w:rPr>
          <w:rFonts w:eastAsia="Calibri" w:cs="Times New Roman"/>
          <w:b/>
          <w:bCs/>
          <w:szCs w:val="24"/>
          <w:lang w:eastAsia="es-ES"/>
        </w:rPr>
        <w:t>Valorización a valor razonable</w:t>
      </w:r>
    </w:p>
    <w:bookmarkEnd w:id="163"/>
    <w:p w14:paraId="52980F4B"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valuación de los activos financieros clasificados en esta categoría se efectuará a valor razonable.</w:t>
      </w:r>
    </w:p>
    <w:p w14:paraId="52980F4C"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Para la actualización del valor razonable, las empresas deberán añadir los intereses devengados del periodo calculados en base a la tasa de interés contractual y descontar los pagos que se hubieran recibido.</w:t>
      </w:r>
    </w:p>
    <w:p w14:paraId="52980F4D"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Cuando el valor razonable exceda el valor actualizado de acuerdo con lo señalado en el párrafo anterior se reconocerá una ganancia por fluctuación de valor, de lo contrario se reconocerá una pérdida por fluctuación de valor. En ambos casos, dicha fluctuación afectará a los resultados del ejercicio.</w:t>
      </w:r>
    </w:p>
    <w:p w14:paraId="52980F4E" w14:textId="77777777" w:rsidR="008748C1" w:rsidRDefault="00000000">
      <w:pPr>
        <w:numPr>
          <w:ilvl w:val="0"/>
          <w:numId w:val="43"/>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Intereses</w:t>
      </w:r>
    </w:p>
    <w:p w14:paraId="52980F4F"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Los ingresos por intereses se registrarán en el resultado del periodo, aplicando la tasa de interés contractual sobre el valor nominal, descontando los reembolsos del principal en caso se hubiera producido. </w:t>
      </w:r>
    </w:p>
    <w:p w14:paraId="52980F50" w14:textId="77777777" w:rsidR="008748C1" w:rsidRDefault="00000000">
      <w:pPr>
        <w:numPr>
          <w:ilvl w:val="0"/>
          <w:numId w:val="43"/>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w:t>
      </w:r>
    </w:p>
    <w:p w14:paraId="52980F51"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se reconocerán en el resultado del periodo, siempre que no se trate de operaciones de cobertura.</w:t>
      </w:r>
    </w:p>
    <w:p w14:paraId="52980F52"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64" w:name="_Toc170226160"/>
      <w:bookmarkStart w:id="165" w:name="_Toc170155679"/>
      <w:r>
        <w:rPr>
          <w:rFonts w:eastAsia="Times New Roman" w:cs="Arial"/>
          <w:b/>
          <w:bCs/>
          <w:szCs w:val="24"/>
          <w:u w:val="single"/>
          <w:lang w:eastAsia="es-ES"/>
        </w:rPr>
        <w:t>Activos financieros medidos obligatoriamente al valor razonable con cambios en resultados</w:t>
      </w:r>
      <w:bookmarkEnd w:id="164"/>
      <w:r>
        <w:rPr>
          <w:rFonts w:eastAsia="Times New Roman" w:cs="Arial"/>
          <w:b/>
          <w:bCs/>
          <w:szCs w:val="24"/>
          <w:u w:val="single"/>
          <w:lang w:eastAsia="es-ES"/>
        </w:rPr>
        <w:t xml:space="preserve"> </w:t>
      </w:r>
    </w:p>
    <w:p w14:paraId="52980F53" w14:textId="77777777" w:rsidR="008748C1" w:rsidRDefault="00000000">
      <w:pPr>
        <w:keepNext/>
        <w:spacing w:before="120" w:after="120" w:line="240" w:lineRule="auto"/>
        <w:ind w:left="851"/>
        <w:outlineLvl w:val="7"/>
        <w:rPr>
          <w:rFonts w:eastAsia="Times New Roman" w:cs="Arial"/>
          <w:i/>
          <w:iCs/>
          <w:szCs w:val="24"/>
          <w:lang w:eastAsia="es-ES"/>
        </w:rPr>
      </w:pPr>
      <w:bookmarkStart w:id="166" w:name="_Toc170226161"/>
      <w:r>
        <w:rPr>
          <w:rFonts w:eastAsia="Times New Roman" w:cs="Arial"/>
          <w:b/>
          <w:bCs/>
          <w:i/>
          <w:iCs/>
          <w:szCs w:val="24"/>
          <w:lang w:eastAsia="es-ES"/>
        </w:rPr>
        <w:t>Instrumentos de deuda</w:t>
      </w:r>
      <w:bookmarkEnd w:id="165"/>
      <w:bookmarkEnd w:id="166"/>
    </w:p>
    <w:p w14:paraId="52980F54" w14:textId="77777777" w:rsidR="008748C1" w:rsidRDefault="00000000">
      <w:pPr>
        <w:numPr>
          <w:ilvl w:val="0"/>
          <w:numId w:val="44"/>
        </w:numPr>
        <w:spacing w:before="60" w:after="60" w:line="240" w:lineRule="auto"/>
        <w:ind w:left="1276" w:hanging="425"/>
        <w:jc w:val="both"/>
        <w:rPr>
          <w:rFonts w:eastAsia="Calibri" w:cs="Times New Roman"/>
          <w:b/>
          <w:bCs/>
          <w:szCs w:val="24"/>
          <w:lang w:eastAsia="es-ES"/>
        </w:rPr>
      </w:pPr>
      <w:bookmarkStart w:id="167" w:name="_Hlk164032227"/>
      <w:r>
        <w:rPr>
          <w:rFonts w:eastAsia="Calibri" w:cs="Times New Roman"/>
          <w:b/>
          <w:bCs/>
          <w:szCs w:val="24"/>
          <w:lang w:eastAsia="es-ES"/>
        </w:rPr>
        <w:t>Valorización a valor razonable</w:t>
      </w:r>
    </w:p>
    <w:p w14:paraId="52980F55"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valuación de los activos financieros clasificados en esta categoría se efectuará a valor razonable.</w:t>
      </w:r>
    </w:p>
    <w:p w14:paraId="52980F56"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Para la actualización del valor razonable, las empresas deberán añadir los intereses devengados del periodo calculados en base a la tasa de interés contractual y descontar los pagos que se hubieran recibido.</w:t>
      </w:r>
    </w:p>
    <w:p w14:paraId="52980F57"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Cuando el valor razonable exceda el valor actualizado de acuerdo con lo señalado en el párrafo anterior se reconocerá una ganancia por fluctuación de valor, de lo contrario se reconocerá una pérdida por fluctuación de valor. En ambos casos, dicha fluctuación afectará a los resultados del ejercicio.</w:t>
      </w:r>
    </w:p>
    <w:p w14:paraId="52980F58" w14:textId="77777777" w:rsidR="008748C1" w:rsidRDefault="00000000">
      <w:pPr>
        <w:numPr>
          <w:ilvl w:val="0"/>
          <w:numId w:val="44"/>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 xml:space="preserve">Intereses </w:t>
      </w:r>
    </w:p>
    <w:p w14:paraId="52980F59"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Los ingresos por intereses se registrarán en el resultado del periodo, aplicando la tasa de interés contractual sobre el valor nominal, descontando los reembolsos del principal en caso se hubiera producido. </w:t>
      </w:r>
    </w:p>
    <w:p w14:paraId="52980F5A" w14:textId="77777777" w:rsidR="008748C1" w:rsidRDefault="00000000">
      <w:pPr>
        <w:numPr>
          <w:ilvl w:val="0"/>
          <w:numId w:val="44"/>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w:t>
      </w:r>
    </w:p>
    <w:p w14:paraId="52980F5B"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se reconocerán en el resultado del periodo, siempre que no se trate de operaciones de cobertura.</w:t>
      </w:r>
    </w:p>
    <w:p w14:paraId="52980F5C" w14:textId="77777777" w:rsidR="008748C1" w:rsidRDefault="008748C1">
      <w:pPr>
        <w:autoSpaceDE w:val="0"/>
        <w:autoSpaceDN w:val="0"/>
        <w:adjustRightInd w:val="0"/>
        <w:spacing w:before="60" w:after="60" w:line="240" w:lineRule="auto"/>
        <w:ind w:left="1276"/>
        <w:jc w:val="both"/>
        <w:rPr>
          <w:rFonts w:eastAsia="Calibri" w:cs="Arial"/>
          <w:szCs w:val="24"/>
          <w:lang w:eastAsia="es-ES"/>
        </w:rPr>
      </w:pPr>
    </w:p>
    <w:p w14:paraId="52980F5D" w14:textId="77777777" w:rsidR="008748C1" w:rsidRDefault="00000000">
      <w:pPr>
        <w:keepNext/>
        <w:spacing w:before="120" w:after="120" w:line="240" w:lineRule="auto"/>
        <w:ind w:left="851"/>
        <w:outlineLvl w:val="7"/>
        <w:rPr>
          <w:rFonts w:eastAsia="Times New Roman" w:cs="Arial"/>
          <w:i/>
          <w:iCs/>
          <w:szCs w:val="24"/>
          <w:lang w:eastAsia="es-ES"/>
        </w:rPr>
      </w:pPr>
      <w:bookmarkStart w:id="168" w:name="_Toc170155680"/>
      <w:bookmarkStart w:id="169" w:name="_Toc170226162"/>
      <w:bookmarkEnd w:id="167"/>
      <w:r>
        <w:rPr>
          <w:rFonts w:eastAsia="Times New Roman" w:cs="Arial"/>
          <w:b/>
          <w:bCs/>
          <w:i/>
          <w:iCs/>
          <w:szCs w:val="24"/>
          <w:lang w:eastAsia="es-ES"/>
        </w:rPr>
        <w:t>Instrumentos de patrimonio</w:t>
      </w:r>
      <w:bookmarkEnd w:id="168"/>
      <w:bookmarkEnd w:id="169"/>
    </w:p>
    <w:p w14:paraId="52980F5E" w14:textId="77777777" w:rsidR="008748C1" w:rsidRDefault="00000000">
      <w:pPr>
        <w:numPr>
          <w:ilvl w:val="0"/>
          <w:numId w:val="45"/>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Valorización a valor razonable</w:t>
      </w:r>
    </w:p>
    <w:p w14:paraId="52980F5F"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lastRenderedPageBreak/>
        <w:t>La valuación de los activos financieros clasificados en esta categoría se efectuará a valor razonable.</w:t>
      </w:r>
    </w:p>
    <w:p w14:paraId="52980F60" w14:textId="77777777" w:rsidR="008748C1" w:rsidRDefault="00000000">
      <w:pPr>
        <w:numPr>
          <w:ilvl w:val="0"/>
          <w:numId w:val="45"/>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Ganancias o pérdidas por valor razonable</w:t>
      </w:r>
    </w:p>
    <w:p w14:paraId="52980F61"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Cuando el valor razonable exceda al valor contable, se reconocerá una ganancia por fluctuación de valor. Cuando el valor razonable sea inferior al valor contable, se reconocerá una pérdida por fluctuación de valor. En ambos casos, dicha fluctuación afectará a los resultados del ejercicio.</w:t>
      </w:r>
    </w:p>
    <w:p w14:paraId="52980F62" w14:textId="77777777" w:rsidR="008748C1" w:rsidRDefault="00000000">
      <w:pPr>
        <w:numPr>
          <w:ilvl w:val="0"/>
          <w:numId w:val="45"/>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w:t>
      </w:r>
    </w:p>
    <w:p w14:paraId="52980F63"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se reconocerán en el resultado del periodo, siempre que no se trate de operaciones de cobertura.</w:t>
      </w:r>
    </w:p>
    <w:p w14:paraId="52980F64" w14:textId="77777777" w:rsidR="008748C1" w:rsidRDefault="00000000">
      <w:pPr>
        <w:numPr>
          <w:ilvl w:val="0"/>
          <w:numId w:val="45"/>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Dividendos</w:t>
      </w:r>
    </w:p>
    <w:p w14:paraId="52980F65"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dividendos se reconocerán en resultados del ejercicio solo cuando:</w:t>
      </w:r>
    </w:p>
    <w:p w14:paraId="52980F66" w14:textId="77777777" w:rsidR="008748C1" w:rsidRDefault="00000000">
      <w:pPr>
        <w:numPr>
          <w:ilvl w:val="0"/>
          <w:numId w:val="46"/>
        </w:numPr>
        <w:spacing w:before="20" w:after="20" w:line="240" w:lineRule="auto"/>
        <w:jc w:val="both"/>
        <w:rPr>
          <w:rFonts w:eastAsia="Calibri" w:cs="Times New Roman"/>
          <w:szCs w:val="24"/>
          <w:lang w:eastAsia="es-ES"/>
        </w:rPr>
      </w:pPr>
      <w:r>
        <w:rPr>
          <w:rFonts w:eastAsia="Calibri" w:cs="Times New Roman"/>
          <w:szCs w:val="24"/>
          <w:lang w:eastAsia="es-ES"/>
        </w:rPr>
        <w:t>Se establezca el derecho de la empresa a recibir el pago del dividendo;</w:t>
      </w:r>
    </w:p>
    <w:p w14:paraId="52980F67" w14:textId="77777777" w:rsidR="008748C1" w:rsidRDefault="00000000">
      <w:pPr>
        <w:numPr>
          <w:ilvl w:val="0"/>
          <w:numId w:val="46"/>
        </w:numPr>
        <w:spacing w:before="20" w:after="20" w:line="240" w:lineRule="auto"/>
        <w:jc w:val="both"/>
        <w:rPr>
          <w:rFonts w:eastAsia="Calibri" w:cs="Times New Roman"/>
          <w:szCs w:val="24"/>
          <w:lang w:eastAsia="es-ES"/>
        </w:rPr>
      </w:pPr>
      <w:r>
        <w:rPr>
          <w:rFonts w:eastAsia="Calibri" w:cs="Times New Roman"/>
          <w:szCs w:val="24"/>
          <w:lang w:eastAsia="es-ES"/>
        </w:rPr>
        <w:t>Sea probable que la empresa reciba los beneficios económicos asociados con el dividendo; y</w:t>
      </w:r>
    </w:p>
    <w:p w14:paraId="52980F68" w14:textId="77777777" w:rsidR="008748C1" w:rsidRDefault="00000000">
      <w:pPr>
        <w:numPr>
          <w:ilvl w:val="0"/>
          <w:numId w:val="46"/>
        </w:numPr>
        <w:spacing w:before="20" w:after="20" w:line="240" w:lineRule="auto"/>
        <w:jc w:val="both"/>
        <w:rPr>
          <w:rFonts w:eastAsia="Calibri" w:cs="Times New Roman"/>
          <w:szCs w:val="24"/>
          <w:lang w:eastAsia="es-ES"/>
        </w:rPr>
      </w:pPr>
      <w:r>
        <w:rPr>
          <w:rFonts w:eastAsia="Calibri" w:cs="Times New Roman"/>
          <w:szCs w:val="24"/>
          <w:lang w:eastAsia="es-ES"/>
        </w:rPr>
        <w:t>El importe del dividendo pueda ser medido de forma fiable.</w:t>
      </w:r>
    </w:p>
    <w:p w14:paraId="52980F69"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dividendos recibidos en acciones se deben reconocer a su costo de adquisición (cero) debiendo modificarse el costo promedio unitario (no el total) y la valorización posterior se registrará en cuentas de resultados del ejercicio.</w:t>
      </w:r>
    </w:p>
    <w:p w14:paraId="52980F6A" w14:textId="77777777" w:rsidR="008748C1" w:rsidRDefault="008748C1">
      <w:pPr>
        <w:autoSpaceDE w:val="0"/>
        <w:autoSpaceDN w:val="0"/>
        <w:adjustRightInd w:val="0"/>
        <w:spacing w:before="60" w:after="60" w:line="240" w:lineRule="auto"/>
        <w:ind w:left="1276"/>
        <w:jc w:val="both"/>
        <w:rPr>
          <w:rFonts w:eastAsia="Calibri" w:cs="Arial"/>
          <w:szCs w:val="24"/>
          <w:lang w:eastAsia="es-ES"/>
        </w:rPr>
      </w:pPr>
    </w:p>
    <w:p w14:paraId="52980F6B" w14:textId="77777777" w:rsidR="008748C1" w:rsidRDefault="00000000">
      <w:pPr>
        <w:keepNext/>
        <w:spacing w:before="120" w:after="120" w:line="240" w:lineRule="auto"/>
        <w:ind w:left="851"/>
        <w:outlineLvl w:val="7"/>
        <w:rPr>
          <w:rFonts w:ascii="Arial" w:eastAsia="Times New Roman" w:hAnsi="Arial" w:cs="Arial"/>
          <w:b/>
          <w:bCs/>
          <w:i/>
          <w:iCs/>
          <w:szCs w:val="24"/>
          <w:lang w:eastAsia="es-ES"/>
        </w:rPr>
      </w:pPr>
      <w:bookmarkStart w:id="170" w:name="_Toc170226163"/>
      <w:bookmarkStart w:id="171" w:name="_Toc170155682"/>
      <w:r>
        <w:rPr>
          <w:rFonts w:eastAsia="Times New Roman" w:cs="Arial"/>
          <w:b/>
          <w:bCs/>
          <w:i/>
          <w:iCs/>
          <w:szCs w:val="24"/>
          <w:lang w:eastAsia="es-ES"/>
        </w:rPr>
        <w:t>Encaje por exceso de inversión; certificados de participación en fondos mutuos y fondos de inversión; y otros instrumentos</w:t>
      </w:r>
      <w:bookmarkEnd w:id="170"/>
      <w:bookmarkEnd w:id="171"/>
    </w:p>
    <w:p w14:paraId="52980F6C" w14:textId="77777777" w:rsidR="008748C1" w:rsidRDefault="00000000">
      <w:pPr>
        <w:numPr>
          <w:ilvl w:val="0"/>
          <w:numId w:val="47"/>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Valorización a valor razonable</w:t>
      </w:r>
    </w:p>
    <w:p w14:paraId="52980F6D"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valuación del encaje por exceso de inversión, fondos mutuos, fondos de inversión y otros instrumentos se efectuará a valor razonable.</w:t>
      </w:r>
    </w:p>
    <w:p w14:paraId="52980F6E" w14:textId="77777777" w:rsidR="008748C1" w:rsidRDefault="00000000">
      <w:pPr>
        <w:numPr>
          <w:ilvl w:val="0"/>
          <w:numId w:val="47"/>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Ganancias y pérdidas por valor razonable</w:t>
      </w:r>
    </w:p>
    <w:p w14:paraId="52980F6F"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Cuando el valor razonable exceda al valor contable, se reconocerá una ganancia por fluctuación de valor. Cuando el valor razonable sea inferior al valor contable, se reconocerá una pérdida por fluctuación de valor. En ambos casos, dicha fluctuación afectará a los resultados del ejercicio.</w:t>
      </w:r>
    </w:p>
    <w:p w14:paraId="52980F70" w14:textId="77777777" w:rsidR="008748C1" w:rsidRDefault="00000000">
      <w:pPr>
        <w:numPr>
          <w:ilvl w:val="0"/>
          <w:numId w:val="47"/>
        </w:numPr>
        <w:spacing w:before="60" w:after="60" w:line="240" w:lineRule="auto"/>
        <w:ind w:left="1276" w:hanging="425"/>
        <w:jc w:val="both"/>
        <w:rPr>
          <w:rFonts w:eastAsia="Calibri" w:cs="Times New Roman"/>
          <w:b/>
          <w:bCs/>
          <w:szCs w:val="24"/>
          <w:lang w:eastAsia="es-ES"/>
        </w:rPr>
      </w:pPr>
      <w:r>
        <w:rPr>
          <w:rFonts w:eastAsia="Calibri" w:cs="Times New Roman"/>
          <w:b/>
          <w:bCs/>
          <w:szCs w:val="24"/>
          <w:lang w:eastAsia="es-ES"/>
        </w:rPr>
        <w:t>Diferencia en cambio</w:t>
      </w:r>
    </w:p>
    <w:p w14:paraId="52980F71"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se reconocerán en el resultado del periodo, siempre que no se trate de operaciones de cobertura.</w:t>
      </w:r>
    </w:p>
    <w:p w14:paraId="52980F72" w14:textId="77777777" w:rsidR="008748C1" w:rsidRDefault="008748C1">
      <w:pPr>
        <w:autoSpaceDE w:val="0"/>
        <w:autoSpaceDN w:val="0"/>
        <w:adjustRightInd w:val="0"/>
        <w:spacing w:before="60" w:after="60" w:line="240" w:lineRule="auto"/>
        <w:ind w:left="1276"/>
        <w:jc w:val="both"/>
        <w:rPr>
          <w:rFonts w:eastAsia="Calibri" w:cs="Arial"/>
          <w:szCs w:val="24"/>
          <w:lang w:eastAsia="es-ES"/>
        </w:rPr>
      </w:pPr>
    </w:p>
    <w:p w14:paraId="52980F73"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172" w:name="_Toc170226181"/>
      <w:r>
        <w:rPr>
          <w:rFonts w:eastAsia="Times New Roman" w:cs="Arial"/>
          <w:b/>
          <w:bCs/>
          <w:szCs w:val="24"/>
          <w:lang w:eastAsia="es-ES"/>
        </w:rPr>
        <w:t>Deterioro de activos financieros</w:t>
      </w:r>
      <w:bookmarkEnd w:id="172"/>
    </w:p>
    <w:p w14:paraId="52980F7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empresas aplicarán el enfoque general para los activos financieros en el alcance de esta sección.</w:t>
      </w:r>
    </w:p>
    <w:p w14:paraId="52980F75"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173" w:name="_Toc170226182"/>
      <w:bookmarkStart w:id="174" w:name="_Toc160009503"/>
      <w:r>
        <w:rPr>
          <w:rFonts w:eastAsia="Times New Roman" w:cs="Arial"/>
          <w:b/>
          <w:szCs w:val="24"/>
          <w:lang w:eastAsia="es-ES"/>
        </w:rPr>
        <w:t>Enfoque General</w:t>
      </w:r>
      <w:bookmarkEnd w:id="173"/>
      <w:bookmarkEnd w:id="174"/>
    </w:p>
    <w:p w14:paraId="52980F7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Una empresa reconocerá una corrección de valor por pérdidas crediticias esperadas (PCE) sobre los depósitos e instrumentos de deuda clasificados como al costo amortizado y a valor razonable con cambios en Otro resultado Integral. </w:t>
      </w:r>
    </w:p>
    <w:p w14:paraId="52980F7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Independientemente de la categoría contable del activo financiero, el importe por las pérdidas crediticias por deterioro de valor se calculará en función de si se ha producido o no un incremento significativo del riesgo de crédito desde el reconocimiento inicial de la operación, y si se ha producido o no un evento de incumplimiento. Las empresas no pueden suponer que el riesgo crediticio de un activo financiero no </w:t>
      </w:r>
      <w:r>
        <w:rPr>
          <w:rFonts w:eastAsia="Times New Roman" w:cs="Times New Roman"/>
          <w:lang w:eastAsia="es-ES"/>
        </w:rPr>
        <w:lastRenderedPageBreak/>
        <w:t>se ha incrementado de forma significativa desde el reconocimiento inicial por haber determinado que el instrumento financiero tiene un riesgo crediticio bajo en la fecha de presentación. </w:t>
      </w:r>
    </w:p>
    <w:p w14:paraId="52980F7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deterioro de valor se reconoce en tres etapas o fases que reflejan la potencial variación en la calidad crediticia:</w:t>
      </w:r>
    </w:p>
    <w:p w14:paraId="52980F79" w14:textId="77777777" w:rsidR="008748C1" w:rsidRDefault="008748C1">
      <w:pPr>
        <w:spacing w:before="60" w:after="60" w:line="240" w:lineRule="auto"/>
        <w:ind w:left="851"/>
        <w:jc w:val="both"/>
        <w:rPr>
          <w:rFonts w:eastAsia="Times New Roman" w:cs="Times New Roman"/>
          <w:lang w:eastAsia="es-ES"/>
        </w:rPr>
      </w:pPr>
    </w:p>
    <w:p w14:paraId="52980F7A" w14:textId="77777777" w:rsidR="008748C1" w:rsidRDefault="00000000">
      <w:pPr>
        <w:numPr>
          <w:ilvl w:val="0"/>
          <w:numId w:val="48"/>
        </w:numPr>
        <w:spacing w:after="120" w:line="240" w:lineRule="auto"/>
        <w:ind w:left="1134" w:hanging="283"/>
        <w:jc w:val="both"/>
        <w:rPr>
          <w:rFonts w:eastAsia="Calibri" w:cs="Times New Roman"/>
          <w:b/>
          <w:bCs/>
          <w:szCs w:val="24"/>
          <w:lang w:eastAsia="es-ES"/>
        </w:rPr>
      </w:pPr>
      <w:r>
        <w:rPr>
          <w:rFonts w:eastAsia="Calibri" w:cs="Times New Roman"/>
          <w:b/>
          <w:bCs/>
          <w:szCs w:val="24"/>
          <w:lang w:eastAsia="es-ES"/>
        </w:rPr>
        <w:t xml:space="preserve">Fase 1:   </w:t>
      </w:r>
      <w:r>
        <w:rPr>
          <w:rFonts w:eastAsia="Calibri" w:cs="Times New Roman"/>
          <w:b/>
          <w:bCs/>
          <w:szCs w:val="24"/>
          <w:lang w:eastAsia="es-ES"/>
        </w:rPr>
        <w:tab/>
      </w:r>
    </w:p>
    <w:p w14:paraId="52980F7B" w14:textId="77777777" w:rsidR="008748C1" w:rsidRDefault="00000000">
      <w:pPr>
        <w:spacing w:after="120" w:line="240" w:lineRule="auto"/>
        <w:ind w:left="1134"/>
        <w:jc w:val="both"/>
        <w:rPr>
          <w:rFonts w:eastAsia="Calibri" w:cs="Times New Roman"/>
          <w:szCs w:val="24"/>
          <w:lang w:eastAsia="es-ES"/>
        </w:rPr>
      </w:pPr>
      <w:r>
        <w:rPr>
          <w:rFonts w:eastAsia="Calibri" w:cs="Times New Roman"/>
          <w:szCs w:val="24"/>
          <w:lang w:eastAsia="es-ES"/>
        </w:rPr>
        <w:t xml:space="preserve">Si en la fecha de presentación, el riesgo crediticio de un instrumento de deuda no se ha incrementado de forma significativa desde el reconocimiento inicial, la corrección de valor por pérdidas para ese activo financiero se medirá a un importe igual a las pérdidas crediticias esperadas en los próximos 12 meses. En esta fase el interés se calcula sobre el importe bruto del instrumento. </w:t>
      </w:r>
    </w:p>
    <w:p w14:paraId="52980F7C" w14:textId="77777777" w:rsidR="008748C1" w:rsidRDefault="008748C1">
      <w:pPr>
        <w:spacing w:after="120" w:line="240" w:lineRule="auto"/>
        <w:ind w:left="1134" w:hanging="1"/>
        <w:jc w:val="center"/>
        <w:rPr>
          <w:rFonts w:eastAsia="Calibri" w:cs="Times New Roman"/>
          <w:szCs w:val="24"/>
          <w:lang w:eastAsia="es-ES"/>
        </w:rPr>
      </w:pPr>
    </w:p>
    <w:p w14:paraId="52980F7D" w14:textId="77777777" w:rsidR="008748C1" w:rsidRDefault="00000000">
      <w:pPr>
        <w:numPr>
          <w:ilvl w:val="0"/>
          <w:numId w:val="48"/>
        </w:numPr>
        <w:spacing w:after="120" w:line="240" w:lineRule="auto"/>
        <w:ind w:left="1134" w:hanging="283"/>
        <w:jc w:val="both"/>
        <w:rPr>
          <w:rFonts w:eastAsia="Calibri" w:cs="Times New Roman"/>
          <w:b/>
          <w:bCs/>
          <w:szCs w:val="24"/>
          <w:lang w:eastAsia="es-ES"/>
        </w:rPr>
      </w:pPr>
      <w:r>
        <w:rPr>
          <w:rFonts w:eastAsia="Calibri" w:cs="Times New Roman"/>
          <w:b/>
          <w:bCs/>
          <w:szCs w:val="24"/>
          <w:lang w:eastAsia="es-ES"/>
        </w:rPr>
        <w:t xml:space="preserve">Fase 2: </w:t>
      </w:r>
      <w:r>
        <w:rPr>
          <w:rFonts w:eastAsia="Calibri" w:cs="Times New Roman"/>
          <w:b/>
          <w:bCs/>
          <w:szCs w:val="24"/>
          <w:lang w:eastAsia="es-ES"/>
        </w:rPr>
        <w:tab/>
      </w:r>
    </w:p>
    <w:p w14:paraId="52980F7E" w14:textId="77777777" w:rsidR="008748C1" w:rsidRDefault="00000000">
      <w:pPr>
        <w:spacing w:after="120" w:line="240" w:lineRule="auto"/>
        <w:ind w:left="1134"/>
        <w:jc w:val="both"/>
        <w:rPr>
          <w:rFonts w:eastAsia="Calibri" w:cs="Times New Roman"/>
          <w:szCs w:val="24"/>
          <w:lang w:eastAsia="es-ES"/>
        </w:rPr>
      </w:pPr>
      <w:r>
        <w:rPr>
          <w:rFonts w:eastAsia="Calibri" w:cs="Times New Roman"/>
          <w:szCs w:val="24"/>
          <w:lang w:eastAsia="es-ES"/>
        </w:rPr>
        <w:t>Si en la fecha de presentación, el riesgo crediticio de un instrumento de deuda se ha incrementado de forma significativa desde su reconocimiento inicial pero no hay evidencia objetiva de un evento de incumplimiento, la corrección de valor por pérdidas para ese activo financiero se medirá a un importe igual a las pérdidas crediticias esperadas durante el tiempo de vida del activo financiero. En esta fase el interés se calcula sobre el importe bruto del instrumento.</w:t>
      </w:r>
    </w:p>
    <w:p w14:paraId="52980F7F" w14:textId="77777777" w:rsidR="008748C1" w:rsidRDefault="008748C1">
      <w:pPr>
        <w:spacing w:after="120" w:line="240" w:lineRule="auto"/>
        <w:ind w:left="1134"/>
        <w:jc w:val="both"/>
        <w:rPr>
          <w:rFonts w:eastAsia="Calibri" w:cs="Times New Roman"/>
          <w:szCs w:val="24"/>
          <w:lang w:eastAsia="es-ES"/>
        </w:rPr>
      </w:pPr>
    </w:p>
    <w:p w14:paraId="52980F80" w14:textId="77777777" w:rsidR="008748C1" w:rsidRDefault="00000000">
      <w:pPr>
        <w:numPr>
          <w:ilvl w:val="0"/>
          <w:numId w:val="48"/>
        </w:numPr>
        <w:spacing w:after="120" w:line="240" w:lineRule="auto"/>
        <w:ind w:left="1134" w:hanging="283"/>
        <w:jc w:val="both"/>
        <w:rPr>
          <w:rFonts w:eastAsia="Calibri" w:cs="Times New Roman"/>
          <w:b/>
          <w:bCs/>
          <w:szCs w:val="24"/>
          <w:lang w:eastAsia="es-ES"/>
        </w:rPr>
      </w:pPr>
      <w:r>
        <w:rPr>
          <w:rFonts w:eastAsia="Calibri" w:cs="Times New Roman"/>
          <w:b/>
          <w:bCs/>
          <w:szCs w:val="24"/>
          <w:lang w:eastAsia="es-ES"/>
        </w:rPr>
        <w:t>Fase 3:</w:t>
      </w:r>
    </w:p>
    <w:p w14:paraId="52980F81" w14:textId="77777777" w:rsidR="008748C1" w:rsidRDefault="00000000">
      <w:pPr>
        <w:spacing w:after="120" w:line="240" w:lineRule="auto"/>
        <w:ind w:left="1134"/>
        <w:jc w:val="both"/>
        <w:rPr>
          <w:rFonts w:eastAsia="Calibri" w:cs="Times New Roman"/>
          <w:szCs w:val="24"/>
          <w:lang w:eastAsia="es-ES"/>
        </w:rPr>
      </w:pPr>
      <w:r>
        <w:rPr>
          <w:rFonts w:eastAsia="Calibri" w:cs="Times New Roman"/>
          <w:szCs w:val="24"/>
          <w:lang w:eastAsia="es-ES"/>
        </w:rPr>
        <w:t>Cuando se ha evidenciado objetivamente un evento de incumplimiento en la operación, la corrección de valor por pérdidas para ese activo financiero se medirá a un importe igual a las pérdidas crediticias esperadas en la vida de la operación. En esta fase el interés se calcula sobre el importe neto del instrumento de deuda.</w:t>
      </w:r>
    </w:p>
    <w:p w14:paraId="52980F82" w14:textId="77777777" w:rsidR="008748C1" w:rsidRDefault="008748C1">
      <w:pPr>
        <w:spacing w:after="120" w:line="240" w:lineRule="auto"/>
        <w:jc w:val="both"/>
        <w:rPr>
          <w:rFonts w:eastAsia="Calibri" w:cs="Times New Roman"/>
          <w:szCs w:val="24"/>
          <w:lang w:eastAsia="es-ES"/>
        </w:rPr>
      </w:pPr>
    </w:p>
    <w:p w14:paraId="52980F8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Para efectos de las reclasificaciones de los activos financieros y la aplicación del deterioro dispuesto en esta norma, la empresa considerará la fecha de reclasificación como la fecha de reconocimiento inicial.</w:t>
      </w:r>
    </w:p>
    <w:p w14:paraId="52980F84" w14:textId="77777777" w:rsidR="008748C1" w:rsidRDefault="00000000">
      <w:pPr>
        <w:keepNext/>
        <w:spacing w:before="240" w:after="120" w:line="240" w:lineRule="auto"/>
        <w:ind w:left="851"/>
        <w:outlineLvl w:val="6"/>
        <w:rPr>
          <w:rFonts w:eastAsia="Times New Roman" w:cs="Times New Roman"/>
          <w:lang w:eastAsia="es-ES"/>
        </w:rPr>
      </w:pPr>
      <w:r>
        <w:rPr>
          <w:rFonts w:eastAsia="Times New Roman" w:cs="Times New Roman"/>
          <w:lang w:eastAsia="es-ES"/>
        </w:rPr>
        <w:t>Si una empresa ha medido la corrección de valor por pérdidas para un activo financiero a un importe igual a las pérdidas crediticias esperadas durante el tiempo de vida del activo financiero en el periodo de presentación anterior, pero determina que en la fecha de presentación deja de cumplirse que el riesgo crediticio de ese instrumento financiero se ha incrementado de forma significativa, la empresa medirá, en la fecha de presentación, la corrección de valor por pérdidas por un importe igual a las pérdidas crediticias esperadas en los próximos 12 meses tomando en consideración la condición 6 de los lineamientos generales de la Metodología Estándar para la asignación de fases referida al plazo para la reclasificación de fases.</w:t>
      </w:r>
      <w:bookmarkStart w:id="175" w:name="_Toc160009504"/>
      <w:bookmarkStart w:id="176" w:name="_Toc170226183"/>
    </w:p>
    <w:p w14:paraId="52980F85" w14:textId="77777777" w:rsidR="008748C1" w:rsidRDefault="00000000">
      <w:pPr>
        <w:keepNext/>
        <w:spacing w:before="240" w:after="120" w:line="240" w:lineRule="auto"/>
        <w:ind w:left="851"/>
        <w:outlineLvl w:val="6"/>
        <w:rPr>
          <w:rFonts w:eastAsia="Times New Roman" w:cs="Arial"/>
          <w:b/>
          <w:bCs/>
          <w:szCs w:val="24"/>
          <w:u w:val="single"/>
          <w:lang w:eastAsia="es-ES"/>
        </w:rPr>
      </w:pPr>
      <w:r>
        <w:rPr>
          <w:rFonts w:eastAsia="Times New Roman" w:cs="Arial"/>
          <w:b/>
          <w:bCs/>
          <w:szCs w:val="24"/>
          <w:u w:val="single"/>
          <w:lang w:eastAsia="es-ES"/>
        </w:rPr>
        <w:t>Evaluación del cambio en el riesgo crediticio del activo financiero</w:t>
      </w:r>
      <w:bookmarkEnd w:id="175"/>
      <w:bookmarkEnd w:id="176"/>
    </w:p>
    <w:p w14:paraId="52980F8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cada fecha de presentación, una empresa evaluará si se ha incrementado de forma significativa el riesgo crediticio de un activo financiero desde el reconocimiento inicial. Al realizar la evaluación, una empresa utilizará el cambio en el riesgo de que ocurra un incumplimiento a lo largo de la vida esperada del instrumento financiero, en lugar del cambio en el importe de las pérdidas crediticias esperadas. Para realizar esa evaluación, una empresa comparará el riesgo de que ocurra un incumplimiento sobre un instrumento financiero en la fecha de presentación con el de la fecha del reconocimiento inicial y considerará la información razonable y sustentable que esté disponible sin coste o esfuerzo </w:t>
      </w:r>
      <w:r>
        <w:rPr>
          <w:rFonts w:eastAsia="Times New Roman" w:cs="Times New Roman"/>
          <w:lang w:eastAsia="es-ES"/>
        </w:rPr>
        <w:lastRenderedPageBreak/>
        <w:t>desproporcionado, que sea indicativa de incrementos en el riesgo crediticio desde el reconocimiento inicial.</w:t>
      </w:r>
    </w:p>
    <w:p w14:paraId="52980F8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 la información con vistas al futuro razonable y sustentable está disponible sin coste o esfuerzo desproporcionado, una empresa deberá utilizarla y no puede confiar únicamente en información sobre morosidad para determinar si se ha incrementado el riesgo crediticio de forma significativa desde el reconocimiento inicial. Sin embargo, cuando la información que tiene más estatus de proyección futura que de morosidad pasada no está disponible sin costo o esfuerzo desproporcionado, una empresa puede utilizar la información sobre morosidad para determinar si ha habido incrementos significativos en el riesgo crediticio desde el reconocimiento inicial.</w:t>
      </w:r>
    </w:p>
    <w:p w14:paraId="52980F88"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77" w:name="_Toc160009505"/>
      <w:bookmarkStart w:id="178" w:name="_Toc170226184"/>
      <w:r>
        <w:rPr>
          <w:rFonts w:eastAsia="Times New Roman" w:cs="Arial"/>
          <w:b/>
          <w:bCs/>
          <w:szCs w:val="24"/>
          <w:u w:val="single"/>
          <w:lang w:eastAsia="es-ES"/>
        </w:rPr>
        <w:t>Incremento de riesgo significativo</w:t>
      </w:r>
      <w:bookmarkEnd w:id="177"/>
      <w:bookmarkEnd w:id="178"/>
      <w:r>
        <w:rPr>
          <w:rFonts w:eastAsia="Times New Roman" w:cs="Arial"/>
          <w:b/>
          <w:bCs/>
          <w:szCs w:val="24"/>
          <w:u w:val="single"/>
          <w:lang w:eastAsia="es-ES"/>
        </w:rPr>
        <w:t xml:space="preserve">   </w:t>
      </w:r>
    </w:p>
    <w:p w14:paraId="52980F89" w14:textId="77777777" w:rsidR="008748C1" w:rsidRDefault="00000000">
      <w:pPr>
        <w:spacing w:before="60" w:after="60" w:line="240" w:lineRule="auto"/>
        <w:ind w:left="851"/>
        <w:jc w:val="both"/>
        <w:rPr>
          <w:rFonts w:eastAsia="Times New Roman" w:cs="Times New Roman"/>
          <w:lang w:eastAsia="es-ES"/>
        </w:rPr>
      </w:pPr>
      <w:bookmarkStart w:id="179" w:name="_Toc154064005"/>
      <w:r>
        <w:rPr>
          <w:rFonts w:eastAsia="Times New Roman" w:cs="Times New Roman"/>
          <w:lang w:eastAsia="es-ES"/>
        </w:rPr>
        <w:t xml:space="preserve">Existe información que puede ser relevante para evaluar los cambios significativos en el riesgo crediticio, los cuales pueden incluir, pero no limitarse a:   </w:t>
      </w:r>
    </w:p>
    <w:p w14:paraId="52980F8A"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Cambios en indicadores de riesgo crediticio, que incluyan como mínimo un análisis del diferencial de crédito (spread) que resultaría si un activo financiero similar o con las mismas condiciones y la misma contraparte fueran emitidos u originados en la fecha de presentación.</w:t>
      </w:r>
    </w:p>
    <w:p w14:paraId="52980F8B"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La existencia de cambios en tasas o condiciones de un activo financiero existente que sería diferente de forma significativa si dicho instrumento fuera emitido u originado en la fecha de presentación.</w:t>
      </w:r>
    </w:p>
    <w:p w14:paraId="52980F8C"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Cambios en los indicadores de riesgo crediticio del mercado al que pertenece el emisor, que incluyen como mínimo:</w:t>
      </w:r>
    </w:p>
    <w:p w14:paraId="52980F8D" w14:textId="77777777" w:rsidR="008748C1" w:rsidRDefault="00000000">
      <w:pPr>
        <w:numPr>
          <w:ilvl w:val="0"/>
          <w:numId w:val="50"/>
        </w:numPr>
        <w:tabs>
          <w:tab w:val="left" w:pos="1701"/>
        </w:tabs>
        <w:spacing w:after="0" w:line="240" w:lineRule="auto"/>
        <w:ind w:left="1701" w:hanging="425"/>
        <w:rPr>
          <w:rFonts w:eastAsia="Calibri" w:cs="Times New Roman"/>
          <w:szCs w:val="24"/>
          <w:lang w:eastAsia="es-ES"/>
        </w:rPr>
      </w:pPr>
      <w:r>
        <w:rPr>
          <w:rFonts w:eastAsia="Calibri" w:cs="Times New Roman"/>
          <w:szCs w:val="24"/>
          <w:lang w:eastAsia="es-ES"/>
        </w:rPr>
        <w:t>Diferencial de Crédito (</w:t>
      </w:r>
      <w:r>
        <w:rPr>
          <w:rFonts w:eastAsia="Calibri" w:cs="Times New Roman"/>
          <w:i/>
          <w:iCs/>
          <w:szCs w:val="24"/>
          <w:lang w:eastAsia="es-ES"/>
        </w:rPr>
        <w:t>spread</w:t>
      </w:r>
      <w:r>
        <w:rPr>
          <w:rFonts w:eastAsia="Calibri" w:cs="Times New Roman"/>
          <w:szCs w:val="24"/>
          <w:lang w:eastAsia="es-ES"/>
        </w:rPr>
        <w:t>)</w:t>
      </w:r>
    </w:p>
    <w:p w14:paraId="52980F8E" w14:textId="77777777" w:rsidR="008748C1" w:rsidRDefault="00000000">
      <w:pPr>
        <w:numPr>
          <w:ilvl w:val="0"/>
          <w:numId w:val="50"/>
        </w:numPr>
        <w:tabs>
          <w:tab w:val="left" w:pos="1701"/>
        </w:tabs>
        <w:spacing w:after="0" w:line="240" w:lineRule="auto"/>
        <w:ind w:left="1701" w:hanging="425"/>
        <w:rPr>
          <w:rFonts w:eastAsia="Calibri" w:cs="Times New Roman"/>
          <w:szCs w:val="24"/>
          <w:lang w:eastAsia="es-ES"/>
        </w:rPr>
      </w:pPr>
      <w:r>
        <w:rPr>
          <w:rFonts w:eastAsia="Calibri" w:cs="Times New Roman"/>
          <w:szCs w:val="24"/>
          <w:lang w:eastAsia="es-ES"/>
        </w:rPr>
        <w:t>Precios de permutas de incumplimiento crediticio (</w:t>
      </w:r>
      <w:proofErr w:type="spellStart"/>
      <w:r>
        <w:rPr>
          <w:rFonts w:eastAsia="Calibri" w:cs="Times New Roman"/>
          <w:szCs w:val="24"/>
          <w:lang w:eastAsia="es-ES"/>
        </w:rPr>
        <w:t>credit</w:t>
      </w:r>
      <w:proofErr w:type="spellEnd"/>
      <w:r>
        <w:rPr>
          <w:rFonts w:eastAsia="Calibri" w:cs="Times New Roman"/>
          <w:szCs w:val="24"/>
          <w:lang w:eastAsia="es-ES"/>
        </w:rPr>
        <w:t xml:space="preserve"> default swaps): Tiempo y medida en que el valor razonable de un activo financiero ha sido menor que su costo amortizado.</w:t>
      </w:r>
    </w:p>
    <w:p w14:paraId="52980F8F" w14:textId="77777777" w:rsidR="008748C1" w:rsidRDefault="00000000">
      <w:pPr>
        <w:numPr>
          <w:ilvl w:val="0"/>
          <w:numId w:val="50"/>
        </w:numPr>
        <w:tabs>
          <w:tab w:val="left" w:pos="1701"/>
        </w:tabs>
        <w:spacing w:after="0" w:line="240" w:lineRule="auto"/>
        <w:ind w:left="1701" w:hanging="425"/>
        <w:rPr>
          <w:rFonts w:eastAsia="Calibri" w:cs="Times New Roman"/>
          <w:szCs w:val="24"/>
          <w:lang w:eastAsia="es-ES"/>
        </w:rPr>
      </w:pPr>
      <w:r>
        <w:rPr>
          <w:rFonts w:eastAsia="Calibri" w:cs="Times New Roman"/>
          <w:szCs w:val="24"/>
          <w:lang w:eastAsia="es-ES"/>
        </w:rPr>
        <w:t>Precios de instrumentos de deuda e instrumentos de patrimonio u otra información de mercado del emisor.</w:t>
      </w:r>
    </w:p>
    <w:p w14:paraId="52980F90"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Cambios significativo real o esperado en la clasificación crediticia externa.</w:t>
      </w:r>
    </w:p>
    <w:p w14:paraId="52980F91"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Disminución en la clasificación crediticia interna real o esperada para el emisor o una disminución en el puntaje asignado para evaluar el riesgo crediticio internamente.</w:t>
      </w:r>
    </w:p>
    <w:p w14:paraId="52980F92"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Cambios adversos existentes o previstos en el negocio, condiciones económicas o financieras, en el entorno de regulación o tecnológico que puedan causar un cambio significativo adverso en la capacidad de pago de las obligaciones del emisor.</w:t>
      </w:r>
    </w:p>
    <w:p w14:paraId="52980F93"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Cambios significativos en los resultados operativos o en la situación financiera del emisor (reducción en los ingresos por actividades ordinarias, márgenes, deficiencias en el capital de trabajo, incrementos en el apalancamiento, problemas de gestión, etc.).</w:t>
      </w:r>
    </w:p>
    <w:p w14:paraId="52980F94"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Incremento de riesgo crediticio significativo de otros instrumentos financieros del emisor.</w:t>
      </w:r>
    </w:p>
    <w:p w14:paraId="52980F95"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 en el valor de la garantía colateral, la garantía otorgada por un tercero o mejoradores crediticios, los cuales se espera que reduzcan el incentivo del emisor para realizar pagos contractuales programados.</w:t>
      </w:r>
    </w:p>
    <w:p w14:paraId="52980F96"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 en la calidad de la garantía proporcionada por un accionista.</w:t>
      </w:r>
    </w:p>
    <w:p w14:paraId="52980F97"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Reducción en el apoyo financiero de una empresa controladora a su filial o cambio significativo en la mejora de la calidad crediticia (incluye evaluación de la condición financiera del garante o de las participaciones emitidas en titulizaciones).</w:t>
      </w:r>
    </w:p>
    <w:p w14:paraId="52980F98"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Cambios esperados en las condiciones de la emisión, periodos de gracia, aumentos en la tasa de interés, mayor requerimiento de garantías colaterales.</w:t>
      </w:r>
    </w:p>
    <w:p w14:paraId="52980F99"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Cambios significativos en rendimiento esperado y comportamiento de pagos del emisor, incluyendo cambio en el estatus de pagos de emisores de una misma base colectiva.</w:t>
      </w:r>
    </w:p>
    <w:p w14:paraId="52980F9A"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lastRenderedPageBreak/>
        <w:t>Cambios en el enfoque de gestión del crédito, basado en indicadores emergentes de cambios en el riesgo crediticio (por ejemplo, una empresa que opta una gestión activa o mantiene al emisor estrechamente vigilado).</w:t>
      </w:r>
    </w:p>
    <w:p w14:paraId="52980F9B"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Cambios en las condiciones económicas y/o de mercado generales (por ejemplo, aumento esperado de las tasas de desempleo, tasas de interés).</w:t>
      </w:r>
    </w:p>
    <w:p w14:paraId="52980F9C"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Incumplimientos esperados o potenciales de los contratos.</w:t>
      </w:r>
    </w:p>
    <w:p w14:paraId="52980F9D" w14:textId="77777777" w:rsidR="008748C1" w:rsidRDefault="00000000">
      <w:pPr>
        <w:numPr>
          <w:ilvl w:val="0"/>
          <w:numId w:val="4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Retraso esperado en el pago.</w:t>
      </w:r>
    </w:p>
    <w:p w14:paraId="52980F9E"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80" w:name="_Toc170226185"/>
      <w:bookmarkStart w:id="181" w:name="_Toc160009506"/>
      <w:bookmarkEnd w:id="179"/>
      <w:r>
        <w:rPr>
          <w:rFonts w:eastAsia="Times New Roman" w:cs="Arial"/>
          <w:b/>
          <w:bCs/>
          <w:szCs w:val="24"/>
          <w:u w:val="single"/>
          <w:lang w:eastAsia="es-ES"/>
        </w:rPr>
        <w:t>Activos financieros comprados u originados con deterioro de valor crediticio</w:t>
      </w:r>
      <w:bookmarkEnd w:id="180"/>
    </w:p>
    <w:p w14:paraId="52980F9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Para los activos financieros comprados u originados con deterioro de valor crediticio al costo amortizado se le aplica la tasa de interés efectiva ajustada por la calidad crediticia y no la tasa interés efectiva de origen o contractual. </w:t>
      </w:r>
    </w:p>
    <w:p w14:paraId="52980FA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En cada fecha de presentación, solo se reconocerá los cambios acumulados en las pérdidas crediticias esperadas durante el tiempo de vida del activo financiero desde el reconocimiento inicial como una corrección de valor por pérdidas para activos financieros con deterioro de valor crediticio. Una empresa reconocerá los cambios favorables en las pérdidas crediticias esperadas durante el tiempo de vida de la operación como una ganancia por deterioro de valor, incluso si estas últimas son menores que el importe de las pérdidas crediticias esperadas que estuvieran incluidas en los flujos de efectivo estimados en el momento del reconocimiento inicial.</w:t>
      </w:r>
    </w:p>
    <w:p w14:paraId="52980FA1" w14:textId="77777777" w:rsidR="008748C1" w:rsidRDefault="00000000">
      <w:pPr>
        <w:spacing w:before="60" w:after="60" w:line="240" w:lineRule="auto"/>
        <w:ind w:left="851"/>
        <w:jc w:val="both"/>
        <w:rPr>
          <w:rFonts w:eastAsia="Calibri" w:cs="Times New Roman"/>
          <w:szCs w:val="24"/>
          <w:lang w:eastAsia="es-ES"/>
        </w:rPr>
      </w:pPr>
      <w:r>
        <w:rPr>
          <w:rFonts w:eastAsia="Times New Roman" w:cs="Times New Roman"/>
          <w:lang w:eastAsia="es-ES"/>
        </w:rPr>
        <w:t>En tanto los activos financieros comprados u originados con deterioro de valor crediticio se</w:t>
      </w:r>
      <w:r>
        <w:rPr>
          <w:rFonts w:eastAsia="Calibri" w:cs="Times New Roman"/>
          <w:szCs w:val="24"/>
          <w:lang w:eastAsia="es-ES"/>
        </w:rPr>
        <w:t xml:space="preserve"> mantengan en calidad de deteriorados, no será aplicable la asignación de fases de deterioro de valor.</w:t>
      </w:r>
    </w:p>
    <w:p w14:paraId="52980FA2"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82" w:name="_Toc170226186"/>
      <w:r>
        <w:rPr>
          <w:rFonts w:eastAsia="Times New Roman" w:cs="Arial"/>
          <w:b/>
          <w:bCs/>
          <w:szCs w:val="24"/>
          <w:u w:val="single"/>
          <w:lang w:eastAsia="es-ES"/>
        </w:rPr>
        <w:t>Asignaciones de fases de deterior de valor</w:t>
      </w:r>
      <w:bookmarkEnd w:id="181"/>
      <w:bookmarkEnd w:id="182"/>
    </w:p>
    <w:p w14:paraId="52980FA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aplicación del enfoque general consiste en tres fases, tomando como criterio general que el pase de una fase a otra depende de los cambios que puedan determinarse en el riesgo crediticio del activo financiero desde el reconocimiento inicial. Las empresas deben contar con una metodología para la asignación de fases.</w:t>
      </w:r>
    </w:p>
    <w:p w14:paraId="52980FA4" w14:textId="77777777" w:rsidR="008748C1" w:rsidRDefault="00000000">
      <w:pPr>
        <w:numPr>
          <w:ilvl w:val="0"/>
          <w:numId w:val="48"/>
        </w:numPr>
        <w:spacing w:after="120" w:line="240" w:lineRule="auto"/>
        <w:ind w:left="1134" w:hanging="283"/>
        <w:jc w:val="both"/>
        <w:rPr>
          <w:rFonts w:eastAsia="Calibri" w:cs="Times New Roman"/>
          <w:b/>
          <w:bCs/>
          <w:szCs w:val="24"/>
          <w:lang w:eastAsia="es-ES"/>
        </w:rPr>
      </w:pPr>
      <w:r>
        <w:rPr>
          <w:rFonts w:eastAsia="Calibri" w:cs="Times New Roman"/>
          <w:b/>
          <w:bCs/>
          <w:szCs w:val="24"/>
          <w:lang w:eastAsia="es-ES"/>
        </w:rPr>
        <w:t xml:space="preserve">Fase 1:   </w:t>
      </w:r>
      <w:r>
        <w:rPr>
          <w:rFonts w:eastAsia="Calibri" w:cs="Times New Roman"/>
          <w:b/>
          <w:bCs/>
          <w:szCs w:val="24"/>
          <w:lang w:eastAsia="es-ES"/>
        </w:rPr>
        <w:tab/>
      </w:r>
    </w:p>
    <w:p w14:paraId="52980FA5" w14:textId="77777777" w:rsidR="008748C1" w:rsidRDefault="00000000">
      <w:pPr>
        <w:spacing w:after="120" w:line="240" w:lineRule="auto"/>
        <w:ind w:left="1134"/>
        <w:jc w:val="both"/>
        <w:rPr>
          <w:rFonts w:eastAsia="Calibri" w:cs="Times New Roman"/>
          <w:szCs w:val="24"/>
          <w:lang w:eastAsia="es-ES"/>
        </w:rPr>
      </w:pPr>
      <w:r>
        <w:rPr>
          <w:rFonts w:eastAsia="Calibri" w:cs="Times New Roman"/>
          <w:szCs w:val="24"/>
          <w:lang w:eastAsia="es-ES"/>
        </w:rPr>
        <w:t>Para aquellos activos cuya calidad crediticia no se ha deteriorado significativamente desde el reconocimiento inicial.</w:t>
      </w:r>
    </w:p>
    <w:p w14:paraId="52980FA6" w14:textId="77777777" w:rsidR="008748C1" w:rsidRDefault="00000000">
      <w:pPr>
        <w:numPr>
          <w:ilvl w:val="0"/>
          <w:numId w:val="48"/>
        </w:numPr>
        <w:spacing w:after="120" w:line="240" w:lineRule="auto"/>
        <w:ind w:left="1134" w:hanging="283"/>
        <w:jc w:val="both"/>
        <w:rPr>
          <w:rFonts w:eastAsia="Calibri" w:cs="Times New Roman"/>
          <w:b/>
          <w:bCs/>
          <w:szCs w:val="24"/>
          <w:lang w:eastAsia="es-ES"/>
        </w:rPr>
      </w:pPr>
      <w:r>
        <w:rPr>
          <w:rFonts w:eastAsia="Calibri" w:cs="Times New Roman"/>
          <w:b/>
          <w:bCs/>
          <w:szCs w:val="24"/>
          <w:lang w:eastAsia="es-ES"/>
        </w:rPr>
        <w:t xml:space="preserve">Fase 2: </w:t>
      </w:r>
      <w:r>
        <w:rPr>
          <w:rFonts w:eastAsia="Calibri" w:cs="Times New Roman"/>
          <w:b/>
          <w:bCs/>
          <w:szCs w:val="24"/>
          <w:lang w:eastAsia="es-ES"/>
        </w:rPr>
        <w:tab/>
      </w:r>
    </w:p>
    <w:p w14:paraId="52980FA7" w14:textId="77777777" w:rsidR="008748C1" w:rsidRDefault="00000000">
      <w:pPr>
        <w:spacing w:after="120" w:line="240" w:lineRule="auto"/>
        <w:ind w:left="1134"/>
        <w:jc w:val="both"/>
        <w:rPr>
          <w:rFonts w:eastAsia="Calibri" w:cs="Times New Roman"/>
          <w:szCs w:val="24"/>
          <w:lang w:eastAsia="es-ES"/>
        </w:rPr>
      </w:pPr>
      <w:r>
        <w:rPr>
          <w:rFonts w:eastAsia="Calibri" w:cs="Times New Roman"/>
          <w:szCs w:val="24"/>
          <w:lang w:eastAsia="es-ES"/>
        </w:rPr>
        <w:t>Para activos con incremento significativo en el riesgo (empeoramiento de su calidad crediticia), pero todavía sin evidencia objetiva de deterioro.</w:t>
      </w:r>
    </w:p>
    <w:p w14:paraId="52980FA8" w14:textId="77777777" w:rsidR="008748C1" w:rsidRDefault="00000000">
      <w:pPr>
        <w:numPr>
          <w:ilvl w:val="0"/>
          <w:numId w:val="48"/>
        </w:numPr>
        <w:spacing w:after="120" w:line="240" w:lineRule="auto"/>
        <w:ind w:left="1134" w:hanging="283"/>
        <w:jc w:val="both"/>
        <w:rPr>
          <w:rFonts w:eastAsia="Calibri" w:cs="Times New Roman"/>
          <w:b/>
          <w:bCs/>
          <w:szCs w:val="24"/>
          <w:lang w:eastAsia="es-ES"/>
        </w:rPr>
      </w:pPr>
      <w:r>
        <w:rPr>
          <w:rFonts w:eastAsia="Calibri" w:cs="Times New Roman"/>
          <w:b/>
          <w:bCs/>
          <w:szCs w:val="24"/>
          <w:lang w:eastAsia="es-ES"/>
        </w:rPr>
        <w:t>Fase 3:</w:t>
      </w:r>
    </w:p>
    <w:p w14:paraId="52980FA9" w14:textId="77777777" w:rsidR="008748C1" w:rsidRDefault="00000000">
      <w:pPr>
        <w:spacing w:after="120" w:line="240" w:lineRule="auto"/>
        <w:ind w:left="1134"/>
        <w:jc w:val="both"/>
        <w:rPr>
          <w:rFonts w:eastAsia="Calibri" w:cs="Times New Roman"/>
          <w:szCs w:val="24"/>
          <w:lang w:eastAsia="es-ES"/>
        </w:rPr>
      </w:pPr>
      <w:r>
        <w:rPr>
          <w:rFonts w:eastAsia="Calibri" w:cs="Times New Roman"/>
          <w:szCs w:val="24"/>
          <w:lang w:eastAsia="es-ES"/>
        </w:rPr>
        <w:t>Para activos con evidencia objetiva de deterioro a la fecha de reporte.</w:t>
      </w:r>
    </w:p>
    <w:p w14:paraId="52980FAA" w14:textId="77777777" w:rsidR="008748C1" w:rsidRDefault="008748C1">
      <w:pPr>
        <w:spacing w:before="60" w:after="60" w:line="240" w:lineRule="auto"/>
        <w:jc w:val="both"/>
        <w:rPr>
          <w:rFonts w:eastAsia="Times New Roman" w:cs="Times New Roman"/>
          <w:lang w:eastAsia="es-ES"/>
        </w:rPr>
      </w:pPr>
    </w:p>
    <w:p w14:paraId="52980FAB" w14:textId="77777777" w:rsidR="008748C1" w:rsidRDefault="00000000">
      <w:pPr>
        <w:spacing w:before="60" w:after="60" w:line="240" w:lineRule="auto"/>
        <w:ind w:left="851"/>
        <w:jc w:val="both"/>
      </w:pPr>
      <w:r>
        <w:t>Las empresas pueden aplicar la “Metodología estándar para la asignación de fases (</w:t>
      </w:r>
      <w:proofErr w:type="spellStart"/>
      <w:r>
        <w:rPr>
          <w:i/>
          <w:iCs/>
        </w:rPr>
        <w:t>stages</w:t>
      </w:r>
      <w:proofErr w:type="spellEnd"/>
      <w:r>
        <w:t>) de deterioro de valor de instrumentos de deuda clasificadas a costo amortizado y a valor razonable con cambios en otro resultado integral (ORI)”. Esta identificación debe realizarse con ocasión de elaboración de los estados financieros mensuales.</w:t>
      </w:r>
    </w:p>
    <w:p w14:paraId="52980FAC" w14:textId="77777777" w:rsidR="008748C1" w:rsidRDefault="008748C1">
      <w:pPr>
        <w:spacing w:before="60" w:after="60" w:line="240" w:lineRule="auto"/>
        <w:ind w:left="851"/>
        <w:jc w:val="both"/>
      </w:pPr>
    </w:p>
    <w:p w14:paraId="52980FAD" w14:textId="77777777" w:rsidR="008748C1" w:rsidRDefault="00000000">
      <w:pPr>
        <w:spacing w:before="60" w:after="60" w:line="240" w:lineRule="auto"/>
        <w:ind w:left="851"/>
        <w:jc w:val="both"/>
      </w:pPr>
      <w:r>
        <w:t>Las empresas pueden desarrollar y aplicar otra metodología diferente a la “Metodología estándar para la asignación de fases (</w:t>
      </w:r>
      <w:proofErr w:type="spellStart"/>
      <w:r>
        <w:rPr>
          <w:i/>
          <w:iCs/>
        </w:rPr>
        <w:t>stages</w:t>
      </w:r>
      <w:proofErr w:type="spellEnd"/>
      <w:r>
        <w:t xml:space="preserve">) de deterioro de valor de instrumentos de deuda clasificadas a costo amortizado y a valor razonable con cambios en otro resultado integral (ORI)” indicada en el párrafo </w:t>
      </w:r>
      <w:r>
        <w:lastRenderedPageBreak/>
        <w:t>anterior, que cumplan los lineamientos generales de este Reglamento y la NIIF 9. Esta metodología debe mantenerse a disposición de la Superintendencia la cual puede solicitar ajustes o mejoras a dicha metodología.</w:t>
      </w:r>
    </w:p>
    <w:p w14:paraId="52980FAE" w14:textId="77777777" w:rsidR="008748C1" w:rsidRDefault="008748C1">
      <w:pPr>
        <w:spacing w:before="60" w:after="60" w:line="240" w:lineRule="auto"/>
        <w:ind w:left="851"/>
        <w:jc w:val="both"/>
        <w:rPr>
          <w:rFonts w:eastAsia="Times New Roman" w:cs="Times New Roman"/>
          <w:lang w:eastAsia="es-ES"/>
        </w:rPr>
      </w:pPr>
    </w:p>
    <w:p w14:paraId="52980FA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Considerando la fase asignada al activo financiero, las pérdidas crediticias esperadas (PCE) se determinan de la siguiente manera:</w:t>
      </w:r>
    </w:p>
    <w:p w14:paraId="52980FB0" w14:textId="77777777" w:rsidR="008748C1" w:rsidRDefault="008748C1">
      <w:pPr>
        <w:spacing w:before="60" w:after="60" w:line="240" w:lineRule="auto"/>
        <w:ind w:left="851"/>
        <w:jc w:val="both"/>
        <w:rPr>
          <w:rFonts w:eastAsia="Times New Roman" w:cs="Times New Roman"/>
          <w:lang w:eastAsia="es-ES"/>
        </w:rPr>
      </w:pPr>
    </w:p>
    <w:p w14:paraId="52980FB1" w14:textId="77777777" w:rsidR="008748C1" w:rsidRDefault="00000000">
      <w:pPr>
        <w:spacing w:after="120" w:line="240" w:lineRule="auto"/>
        <w:ind w:left="851"/>
        <w:rPr>
          <w:rFonts w:eastAsia="Calibri" w:cs="Times New Roman"/>
          <w:szCs w:val="24"/>
          <w:lang w:eastAsia="es-ES"/>
        </w:rPr>
      </w:pPr>
      <w:r>
        <w:rPr>
          <w:rFonts w:eastAsia="Calibri" w:cs="Times New Roman"/>
          <w:b/>
          <w:bCs/>
          <w:szCs w:val="24"/>
          <w:lang w:eastAsia="es-ES"/>
        </w:rPr>
        <w:t>Fase 1:</w:t>
      </w:r>
      <w:r>
        <w:rPr>
          <w:rFonts w:eastAsia="Calibri" w:cs="Times New Roman"/>
          <w:szCs w:val="24"/>
          <w:lang w:eastAsia="es-ES"/>
        </w:rPr>
        <w:t xml:space="preserve"> </w:t>
      </w:r>
      <w:r>
        <w:rPr>
          <w:rFonts w:eastAsia="Calibri" w:cs="Times New Roman"/>
          <w:i/>
          <w:iCs/>
          <w:szCs w:val="24"/>
          <w:lang w:eastAsia="es-ES"/>
        </w:rPr>
        <w:t>PD de 12 meses * LGD * EAD</w:t>
      </w:r>
    </w:p>
    <w:p w14:paraId="52980FB2" w14:textId="77777777" w:rsidR="008748C1" w:rsidRDefault="00000000">
      <w:pPr>
        <w:spacing w:after="120" w:line="240" w:lineRule="auto"/>
        <w:ind w:left="851"/>
        <w:rPr>
          <w:rFonts w:eastAsia="Calibri" w:cs="Times New Roman"/>
          <w:i/>
          <w:iCs/>
          <w:szCs w:val="24"/>
          <w:lang w:eastAsia="es-ES"/>
        </w:rPr>
      </w:pPr>
      <w:r>
        <w:rPr>
          <w:rFonts w:eastAsia="Calibri" w:cs="Times New Roman"/>
          <w:b/>
          <w:bCs/>
          <w:szCs w:val="24"/>
          <w:lang w:eastAsia="es-ES"/>
        </w:rPr>
        <w:t>Fase 2:</w:t>
      </w:r>
      <w:r>
        <w:rPr>
          <w:rFonts w:eastAsia="Calibri" w:cs="Times New Roman"/>
          <w:szCs w:val="24"/>
          <w:lang w:eastAsia="es-ES"/>
        </w:rPr>
        <w:t xml:space="preserve"> </w:t>
      </w:r>
      <w:r>
        <w:rPr>
          <w:rFonts w:eastAsia="Calibri" w:cs="Times New Roman"/>
          <w:i/>
          <w:iCs/>
          <w:szCs w:val="24"/>
          <w:lang w:eastAsia="es-ES"/>
        </w:rPr>
        <w:t>PD de la vida del activo * LGD * EAD</w:t>
      </w:r>
    </w:p>
    <w:p w14:paraId="52980FB3" w14:textId="77777777" w:rsidR="008748C1" w:rsidRDefault="00000000">
      <w:pPr>
        <w:spacing w:after="120" w:line="240" w:lineRule="auto"/>
        <w:ind w:left="851"/>
        <w:jc w:val="both"/>
        <w:rPr>
          <w:rFonts w:eastAsia="Calibri" w:cs="Times New Roman"/>
          <w:i/>
          <w:iCs/>
          <w:szCs w:val="24"/>
          <w:lang w:eastAsia="es-ES"/>
        </w:rPr>
      </w:pPr>
      <w:r>
        <w:rPr>
          <w:rFonts w:eastAsia="Calibri" w:cs="Times New Roman"/>
          <w:b/>
          <w:bCs/>
          <w:szCs w:val="24"/>
          <w:lang w:eastAsia="es-ES"/>
        </w:rPr>
        <w:t>Fase 3:</w:t>
      </w:r>
      <w:r>
        <w:rPr>
          <w:rFonts w:eastAsia="Calibri" w:cs="Times New Roman"/>
          <w:szCs w:val="24"/>
          <w:lang w:eastAsia="es-ES"/>
        </w:rPr>
        <w:t xml:space="preserve"> </w:t>
      </w:r>
      <w:r>
        <w:rPr>
          <w:rFonts w:eastAsia="Calibri" w:cs="Times New Roman"/>
          <w:i/>
          <w:iCs/>
          <w:szCs w:val="24"/>
          <w:lang w:eastAsia="es-ES"/>
        </w:rPr>
        <w:t>LGD * EAD</w:t>
      </w:r>
    </w:p>
    <w:p w14:paraId="52980FB4" w14:textId="77777777" w:rsidR="008748C1" w:rsidRDefault="008748C1">
      <w:pPr>
        <w:spacing w:before="60" w:after="60" w:line="240" w:lineRule="auto"/>
        <w:ind w:left="851"/>
        <w:jc w:val="both"/>
        <w:rPr>
          <w:rFonts w:eastAsia="Times New Roman" w:cs="Times New Roman"/>
          <w:lang w:eastAsia="es-ES"/>
        </w:rPr>
      </w:pPr>
    </w:p>
    <w:p w14:paraId="52980FB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Donde:  </w:t>
      </w:r>
    </w:p>
    <w:p w14:paraId="52980FB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i/>
          <w:iCs/>
          <w:lang w:eastAsia="es-ES"/>
        </w:rPr>
        <w:t>PD</w:t>
      </w:r>
      <w:r>
        <w:rPr>
          <w:rFonts w:eastAsia="Times New Roman" w:cs="Times New Roman"/>
          <w:lang w:eastAsia="es-ES"/>
        </w:rPr>
        <w:t xml:space="preserve">: Probabilidad de incumplimiento </w:t>
      </w:r>
    </w:p>
    <w:p w14:paraId="52980FB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i/>
          <w:iCs/>
          <w:lang w:eastAsia="es-ES"/>
        </w:rPr>
        <w:t>LGD</w:t>
      </w:r>
      <w:r>
        <w:rPr>
          <w:rFonts w:eastAsia="Times New Roman" w:cs="Times New Roman"/>
          <w:lang w:eastAsia="es-ES"/>
        </w:rPr>
        <w:t xml:space="preserve">: Pérdida dado el incumplimiento </w:t>
      </w:r>
    </w:p>
    <w:p w14:paraId="52980FB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i/>
          <w:iCs/>
          <w:lang w:eastAsia="es-ES"/>
        </w:rPr>
        <w:t>EAD</w:t>
      </w:r>
      <w:r>
        <w:rPr>
          <w:rFonts w:eastAsia="Times New Roman" w:cs="Times New Roman"/>
          <w:lang w:eastAsia="es-ES"/>
        </w:rPr>
        <w:t xml:space="preserve">: Exposición ante el incumplimiento </w:t>
      </w:r>
    </w:p>
    <w:p w14:paraId="52980FB9" w14:textId="77777777" w:rsidR="008748C1" w:rsidRDefault="008748C1">
      <w:pPr>
        <w:spacing w:after="120" w:line="240" w:lineRule="auto"/>
        <w:jc w:val="both"/>
        <w:rPr>
          <w:rFonts w:eastAsia="Calibri" w:cs="Times New Roman"/>
          <w:szCs w:val="24"/>
          <w:lang w:eastAsia="es-ES"/>
        </w:rPr>
      </w:pPr>
    </w:p>
    <w:p w14:paraId="52980FBA" w14:textId="77777777" w:rsidR="008748C1" w:rsidRDefault="00000000">
      <w:pPr>
        <w:spacing w:after="120" w:line="240" w:lineRule="auto"/>
        <w:ind w:left="851"/>
        <w:jc w:val="both"/>
        <w:rPr>
          <w:rFonts w:eastAsia="Calibri" w:cs="Times New Roman"/>
          <w:szCs w:val="24"/>
          <w:lang w:eastAsia="es-ES"/>
        </w:rPr>
      </w:pPr>
      <w:r>
        <w:rPr>
          <w:rFonts w:eastAsia="Calibri" w:cs="Times New Roman"/>
          <w:szCs w:val="24"/>
          <w:lang w:eastAsia="es-ES"/>
        </w:rPr>
        <w:t>En el caso de los instrumentos de deuda asignados en fase 3 se debe considerar que la PCE máxima corresponde al valor contable del instrumento.</w:t>
      </w:r>
    </w:p>
    <w:p w14:paraId="52980FBB"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183" w:name="_Toc164103395"/>
      <w:bookmarkStart w:id="184" w:name="_Toc154731907"/>
      <w:bookmarkStart w:id="185" w:name="_Toc160009507"/>
      <w:bookmarkStart w:id="186" w:name="_Toc154734529"/>
      <w:r>
        <w:rPr>
          <w:rFonts w:eastAsia="Times New Roman" w:cs="Arial"/>
          <w:b/>
          <w:szCs w:val="24"/>
          <w:lang w:eastAsia="es-ES"/>
        </w:rPr>
        <w:t>Metodología Estándar para la asignación de fases (</w:t>
      </w:r>
      <w:proofErr w:type="spellStart"/>
      <w:r>
        <w:rPr>
          <w:rFonts w:eastAsia="Times New Roman" w:cs="Arial"/>
          <w:b/>
          <w:i/>
          <w:iCs/>
          <w:szCs w:val="24"/>
          <w:lang w:eastAsia="es-ES"/>
        </w:rPr>
        <w:t>stages</w:t>
      </w:r>
      <w:proofErr w:type="spellEnd"/>
      <w:r>
        <w:rPr>
          <w:rFonts w:eastAsia="Times New Roman" w:cs="Arial"/>
          <w:b/>
          <w:szCs w:val="24"/>
          <w:lang w:eastAsia="es-ES"/>
        </w:rPr>
        <w:t xml:space="preserve">) </w:t>
      </w:r>
      <w:bookmarkEnd w:id="183"/>
      <w:bookmarkEnd w:id="184"/>
      <w:bookmarkEnd w:id="185"/>
      <w:bookmarkEnd w:id="186"/>
      <w:r>
        <w:rPr>
          <w:rStyle w:val="normaltextrun"/>
          <w:b/>
          <w:bCs/>
          <w:shd w:val="clear" w:color="auto" w:fill="FFFFFF"/>
        </w:rPr>
        <w:t>de deterioro de valor de Activos Financieros clasificados al Costo Amortizado y Valor Razonable con Cambios en Otro Resultado Integral (ORI)</w:t>
      </w:r>
      <w:r>
        <w:rPr>
          <w:rStyle w:val="eop"/>
          <w:b/>
          <w:bCs/>
          <w:shd w:val="clear" w:color="auto" w:fill="FFFFFF"/>
        </w:rPr>
        <w:t> </w:t>
      </w:r>
    </w:p>
    <w:p w14:paraId="52980FB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empresas que no cuenten con una metodología de asignación de fases de deterioro de valor para cada uno de sus instrumentos de deuda deben cumplir con la metodología establecida en esta sección. Esta asignación debe realizarse en cada fecha de presentación de información financiera.</w:t>
      </w:r>
    </w:p>
    <w:p w14:paraId="52980FBD"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87" w:name="_Toc154734530"/>
      <w:bookmarkStart w:id="188" w:name="_Toc164103396"/>
      <w:bookmarkStart w:id="189" w:name="_Toc160009508"/>
      <w:r>
        <w:rPr>
          <w:rFonts w:eastAsia="Times New Roman" w:cs="Arial"/>
          <w:b/>
          <w:bCs/>
          <w:szCs w:val="24"/>
          <w:u w:val="single"/>
          <w:lang w:eastAsia="es-ES"/>
        </w:rPr>
        <w:t>Lineamientos generales</w:t>
      </w:r>
      <w:bookmarkEnd w:id="187"/>
      <w:bookmarkEnd w:id="188"/>
      <w:bookmarkEnd w:id="189"/>
    </w:p>
    <w:p w14:paraId="52980FBE" w14:textId="77777777" w:rsidR="008748C1" w:rsidRDefault="00000000">
      <w:pPr>
        <w:numPr>
          <w:ilvl w:val="0"/>
          <w:numId w:val="51"/>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La evaluación se realiza por cada instrumento de inversión que mantiene la empresa, de acuerdo con la fecha de adquisición del instrumento. Al momento de compra todo instrumento financiero es asignado automáticamente a la Fase 1.</w:t>
      </w:r>
    </w:p>
    <w:p w14:paraId="52980FBF" w14:textId="77777777" w:rsidR="008748C1" w:rsidRDefault="00000000">
      <w:pPr>
        <w:numPr>
          <w:ilvl w:val="0"/>
          <w:numId w:val="51"/>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La Probabilidad de Incumplimiento evaluada debe considerar lineamientos señalados en el presente capítulo.</w:t>
      </w:r>
    </w:p>
    <w:p w14:paraId="52980FC0" w14:textId="77777777" w:rsidR="008748C1" w:rsidRDefault="00000000">
      <w:pPr>
        <w:numPr>
          <w:ilvl w:val="0"/>
          <w:numId w:val="51"/>
        </w:numPr>
        <w:spacing w:before="20" w:after="20" w:line="240" w:lineRule="auto"/>
        <w:ind w:left="1276" w:hanging="425"/>
        <w:jc w:val="both"/>
        <w:rPr>
          <w:rFonts w:eastAsia="Calibri" w:cs="Times New Roman"/>
          <w:szCs w:val="24"/>
          <w:lang w:eastAsia="es-ES"/>
        </w:rPr>
      </w:pPr>
      <w:bookmarkStart w:id="190" w:name="_Hlk178155269"/>
      <w:r>
        <w:rPr>
          <w:rFonts w:eastAsia="Calibri" w:cs="Times New Roman"/>
          <w:szCs w:val="24"/>
          <w:lang w:eastAsia="es-ES"/>
        </w:rPr>
        <w:t xml:space="preserve">La Unidad de Riesgos es responsable de diseñar una metodología que permita asignar a los instrumentos financieros en cada una de las fases de deterioro de valor, en complemento del análisis de los requisitos planteados en la sección “Asignación de fases de deterioro de valor”. </w:t>
      </w:r>
    </w:p>
    <w:p w14:paraId="52980FC1" w14:textId="77777777" w:rsidR="008748C1" w:rsidRDefault="00000000">
      <w:pPr>
        <w:numPr>
          <w:ilvl w:val="0"/>
          <w:numId w:val="51"/>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Esta metodología debe ser aprobada por el Comité de Riesgos, y ser revisada con una frecuencia mínima anual. Como mínimo, esta metodología establece los criterios respecto a la situación financiera admisible para asignar los instrumentos a cada fase de modo que se evidencie el debilitamiento del emisor y/o su grupo económico y no podrá contradecir la asignación de fases establecida en la sección “Asignación de fases de deterioro de valor” cuando corresponda asignar a una fase superior.</w:t>
      </w:r>
    </w:p>
    <w:bookmarkEnd w:id="190"/>
    <w:p w14:paraId="52980FC2" w14:textId="77777777" w:rsidR="008748C1" w:rsidRDefault="00000000">
      <w:pPr>
        <w:numPr>
          <w:ilvl w:val="0"/>
          <w:numId w:val="51"/>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Cuando la empresa considere que los criterios definidos en la sección “Asignación de fases de deterioro de valor” o los establecidos por la empresa en cumplimiento del lineamiento 3 no son suficientes y corresponde asignar al activo financiero una fase superior de riesgo podrá realizar </w:t>
      </w:r>
      <w:r>
        <w:rPr>
          <w:rFonts w:eastAsia="Calibri" w:cs="Times New Roman"/>
          <w:szCs w:val="24"/>
          <w:lang w:eastAsia="es-ES"/>
        </w:rPr>
        <w:lastRenderedPageBreak/>
        <w:t>dicha asignación previa aprobación del Comité de Riesgos. Bajo ningún caso se permite, discrecionalmente, asignar a una fase inferior de riesgo si es que aún se activan los requisitos señalados para llevar el instrumento a una fase superior de riesgo.</w:t>
      </w:r>
    </w:p>
    <w:p w14:paraId="52980FC3" w14:textId="77777777" w:rsidR="008748C1" w:rsidRDefault="00000000">
      <w:pPr>
        <w:numPr>
          <w:ilvl w:val="0"/>
          <w:numId w:val="51"/>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En caso un instrumento financiero presente una mejora de su calidad crediticia y la empresa desee ubicarlo en una fase de riesgo inferior deberá verificar que el instrumento evaluado cumpla las condiciones de la fase donde correspondería reasignar por un periodo mínimo de: i) 12 meses consecutivos para reasignación de fase 3 a 2 y </w:t>
      </w:r>
      <w:proofErr w:type="spellStart"/>
      <w:r>
        <w:rPr>
          <w:rFonts w:eastAsia="Calibri" w:cs="Times New Roman"/>
          <w:szCs w:val="24"/>
          <w:lang w:eastAsia="es-ES"/>
        </w:rPr>
        <w:t>ii</w:t>
      </w:r>
      <w:proofErr w:type="spellEnd"/>
      <w:r>
        <w:rPr>
          <w:rFonts w:eastAsia="Calibri" w:cs="Times New Roman"/>
          <w:szCs w:val="24"/>
          <w:lang w:eastAsia="es-ES"/>
        </w:rPr>
        <w:t>) 6 meses consecutivos para reasignación de fase 2 a 1</w:t>
      </w:r>
    </w:p>
    <w:p w14:paraId="52980FC4"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191" w:name="_Toc154734531"/>
      <w:bookmarkStart w:id="192" w:name="_Toc160009509"/>
      <w:bookmarkStart w:id="193" w:name="_Toc164103397"/>
      <w:r>
        <w:rPr>
          <w:rFonts w:eastAsia="Times New Roman" w:cs="Arial"/>
          <w:b/>
          <w:bCs/>
          <w:szCs w:val="24"/>
          <w:u w:val="single"/>
          <w:lang w:eastAsia="es-ES"/>
        </w:rPr>
        <w:t>Evaluación de requisitos para la asignación de fases</w:t>
      </w:r>
      <w:bookmarkEnd w:id="191"/>
      <w:bookmarkEnd w:id="192"/>
      <w:bookmarkEnd w:id="193"/>
    </w:p>
    <w:p w14:paraId="52980FC5" w14:textId="77777777" w:rsidR="008748C1" w:rsidRDefault="00000000">
      <w:pPr>
        <w:numPr>
          <w:ilvl w:val="0"/>
          <w:numId w:val="52"/>
        </w:numPr>
        <w:autoSpaceDE w:val="0"/>
        <w:autoSpaceDN w:val="0"/>
        <w:adjustRightInd w:val="0"/>
        <w:spacing w:before="240" w:after="60" w:line="240" w:lineRule="auto"/>
        <w:ind w:left="1276" w:hanging="424"/>
        <w:jc w:val="both"/>
        <w:rPr>
          <w:rFonts w:eastAsia="Calibri" w:cs="Arial"/>
          <w:b/>
          <w:bCs/>
          <w:szCs w:val="24"/>
          <w:lang w:eastAsia="es-ES"/>
        </w:rPr>
      </w:pPr>
      <w:r>
        <w:rPr>
          <w:rFonts w:eastAsia="Calibri" w:cs="Arial"/>
          <w:b/>
          <w:bCs/>
          <w:szCs w:val="24"/>
          <w:lang w:eastAsia="es-ES"/>
        </w:rPr>
        <w:t>Asignación a la Fase 2</w:t>
      </w:r>
    </w:p>
    <w:p w14:paraId="52980FC6" w14:textId="77777777" w:rsidR="008748C1" w:rsidRDefault="00000000">
      <w:pPr>
        <w:spacing w:after="120" w:line="240" w:lineRule="auto"/>
        <w:ind w:left="1276"/>
        <w:jc w:val="both"/>
        <w:rPr>
          <w:rFonts w:eastAsia="Arial Narrow" w:cs="Arial Narrow"/>
          <w:szCs w:val="24"/>
          <w:lang w:eastAsia="es-ES"/>
        </w:rPr>
      </w:pPr>
      <w:r>
        <w:rPr>
          <w:rFonts w:eastAsia="Arial Narrow" w:cs="Arial Narrow"/>
          <w:szCs w:val="24"/>
          <w:lang w:eastAsia="es-ES"/>
        </w:rPr>
        <w:t>Se considera que existe un incremento significativo del riesgo si es que se cumple al menos uno (01) de los siguientes criterios automáticos, por lo que el instrumento de deuda deberá ser reasignado de la fase 1 a la fase 2:</w:t>
      </w:r>
    </w:p>
    <w:p w14:paraId="52980FC7" w14:textId="77777777" w:rsidR="008748C1" w:rsidRDefault="00000000">
      <w:pPr>
        <w:numPr>
          <w:ilvl w:val="0"/>
          <w:numId w:val="53"/>
        </w:numPr>
        <w:tabs>
          <w:tab w:val="left" w:pos="1701"/>
        </w:tabs>
        <w:spacing w:before="30" w:after="30" w:line="240" w:lineRule="auto"/>
        <w:ind w:left="1701" w:hanging="425"/>
        <w:jc w:val="both"/>
        <w:rPr>
          <w:rFonts w:ascii="Arial" w:eastAsia="Times New Roman" w:hAnsi="Arial" w:cs="Times New Roman"/>
          <w:szCs w:val="24"/>
          <w:lang w:eastAsia="es-ES"/>
        </w:rPr>
      </w:pPr>
      <w:r>
        <w:rPr>
          <w:rFonts w:eastAsia="Times New Roman" w:cs="Times New Roman"/>
          <w:szCs w:val="24"/>
          <w:lang w:eastAsia="es-ES"/>
        </w:rPr>
        <w:t>Las condiciones contractuales del instrumento de deuda han sido renegociadas por factores económicos vinculados al emisor, siempre que estas no hayan sido originadas por retraso en el pago de sus obligaciones.</w:t>
      </w:r>
    </w:p>
    <w:p w14:paraId="52980FC8" w14:textId="77777777" w:rsidR="008748C1" w:rsidRDefault="00000000">
      <w:pPr>
        <w:numPr>
          <w:ilvl w:val="0"/>
          <w:numId w:val="53"/>
        </w:numPr>
        <w:spacing w:after="0" w:line="240" w:lineRule="auto"/>
        <w:ind w:left="1701" w:hanging="425"/>
        <w:jc w:val="both"/>
        <w:rPr>
          <w:rFonts w:eastAsia="Times New Roman" w:cs="Times New Roman"/>
          <w:szCs w:val="24"/>
          <w:lang w:eastAsia="es-ES"/>
        </w:rPr>
      </w:pPr>
      <w:r>
        <w:rPr>
          <w:rFonts w:eastAsia="Times New Roman" w:cs="Times New Roman"/>
          <w:szCs w:val="24"/>
          <w:lang w:eastAsia="es-ES"/>
        </w:rPr>
        <w:t>Para los instrumentos de deuda adquiridos con grado de inversión, estos han perdido dicho grado, sin haber caído en incumplimiento.  Para los instrumentos adquiridos sin grado de inversión, estos han perdido por lo menos un “</w:t>
      </w:r>
      <w:proofErr w:type="spellStart"/>
      <w:r>
        <w:rPr>
          <w:rFonts w:eastAsia="Times New Roman" w:cs="Times New Roman"/>
          <w:szCs w:val="24"/>
          <w:lang w:eastAsia="es-ES"/>
        </w:rPr>
        <w:t>notch</w:t>
      </w:r>
      <w:proofErr w:type="spellEnd"/>
      <w:r>
        <w:rPr>
          <w:rFonts w:eastAsia="Times New Roman" w:cs="Times New Roman"/>
          <w:szCs w:val="24"/>
          <w:lang w:eastAsia="es-ES"/>
        </w:rPr>
        <w:t>" con respecto a la clasificación al momento de adquisición, sin haber caído en incumplimiento.  Al respecto, un “</w:t>
      </w:r>
      <w:proofErr w:type="spellStart"/>
      <w:r>
        <w:rPr>
          <w:rFonts w:eastAsia="Times New Roman" w:cs="Times New Roman"/>
          <w:szCs w:val="24"/>
          <w:lang w:eastAsia="es-ES"/>
        </w:rPr>
        <w:t>notch</w:t>
      </w:r>
      <w:proofErr w:type="spellEnd"/>
      <w:r>
        <w:rPr>
          <w:rFonts w:eastAsia="Times New Roman" w:cs="Times New Roman"/>
          <w:szCs w:val="24"/>
          <w:lang w:eastAsia="es-ES"/>
        </w:rPr>
        <w:t>” corresponde a la diferencia mínima entre dos calificaciones de riesgo dentro de una misma escala de calificación.</w:t>
      </w:r>
    </w:p>
    <w:p w14:paraId="52980FC9" w14:textId="77777777" w:rsidR="008748C1" w:rsidRDefault="00000000">
      <w:pPr>
        <w:numPr>
          <w:ilvl w:val="0"/>
          <w:numId w:val="53"/>
        </w:numPr>
        <w:spacing w:before="30" w:after="30" w:line="240" w:lineRule="auto"/>
        <w:ind w:left="1701" w:hanging="425"/>
        <w:jc w:val="both"/>
        <w:rPr>
          <w:rFonts w:ascii="Arial" w:eastAsia="Times New Roman" w:hAnsi="Arial" w:cs="Times New Roman"/>
          <w:szCs w:val="24"/>
          <w:lang w:eastAsia="es-ES"/>
        </w:rPr>
      </w:pPr>
      <w:r>
        <w:rPr>
          <w:rFonts w:eastAsia="Times New Roman" w:cs="Times New Roman"/>
          <w:szCs w:val="24"/>
          <w:lang w:eastAsia="es-ES"/>
        </w:rPr>
        <w:t>La clasificación crediticia del emisor en el Sistema Financiero se encuentra en categoría Con Problemas Potenciales.</w:t>
      </w:r>
    </w:p>
    <w:p w14:paraId="52980FCA" w14:textId="77777777" w:rsidR="008748C1" w:rsidRDefault="00000000">
      <w:pPr>
        <w:numPr>
          <w:ilvl w:val="0"/>
          <w:numId w:val="53"/>
        </w:numPr>
        <w:spacing w:before="30" w:after="30" w:line="240" w:lineRule="auto"/>
        <w:ind w:left="1701" w:hanging="425"/>
        <w:jc w:val="both"/>
        <w:rPr>
          <w:rFonts w:ascii="Arial" w:eastAsia="Times New Roman" w:hAnsi="Arial" w:cs="Times New Roman"/>
          <w:szCs w:val="24"/>
          <w:lang w:eastAsia="es-ES"/>
        </w:rPr>
      </w:pPr>
      <w:r>
        <w:rPr>
          <w:rFonts w:eastAsia="Times New Roman" w:cs="Times New Roman"/>
          <w:szCs w:val="24"/>
          <w:lang w:eastAsia="es-ES"/>
        </w:rPr>
        <w:t>El emisor se encuentra en una situación financiera admisible para la Fase 2 conforme metodología aprobado por Comité de Riesgos</w:t>
      </w:r>
    </w:p>
    <w:p w14:paraId="52980FCB" w14:textId="77777777" w:rsidR="008748C1" w:rsidRDefault="00000000">
      <w:pPr>
        <w:numPr>
          <w:ilvl w:val="0"/>
          <w:numId w:val="53"/>
        </w:numPr>
        <w:spacing w:before="30" w:after="30" w:line="240" w:lineRule="auto"/>
        <w:ind w:left="1701" w:hanging="425"/>
        <w:jc w:val="both"/>
        <w:rPr>
          <w:rFonts w:ascii="Arial" w:eastAsia="Times New Roman" w:hAnsi="Arial" w:cs="Times New Roman"/>
          <w:szCs w:val="24"/>
          <w:lang w:eastAsia="es-ES"/>
        </w:rPr>
      </w:pPr>
      <w:r>
        <w:rPr>
          <w:rFonts w:eastAsia="Times New Roman" w:cs="Times New Roman"/>
          <w:szCs w:val="24"/>
          <w:lang w:eastAsia="es-ES"/>
        </w:rPr>
        <w:t>El emisor ha incumplido un compromiso (</w:t>
      </w:r>
      <w:proofErr w:type="spellStart"/>
      <w:r>
        <w:rPr>
          <w:rFonts w:eastAsia="Times New Roman" w:cs="Times New Roman"/>
          <w:szCs w:val="24"/>
          <w:lang w:eastAsia="es-ES"/>
        </w:rPr>
        <w:t>covenant</w:t>
      </w:r>
      <w:proofErr w:type="spellEnd"/>
      <w:r>
        <w:rPr>
          <w:rFonts w:eastAsia="Times New Roman" w:cs="Times New Roman"/>
          <w:szCs w:val="24"/>
          <w:lang w:eastAsia="es-ES"/>
        </w:rPr>
        <w:t>) incluso si se le ha otorgado excepciones (</w:t>
      </w:r>
      <w:proofErr w:type="spellStart"/>
      <w:r>
        <w:rPr>
          <w:rFonts w:eastAsia="Times New Roman" w:cs="Times New Roman"/>
          <w:szCs w:val="24"/>
          <w:lang w:eastAsia="es-ES"/>
        </w:rPr>
        <w:t>waivers</w:t>
      </w:r>
      <w:proofErr w:type="spellEnd"/>
      <w:r>
        <w:rPr>
          <w:rFonts w:eastAsia="Times New Roman" w:cs="Times New Roman"/>
          <w:szCs w:val="24"/>
          <w:lang w:eastAsia="es-ES"/>
        </w:rPr>
        <w:t>) que está asociado a un debilitamiento en la calidad crediticia del emisor</w:t>
      </w:r>
    </w:p>
    <w:p w14:paraId="52980FCC" w14:textId="77777777" w:rsidR="008748C1" w:rsidRDefault="00000000">
      <w:pPr>
        <w:numPr>
          <w:ilvl w:val="0"/>
          <w:numId w:val="53"/>
        </w:numPr>
        <w:spacing w:before="30" w:after="30" w:line="240" w:lineRule="auto"/>
        <w:ind w:left="1701" w:hanging="425"/>
        <w:jc w:val="both"/>
        <w:rPr>
          <w:rFonts w:ascii="Arial" w:eastAsia="Times New Roman" w:hAnsi="Arial" w:cs="Times New Roman"/>
          <w:szCs w:val="24"/>
          <w:lang w:eastAsia="es-ES"/>
        </w:rPr>
      </w:pPr>
      <w:r>
        <w:rPr>
          <w:rFonts w:eastAsia="Times New Roman" w:cs="Times New Roman"/>
          <w:szCs w:val="24"/>
          <w:lang w:eastAsia="es-ES"/>
        </w:rPr>
        <w:t xml:space="preserve">Se activan los criterios i) y v) en el caso de otros instrumentos financieros del emisor en evaluación. </w:t>
      </w:r>
    </w:p>
    <w:p w14:paraId="52980FCD" w14:textId="77777777" w:rsidR="008748C1" w:rsidRDefault="00000000">
      <w:pPr>
        <w:numPr>
          <w:ilvl w:val="0"/>
          <w:numId w:val="52"/>
        </w:numPr>
        <w:autoSpaceDE w:val="0"/>
        <w:autoSpaceDN w:val="0"/>
        <w:adjustRightInd w:val="0"/>
        <w:spacing w:before="240" w:after="60" w:line="240" w:lineRule="auto"/>
        <w:ind w:left="1276" w:hanging="424"/>
        <w:jc w:val="both"/>
        <w:rPr>
          <w:rFonts w:eastAsia="Calibri" w:cs="Arial"/>
          <w:b/>
          <w:bCs/>
          <w:szCs w:val="24"/>
          <w:lang w:eastAsia="es-ES"/>
        </w:rPr>
      </w:pPr>
      <w:r>
        <w:rPr>
          <w:rFonts w:eastAsia="Calibri" w:cs="Arial"/>
          <w:b/>
          <w:bCs/>
          <w:szCs w:val="24"/>
          <w:lang w:eastAsia="es-ES"/>
        </w:rPr>
        <w:t>Asignación a la Fase 3</w:t>
      </w:r>
    </w:p>
    <w:p w14:paraId="52980FCE" w14:textId="77777777" w:rsidR="008748C1" w:rsidRDefault="00000000">
      <w:pPr>
        <w:spacing w:after="120" w:line="240" w:lineRule="auto"/>
        <w:ind w:left="1276"/>
        <w:jc w:val="both"/>
        <w:rPr>
          <w:rFonts w:eastAsia="Arial Narrow" w:cs="Arial Narrow"/>
          <w:szCs w:val="24"/>
          <w:lang w:eastAsia="es-ES"/>
        </w:rPr>
      </w:pPr>
      <w:r>
        <w:rPr>
          <w:rFonts w:eastAsia="Arial Narrow" w:cs="Arial Narrow"/>
          <w:szCs w:val="24"/>
          <w:lang w:eastAsia="es-ES"/>
        </w:rPr>
        <w:t>Se considera que existe una evidencia de deterioro si es que se cumple al menos uno (01) de los siguientes criterios automáticos, por lo que el instrumento deberá ser reasignado a fase 3 desde la fase 1 o 2:</w:t>
      </w:r>
    </w:p>
    <w:p w14:paraId="52980FCF" w14:textId="77777777" w:rsidR="008748C1" w:rsidRDefault="00000000">
      <w:pPr>
        <w:numPr>
          <w:ilvl w:val="0"/>
          <w:numId w:val="54"/>
        </w:numPr>
        <w:tabs>
          <w:tab w:val="left" w:pos="1701"/>
        </w:tabs>
        <w:spacing w:before="30" w:after="30" w:line="240" w:lineRule="auto"/>
        <w:ind w:left="1701" w:hanging="425"/>
        <w:jc w:val="both"/>
        <w:rPr>
          <w:rFonts w:eastAsia="Times New Roman" w:cs="Times New Roman"/>
          <w:szCs w:val="24"/>
          <w:lang w:eastAsia="es-ES"/>
        </w:rPr>
      </w:pPr>
      <w:r>
        <w:rPr>
          <w:rFonts w:eastAsia="Times New Roman" w:cs="Times New Roman"/>
          <w:szCs w:val="24"/>
          <w:lang w:eastAsia="es-ES"/>
        </w:rPr>
        <w:t>El instrumento financiero evaluado cuenta con un (1) o más días de atraso en el pago de sus obligaciones. Existe presunción refutable solamente cuando el atraso no está relacionado al riesgo crediticio del emisor, como temas operativos.</w:t>
      </w:r>
    </w:p>
    <w:p w14:paraId="52980FD0" w14:textId="77777777" w:rsidR="008748C1" w:rsidRDefault="00000000">
      <w:pPr>
        <w:numPr>
          <w:ilvl w:val="0"/>
          <w:numId w:val="54"/>
        </w:numPr>
        <w:tabs>
          <w:tab w:val="left" w:pos="1701"/>
        </w:tabs>
        <w:spacing w:before="30" w:after="30" w:line="240" w:lineRule="auto"/>
        <w:ind w:left="1701" w:hanging="425"/>
        <w:jc w:val="both"/>
        <w:rPr>
          <w:rFonts w:eastAsia="Times New Roman" w:cs="Times New Roman"/>
          <w:szCs w:val="24"/>
          <w:lang w:eastAsia="es-ES"/>
        </w:rPr>
      </w:pPr>
      <w:r>
        <w:rPr>
          <w:rFonts w:eastAsia="Times New Roman" w:cs="Times New Roman"/>
          <w:szCs w:val="24"/>
          <w:lang w:eastAsia="es-ES"/>
        </w:rPr>
        <w:t>Las condiciones contractuales del instrumento financiero han sido renegociadas por factores económicos vinculados al emisor, y estas han sido originadas por retrasos en el pago de sus obligaciones.</w:t>
      </w:r>
    </w:p>
    <w:p w14:paraId="52980FD1" w14:textId="77777777" w:rsidR="008748C1" w:rsidRDefault="00000000">
      <w:pPr>
        <w:numPr>
          <w:ilvl w:val="0"/>
          <w:numId w:val="54"/>
        </w:numPr>
        <w:tabs>
          <w:tab w:val="left" w:pos="1701"/>
        </w:tabs>
        <w:spacing w:before="30" w:after="3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 Los instrumentos financieros adquiridos con o sin grado de inversión presentan una caída de su clasificación de riesgo equivalente hasta la categoría D (Default). </w:t>
      </w:r>
    </w:p>
    <w:p w14:paraId="52980FD2" w14:textId="77777777" w:rsidR="008748C1" w:rsidRDefault="00000000">
      <w:pPr>
        <w:numPr>
          <w:ilvl w:val="0"/>
          <w:numId w:val="54"/>
        </w:numPr>
        <w:tabs>
          <w:tab w:val="left" w:pos="1701"/>
        </w:tabs>
        <w:spacing w:before="30" w:after="30" w:line="240" w:lineRule="auto"/>
        <w:ind w:left="1701" w:hanging="425"/>
        <w:jc w:val="both"/>
        <w:rPr>
          <w:rFonts w:eastAsia="Times New Roman" w:cs="Times New Roman"/>
          <w:szCs w:val="24"/>
          <w:lang w:eastAsia="es-ES"/>
        </w:rPr>
      </w:pPr>
      <w:r>
        <w:rPr>
          <w:rFonts w:eastAsia="Times New Roman" w:cs="Times New Roman"/>
          <w:szCs w:val="24"/>
          <w:lang w:eastAsia="es-ES"/>
        </w:rPr>
        <w:t>La clasificación crediticia del emisor en el Sistema Financiero se encuentra en categoría Deficiente (2), Dudoso (3) o Pérdida (4).</w:t>
      </w:r>
    </w:p>
    <w:p w14:paraId="52980FD3" w14:textId="77777777" w:rsidR="008748C1" w:rsidRDefault="00000000">
      <w:pPr>
        <w:numPr>
          <w:ilvl w:val="0"/>
          <w:numId w:val="54"/>
        </w:numPr>
        <w:tabs>
          <w:tab w:val="left" w:pos="1701"/>
        </w:tabs>
        <w:spacing w:before="30" w:after="30" w:line="240" w:lineRule="auto"/>
        <w:ind w:left="1701" w:hanging="425"/>
        <w:jc w:val="both"/>
        <w:rPr>
          <w:rFonts w:eastAsia="Times New Roman" w:cs="Times New Roman"/>
          <w:szCs w:val="24"/>
          <w:lang w:eastAsia="es-ES"/>
        </w:rPr>
      </w:pPr>
      <w:r>
        <w:rPr>
          <w:rFonts w:eastAsia="Times New Roman" w:cs="Times New Roman"/>
          <w:szCs w:val="24"/>
          <w:lang w:eastAsia="es-ES"/>
        </w:rPr>
        <w:lastRenderedPageBreak/>
        <w:t>El emisor se encuentra en una situación financiera admisible para la Fase 3 conforme metodología aprobado por Comité de Riesgos.</w:t>
      </w:r>
    </w:p>
    <w:p w14:paraId="52980FD4" w14:textId="77777777" w:rsidR="008748C1" w:rsidRDefault="00000000">
      <w:pPr>
        <w:numPr>
          <w:ilvl w:val="0"/>
          <w:numId w:val="54"/>
        </w:numPr>
        <w:tabs>
          <w:tab w:val="left" w:pos="1701"/>
        </w:tabs>
        <w:spacing w:before="30" w:after="3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 Existe evidencia que el emisor está en concurso, proceso de reestructuración forzosa, quiebra, embargo o situación judicial asociado a un debilitamiento en su calidad crediticia.</w:t>
      </w:r>
    </w:p>
    <w:p w14:paraId="52980FD5" w14:textId="77777777" w:rsidR="008748C1" w:rsidRDefault="00000000">
      <w:pPr>
        <w:numPr>
          <w:ilvl w:val="0"/>
          <w:numId w:val="54"/>
        </w:numPr>
        <w:tabs>
          <w:tab w:val="left" w:pos="1701"/>
        </w:tabs>
        <w:spacing w:before="30" w:after="3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Se activan los criterios i) y </w:t>
      </w:r>
      <w:proofErr w:type="spellStart"/>
      <w:r>
        <w:rPr>
          <w:rFonts w:eastAsia="Times New Roman" w:cs="Times New Roman"/>
          <w:szCs w:val="24"/>
          <w:lang w:eastAsia="es-ES"/>
        </w:rPr>
        <w:t>ii</w:t>
      </w:r>
      <w:proofErr w:type="spellEnd"/>
      <w:r>
        <w:rPr>
          <w:rFonts w:eastAsia="Times New Roman" w:cs="Times New Roman"/>
          <w:szCs w:val="24"/>
          <w:lang w:eastAsia="es-ES"/>
        </w:rPr>
        <w:t xml:space="preserve">) en el caso de otros instrumentos financieros del emisor en evaluación. </w:t>
      </w:r>
    </w:p>
    <w:p w14:paraId="52980FD6"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194" w:name="_Toc170226190"/>
      <w:bookmarkStart w:id="195" w:name="_Toc154734532"/>
      <w:bookmarkStart w:id="196" w:name="_Toc160009510"/>
      <w:bookmarkStart w:id="197" w:name="_Toc154731908"/>
      <w:r>
        <w:rPr>
          <w:rFonts w:eastAsia="Times New Roman" w:cs="Arial"/>
          <w:b/>
          <w:szCs w:val="24"/>
          <w:lang w:eastAsia="es-ES"/>
        </w:rPr>
        <w:t>Medición de las perdidas crediticias esperadas</w:t>
      </w:r>
      <w:bookmarkEnd w:id="194"/>
      <w:bookmarkEnd w:id="195"/>
      <w:bookmarkEnd w:id="196"/>
      <w:bookmarkEnd w:id="197"/>
      <w:r>
        <w:rPr>
          <w:rFonts w:eastAsia="Times New Roman" w:cs="Arial"/>
          <w:b/>
          <w:szCs w:val="24"/>
          <w:lang w:eastAsia="es-ES"/>
        </w:rPr>
        <w:t xml:space="preserve">   </w:t>
      </w:r>
    </w:p>
    <w:p w14:paraId="52980FD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Una empresa medirá las pérdidas crediticias esperadas de un instrumento financiero de forma que refleje:</w:t>
      </w:r>
    </w:p>
    <w:p w14:paraId="52980FD8" w14:textId="77777777" w:rsidR="008748C1" w:rsidRDefault="00000000">
      <w:pPr>
        <w:numPr>
          <w:ilvl w:val="0"/>
          <w:numId w:val="55"/>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Un importe de probabilidad ponderada no sesgado que se determina mediante la evaluación de un rango de resultados posibles; </w:t>
      </w:r>
    </w:p>
    <w:p w14:paraId="52980FD9" w14:textId="77777777" w:rsidR="008748C1" w:rsidRDefault="00000000">
      <w:pPr>
        <w:numPr>
          <w:ilvl w:val="0"/>
          <w:numId w:val="55"/>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El valor temporal del dinero;  </w:t>
      </w:r>
    </w:p>
    <w:p w14:paraId="52980FDA" w14:textId="77777777" w:rsidR="008748C1" w:rsidRDefault="00000000">
      <w:pPr>
        <w:numPr>
          <w:ilvl w:val="0"/>
          <w:numId w:val="55"/>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La información razonable y sustentable que está disponible sin costo o esfuerzo desproporcionado en la fecha de presentación sobre sucesos pasados, condiciones actuales y pronósticos de condiciones económicas futuras.</w:t>
      </w:r>
    </w:p>
    <w:p w14:paraId="52980FD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Al medir las pérdidas crediticias esperadas, una empresa no necesita necesariamente identificar todos los escenarios posibles. Sin embargo, considerará el riesgo o probabilidad de que ocurra una pérdida crediticia, reflejando la posibilidad de que ocurra y de que no ocurra esa pérdida crediticia, incluso si dicha posibilidad es muy baja.</w:t>
      </w:r>
    </w:p>
    <w:p w14:paraId="52980FDC" w14:textId="77777777" w:rsidR="008748C1" w:rsidRDefault="00000000">
      <w:pPr>
        <w:spacing w:before="60" w:after="60" w:line="240" w:lineRule="auto"/>
        <w:ind w:left="851"/>
        <w:jc w:val="both"/>
        <w:rPr>
          <w:rFonts w:eastAsia="Times New Roman" w:cs="Times New Roman"/>
          <w:lang w:eastAsia="es-ES"/>
        </w:rPr>
      </w:pPr>
      <w:proofErr w:type="gramStart"/>
      <w:r>
        <w:rPr>
          <w:rFonts w:eastAsia="Times New Roman" w:cs="Times New Roman"/>
          <w:lang w:eastAsia="es-ES"/>
        </w:rPr>
        <w:t>El periodo máximo a considerar</w:t>
      </w:r>
      <w:proofErr w:type="gramEnd"/>
      <w:r>
        <w:rPr>
          <w:rFonts w:eastAsia="Times New Roman" w:cs="Times New Roman"/>
          <w:lang w:eastAsia="es-ES"/>
        </w:rPr>
        <w:t xml:space="preserve"> para medir las pérdidas crediticias esperadas es el periodo contractual máximo (incluyendo opciones de ampliación) a lo largo del cual está expuesta la empresa al riesgo crediticio, y no a un periodo más largo, incluso si ese periodo más largo es congruente con la práctica de los negocios.   </w:t>
      </w:r>
    </w:p>
    <w:p w14:paraId="52980FD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Respecto al seguimiento de los montos de pérdidas crediticias esperadas, la empresa deberá hacer pruebas </w:t>
      </w:r>
      <w:proofErr w:type="spellStart"/>
      <w:r>
        <w:rPr>
          <w:rFonts w:eastAsia="Times New Roman" w:cs="Times New Roman"/>
          <w:i/>
          <w:iCs/>
          <w:lang w:eastAsia="es-ES"/>
        </w:rPr>
        <w:t>backtesting</w:t>
      </w:r>
      <w:proofErr w:type="spellEnd"/>
      <w:r>
        <w:rPr>
          <w:rFonts w:eastAsia="Times New Roman" w:cs="Times New Roman"/>
          <w:lang w:eastAsia="es-ES"/>
        </w:rPr>
        <w:t xml:space="preserve"> a dichas estimaciones en cada una de las fases con una periodicidad mínima anual. Adicionalmente, la validación de la estimación PCE debe realizarse con una frecuencia mínima anual.     </w:t>
      </w:r>
    </w:p>
    <w:p w14:paraId="52980FDE" w14:textId="77777777" w:rsidR="008748C1" w:rsidRDefault="00000000">
      <w:pPr>
        <w:keepNext/>
        <w:spacing w:before="240" w:after="120" w:line="240" w:lineRule="auto"/>
        <w:ind w:left="142" w:firstLine="709"/>
        <w:outlineLvl w:val="6"/>
        <w:rPr>
          <w:rFonts w:eastAsia="Times New Roman" w:cs="Arial"/>
          <w:b/>
          <w:bCs/>
          <w:szCs w:val="24"/>
          <w:u w:val="single"/>
          <w:lang w:eastAsia="es-ES"/>
        </w:rPr>
      </w:pPr>
      <w:bookmarkStart w:id="198" w:name="_Toc170226191"/>
      <w:bookmarkStart w:id="199" w:name="_Toc160009511"/>
      <w:r>
        <w:rPr>
          <w:rFonts w:eastAsia="Times New Roman" w:cs="Arial"/>
          <w:b/>
          <w:bCs/>
          <w:szCs w:val="24"/>
          <w:u w:val="single"/>
          <w:lang w:eastAsia="es-ES"/>
        </w:rPr>
        <w:t>Probabilidad de Incumplimiento (PD)</w:t>
      </w:r>
      <w:bookmarkEnd w:id="198"/>
      <w:bookmarkEnd w:id="199"/>
    </w:p>
    <w:p w14:paraId="52980FD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Las empresas deben considerar los siguientes lineamientos de manera previa al uso y/o construcción de la PD: </w:t>
      </w:r>
    </w:p>
    <w:p w14:paraId="52980FE0" w14:textId="77777777" w:rsidR="008748C1" w:rsidRDefault="00000000">
      <w:pPr>
        <w:numPr>
          <w:ilvl w:val="0"/>
          <w:numId w:val="56"/>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Definir criterios para identificar la existencia de un incremento significativo de riesgo crediticio para el cálculo de una PD a 12 meses (Fase 1) o sobre el tiempo de la vida del instrumento (Fase 2) </w:t>
      </w:r>
    </w:p>
    <w:p w14:paraId="52980FE1" w14:textId="77777777" w:rsidR="008748C1" w:rsidRDefault="00000000">
      <w:pPr>
        <w:numPr>
          <w:ilvl w:val="0"/>
          <w:numId w:val="56"/>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Emplear las técnicas para la estimación de la PF:</w:t>
      </w:r>
    </w:p>
    <w:p w14:paraId="52980FE2" w14:textId="77777777" w:rsidR="008748C1" w:rsidRDefault="00000000">
      <w:pPr>
        <w:numPr>
          <w:ilvl w:val="0"/>
          <w:numId w:val="57"/>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 xml:space="preserve">experiencia histórica de incumplimiento, </w:t>
      </w:r>
    </w:p>
    <w:p w14:paraId="52980FE3" w14:textId="77777777" w:rsidR="008748C1" w:rsidRDefault="00000000">
      <w:pPr>
        <w:numPr>
          <w:ilvl w:val="0"/>
          <w:numId w:val="57"/>
        </w:numPr>
        <w:tabs>
          <w:tab w:val="left" w:pos="1701"/>
        </w:tabs>
        <w:spacing w:before="30" w:after="30" w:line="240" w:lineRule="auto"/>
        <w:jc w:val="both"/>
        <w:rPr>
          <w:rFonts w:eastAsia="Calibri" w:cs="Times New Roman"/>
          <w:szCs w:val="24"/>
          <w:lang w:eastAsia="es-ES"/>
        </w:rPr>
      </w:pPr>
      <w:r>
        <w:rPr>
          <w:rFonts w:eastAsia="Calibri" w:cs="Times New Roman"/>
          <w:szCs w:val="24"/>
          <w:lang w:eastAsia="es-ES"/>
        </w:rPr>
        <w:t xml:space="preserve">modelos estadísticos de predicción de incumplimiento y </w:t>
      </w:r>
    </w:p>
    <w:p w14:paraId="52980FE4" w14:textId="77777777" w:rsidR="008748C1" w:rsidRDefault="00000000">
      <w:pPr>
        <w:numPr>
          <w:ilvl w:val="0"/>
          <w:numId w:val="57"/>
        </w:numPr>
        <w:tabs>
          <w:tab w:val="left" w:pos="1701"/>
        </w:tabs>
        <w:spacing w:before="30" w:after="30" w:line="240" w:lineRule="auto"/>
        <w:jc w:val="both"/>
        <w:rPr>
          <w:rFonts w:eastAsia="Calibri" w:cs="Times New Roman"/>
          <w:szCs w:val="24"/>
          <w:lang w:eastAsia="es-ES"/>
        </w:rPr>
      </w:pPr>
      <w:r>
        <w:rPr>
          <w:rFonts w:eastAsia="Calibri" w:cs="Times New Roman"/>
          <w:szCs w:val="24"/>
          <w:lang w:eastAsia="es-ES"/>
        </w:rPr>
        <w:t xml:space="preserve">la asociación con datos de proveedores externos. </w:t>
      </w:r>
    </w:p>
    <w:p w14:paraId="52980FE5" w14:textId="77777777" w:rsidR="008748C1" w:rsidRDefault="00000000">
      <w:pPr>
        <w:spacing w:before="20" w:after="20" w:line="240" w:lineRule="auto"/>
        <w:ind w:left="851" w:firstLine="425"/>
        <w:jc w:val="both"/>
        <w:rPr>
          <w:rFonts w:eastAsia="Calibri" w:cs="Times New Roman"/>
          <w:szCs w:val="24"/>
          <w:lang w:eastAsia="es-ES"/>
        </w:rPr>
      </w:pPr>
      <w:r>
        <w:rPr>
          <w:rFonts w:eastAsia="Calibri" w:cs="Times New Roman"/>
          <w:szCs w:val="24"/>
          <w:lang w:eastAsia="es-ES"/>
        </w:rPr>
        <w:t>Las empresas podrán usar una técnica principal y otra de comparación y ajuste.</w:t>
      </w:r>
    </w:p>
    <w:p w14:paraId="52980FE6" w14:textId="77777777" w:rsidR="008748C1" w:rsidRDefault="00000000">
      <w:pPr>
        <w:numPr>
          <w:ilvl w:val="0"/>
          <w:numId w:val="56"/>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Las empresas deben utilizar técnicas de estimación de la PD que se encuentren respaldadas por un análisis que las justifique. Para ello, deben indicar en qué medida han incidido las consideraciones subjetivas relacionadas con el juicio de los analistas a la hora de combinar los resultados de las diversas técnicas y de realizar ajustes que obedezcan a limitaciones técnicas o de información.</w:t>
      </w:r>
    </w:p>
    <w:p w14:paraId="52980FE7" w14:textId="77777777" w:rsidR="008748C1" w:rsidRDefault="00000000">
      <w:pPr>
        <w:numPr>
          <w:ilvl w:val="0"/>
          <w:numId w:val="56"/>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La empresa debe justificar la metodología aplicada para evidenciar el ajuste prospectivo </w:t>
      </w:r>
      <w:r>
        <w:rPr>
          <w:rFonts w:eastAsia="Calibri" w:cs="Times New Roman"/>
          <w:i/>
          <w:iCs/>
          <w:szCs w:val="24"/>
          <w:lang w:eastAsia="es-ES"/>
        </w:rPr>
        <w:t xml:space="preserve">(forward </w:t>
      </w:r>
      <w:proofErr w:type="spellStart"/>
      <w:r>
        <w:rPr>
          <w:rFonts w:eastAsia="Calibri" w:cs="Times New Roman"/>
          <w:i/>
          <w:iCs/>
          <w:szCs w:val="24"/>
          <w:lang w:eastAsia="es-ES"/>
        </w:rPr>
        <w:t>looking</w:t>
      </w:r>
      <w:proofErr w:type="spellEnd"/>
      <w:r>
        <w:rPr>
          <w:rFonts w:eastAsia="Calibri" w:cs="Times New Roman"/>
          <w:i/>
          <w:iCs/>
          <w:szCs w:val="24"/>
          <w:lang w:eastAsia="es-ES"/>
        </w:rPr>
        <w:t xml:space="preserve">) </w:t>
      </w:r>
      <w:r>
        <w:rPr>
          <w:rFonts w:eastAsia="Calibri" w:cs="Times New Roman"/>
          <w:szCs w:val="24"/>
          <w:lang w:eastAsia="es-ES"/>
        </w:rPr>
        <w:t>en la PD inicial.</w:t>
      </w:r>
    </w:p>
    <w:p w14:paraId="52980FE8" w14:textId="77777777" w:rsidR="008748C1" w:rsidRDefault="008748C1">
      <w:pPr>
        <w:spacing w:before="20" w:after="20" w:line="240" w:lineRule="auto"/>
        <w:ind w:left="1276"/>
        <w:jc w:val="both"/>
        <w:rPr>
          <w:rFonts w:eastAsia="Calibri" w:cs="Times New Roman"/>
          <w:szCs w:val="24"/>
          <w:lang w:eastAsia="es-ES"/>
        </w:rPr>
      </w:pPr>
    </w:p>
    <w:p w14:paraId="52980FE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lastRenderedPageBreak/>
        <w:t>La empresa deberá considerar los siguientes lineamientos, independiente de la técnica seleccionada:</w:t>
      </w:r>
    </w:p>
    <w:p w14:paraId="52980FEA" w14:textId="77777777" w:rsidR="008748C1" w:rsidRDefault="00000000">
      <w:pPr>
        <w:numPr>
          <w:ilvl w:val="0"/>
          <w:numId w:val="58"/>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Establecer una definición de incumplimiento alineada con la gestión interna del riesgo crediticio y ser consistente con los lineamientos que definen un incremento significativo del riesgo crediticio.</w:t>
      </w:r>
    </w:p>
    <w:p w14:paraId="52980FEB" w14:textId="77777777" w:rsidR="008748C1" w:rsidRDefault="00000000">
      <w:pPr>
        <w:numPr>
          <w:ilvl w:val="0"/>
          <w:numId w:val="58"/>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La PD asignada debe ser actualizada al menos con periodicidad anual o cuando suceda un evento significativo. Es responsabilidad de la AFP actualizar la información sobre el emisor o la emisión de manera más frecuente en la medida que el riesgo de este se incremente. Así, las AFP deben actualizar la clasificación cada vez que obtengan nueva información relevante sobre el emisor o la emisión.</w:t>
      </w:r>
    </w:p>
    <w:p w14:paraId="52980FEC" w14:textId="77777777" w:rsidR="008748C1" w:rsidRDefault="00000000">
      <w:pPr>
        <w:numPr>
          <w:ilvl w:val="0"/>
          <w:numId w:val="58"/>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Al medir las pérdidas crediticias esperadas, una empresa no necesariamente necesita identificar todos los escenarios posibles. Sin embargo, debe considerar el riesgo o probabilidad de que ocurra una pérdida crediticia, incluso si esta última es muy baja.</w:t>
      </w:r>
    </w:p>
    <w:p w14:paraId="52980FE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la empresa emplea datos sobre su experiencia histórica interna de incumplimiento para estimar la PD o modelos estadísticos de predicción de incumplimiento, debe verificar el cumplimiento de los siguientes lineamientos: </w:t>
      </w:r>
    </w:p>
    <w:p w14:paraId="52980FEE" w14:textId="77777777" w:rsidR="008748C1" w:rsidRDefault="00000000">
      <w:pPr>
        <w:numPr>
          <w:ilvl w:val="0"/>
          <w:numId w:val="5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En caso de utilizarla, se debe comunicar a la Superintendencia el uso de modelos interno.</w:t>
      </w:r>
    </w:p>
    <w:p w14:paraId="52980FEF" w14:textId="77777777" w:rsidR="008748C1" w:rsidRDefault="00000000">
      <w:pPr>
        <w:numPr>
          <w:ilvl w:val="0"/>
          <w:numId w:val="5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Debe acreditar en su análisis que las estimaciones obtenidas reflejan los criterios establecidos por la empresa. </w:t>
      </w:r>
    </w:p>
    <w:p w14:paraId="52980FF0" w14:textId="77777777" w:rsidR="008748C1" w:rsidRDefault="00000000">
      <w:pPr>
        <w:numPr>
          <w:ilvl w:val="0"/>
          <w:numId w:val="59"/>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Podrá estimar las PD utilizando la media simple de las estimaciones de PD de las contrapartes incluidos en un mismo grado, y deberá asegurarse que las estimaciones sean robustas. Así como podrá estimar las PD utilizando la cotización del CDS (</w:t>
      </w:r>
      <w:proofErr w:type="spellStart"/>
      <w:r>
        <w:rPr>
          <w:rFonts w:eastAsia="Calibri" w:cs="Times New Roman"/>
          <w:i/>
          <w:iCs/>
          <w:szCs w:val="24"/>
          <w:lang w:eastAsia="es-ES"/>
        </w:rPr>
        <w:t>credit</w:t>
      </w:r>
      <w:proofErr w:type="spellEnd"/>
      <w:r>
        <w:rPr>
          <w:rFonts w:eastAsia="Calibri" w:cs="Times New Roman"/>
          <w:i/>
          <w:iCs/>
          <w:szCs w:val="24"/>
          <w:lang w:eastAsia="es-ES"/>
        </w:rPr>
        <w:t xml:space="preserve"> default swap</w:t>
      </w:r>
      <w:r>
        <w:rPr>
          <w:rFonts w:eastAsia="Calibri" w:cs="Times New Roman"/>
          <w:szCs w:val="24"/>
          <w:lang w:eastAsia="es-ES"/>
        </w:rPr>
        <w:t>).</w:t>
      </w:r>
    </w:p>
    <w:p w14:paraId="52980FF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podrá utilizar la PD provistas por externos o su casa matriz, para aquellas exposiciones que, por la baja frecuencia de incumplimientos, no cuenten con suficiente información para las estimaciones respectivas, siempre y cuando evidencie el cumplimiento de los siguientes requisitos por parte del proveedor externo o su casa matriz:</w:t>
      </w:r>
    </w:p>
    <w:p w14:paraId="52980FF2" w14:textId="77777777" w:rsidR="008748C1" w:rsidRDefault="00000000">
      <w:pPr>
        <w:numPr>
          <w:ilvl w:val="0"/>
          <w:numId w:val="60"/>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Demuestre experiencia en el cálculo de la PD.</w:t>
      </w:r>
    </w:p>
    <w:p w14:paraId="52980FF3" w14:textId="77777777" w:rsidR="008748C1" w:rsidRDefault="00000000">
      <w:pPr>
        <w:numPr>
          <w:ilvl w:val="0"/>
          <w:numId w:val="60"/>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Cuenta con acceso oportuno a información de los emisores para los cuales estima la PD.</w:t>
      </w:r>
    </w:p>
    <w:p w14:paraId="52980FF4" w14:textId="77777777" w:rsidR="008748C1" w:rsidRDefault="00000000">
      <w:pPr>
        <w:numPr>
          <w:ilvl w:val="0"/>
          <w:numId w:val="60"/>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Cuenta con acceso razonable a base de incumplimientos </w:t>
      </w:r>
      <w:r>
        <w:rPr>
          <w:rFonts w:eastAsia="Calibri" w:cs="Times New Roman"/>
          <w:i/>
          <w:iCs/>
          <w:szCs w:val="24"/>
          <w:lang w:eastAsia="es-ES"/>
        </w:rPr>
        <w:t>(defaults)</w:t>
      </w:r>
      <w:r>
        <w:rPr>
          <w:rFonts w:eastAsia="Calibri" w:cs="Times New Roman"/>
          <w:szCs w:val="24"/>
          <w:lang w:eastAsia="es-ES"/>
        </w:rPr>
        <w:t xml:space="preserve"> históricos.</w:t>
      </w:r>
    </w:p>
    <w:p w14:paraId="52980FF5" w14:textId="77777777" w:rsidR="008748C1" w:rsidRDefault="008748C1">
      <w:pPr>
        <w:spacing w:before="20" w:after="20" w:line="240" w:lineRule="auto"/>
        <w:jc w:val="both"/>
        <w:rPr>
          <w:rFonts w:eastAsia="Calibri" w:cs="Times New Roman"/>
          <w:szCs w:val="24"/>
          <w:lang w:eastAsia="es-ES"/>
        </w:rPr>
      </w:pPr>
    </w:p>
    <w:p w14:paraId="52980FF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es responsable de los resultados de los servicios provistos por proveedores externos o por su casa matriz.</w:t>
      </w:r>
    </w:p>
    <w:p w14:paraId="52980FF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variables y metodología empleadas por la casa matriz deben mantenerse a disposición de la Superintendencia.</w:t>
      </w:r>
    </w:p>
    <w:p w14:paraId="52980FF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debe tener conocimiento por lo menos de la definición de incumplimiento, ventana de tiempo, segmentaciones, exclusiones, metodología utilizada, periodicidad de actualización y limitaciones.</w:t>
      </w:r>
    </w:p>
    <w:p w14:paraId="52980FF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debe evaluar las certificaciones de los proveedores externos para garantizar la calidad y predictibilidad de los datos adquiridos para la estimación de PD. Así para el caso de clasificadoras, éstas deben cumplir con los estándares internacionales.</w:t>
      </w:r>
    </w:p>
    <w:p w14:paraId="52980FF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podrá realizar ajustes adicionales sobre las PD provistas por externos, los cuales deberán estar adecuadamente justificados y documentados. La revisión de lineamientos para estos ajustes deberá revisarse con una frecuencia mínima anual.</w:t>
      </w:r>
    </w:p>
    <w:p w14:paraId="52980FFB" w14:textId="77777777" w:rsidR="008748C1" w:rsidRDefault="00000000">
      <w:pPr>
        <w:keepNext/>
        <w:spacing w:before="240" w:after="120" w:line="240" w:lineRule="auto"/>
        <w:ind w:left="142" w:firstLine="709"/>
        <w:outlineLvl w:val="6"/>
        <w:rPr>
          <w:rFonts w:eastAsia="Times New Roman" w:cs="Arial"/>
          <w:b/>
          <w:bCs/>
          <w:szCs w:val="24"/>
          <w:u w:val="single"/>
          <w:lang w:eastAsia="es-ES"/>
        </w:rPr>
      </w:pPr>
      <w:bookmarkStart w:id="200" w:name="_Toc170226192"/>
      <w:bookmarkStart w:id="201" w:name="_Toc145432044"/>
      <w:bookmarkStart w:id="202" w:name="_Toc160009513"/>
      <w:bookmarkStart w:id="203" w:name="_Toc154586541"/>
      <w:bookmarkStart w:id="204" w:name="_Toc145432045"/>
      <w:bookmarkStart w:id="205" w:name="_Toc154064012"/>
      <w:r>
        <w:rPr>
          <w:rFonts w:eastAsia="Times New Roman" w:cs="Arial"/>
          <w:b/>
          <w:bCs/>
          <w:szCs w:val="24"/>
          <w:u w:val="single"/>
          <w:lang w:eastAsia="es-ES"/>
        </w:rPr>
        <w:t>Exposición en Incumplimiento (EAD)</w:t>
      </w:r>
      <w:bookmarkEnd w:id="200"/>
      <w:bookmarkEnd w:id="201"/>
      <w:bookmarkEnd w:id="202"/>
      <w:bookmarkEnd w:id="203"/>
    </w:p>
    <w:p w14:paraId="52980FF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Corresponde a la estimación del monto expuesto al riesgo de incumplimiento, y deberá realizarse sobre la base del saldo efectivo al considerar situaciones futuras que podrían afectar dicho saldo: La determinación de la EAD depende de la máxima vida contractual esperada del instrumento y la </w:t>
      </w:r>
      <w:r>
        <w:rPr>
          <w:rFonts w:eastAsia="Times New Roman" w:cs="Times New Roman"/>
          <w:lang w:eastAsia="es-ES"/>
        </w:rPr>
        <w:lastRenderedPageBreak/>
        <w:t>estructura de pagos y amortización. La EAD puede ser aproximada a través de su costo amortizado, bruto de cualquier importe de deterioro, o a través de modelos de valoración mediante los flujos de caja del instrumento.</w:t>
      </w:r>
    </w:p>
    <w:p w14:paraId="52980FFD" w14:textId="77777777" w:rsidR="008748C1" w:rsidRDefault="00000000">
      <w:pPr>
        <w:keepNext/>
        <w:spacing w:before="240" w:after="120" w:line="240" w:lineRule="auto"/>
        <w:ind w:left="142" w:firstLine="709"/>
        <w:outlineLvl w:val="6"/>
        <w:rPr>
          <w:rFonts w:eastAsia="Times New Roman" w:cs="Arial"/>
          <w:b/>
          <w:bCs/>
          <w:szCs w:val="24"/>
          <w:u w:val="single"/>
          <w:lang w:eastAsia="es-ES"/>
        </w:rPr>
      </w:pPr>
      <w:bookmarkStart w:id="206" w:name="_Toc160009514"/>
      <w:bookmarkStart w:id="207" w:name="_Toc170226193"/>
      <w:r>
        <w:rPr>
          <w:rFonts w:eastAsia="Times New Roman" w:cs="Arial"/>
          <w:b/>
          <w:bCs/>
          <w:szCs w:val="24"/>
          <w:u w:val="single"/>
          <w:lang w:eastAsia="es-ES"/>
        </w:rPr>
        <w:t>Pérdida Dado el Incumplimiento (LGD)</w:t>
      </w:r>
      <w:bookmarkEnd w:id="204"/>
      <w:bookmarkEnd w:id="205"/>
      <w:bookmarkEnd w:id="206"/>
      <w:bookmarkEnd w:id="207"/>
    </w:p>
    <w:p w14:paraId="52980FFE"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LGD representa la porción de la deuda que no será recuperada en caso de que la contraparte incurra en incumplimiento. La LGD debe ser actualizada con una frecuencia mínima anual o cuando suceda un evento significativo en el mercado.</w:t>
      </w:r>
    </w:p>
    <w:p w14:paraId="52980FF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LGD debe diferenciarse en función del tipo de subordinación del instrumento, o de cualquier otra característica que la empresa identifique, lo cual debe estar debidamente sustentado y documentado.</w:t>
      </w:r>
    </w:p>
    <w:p w14:paraId="5298100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Para la LGD de las fases 1 y 2 se admite el uso de proveedores externos. Sin embargo, para la LGD de la fase 3, la empresa debe realizar un análisis individual para calcular el recupero estimado, considerando tanto el valor de las garantías del instrumento como los gastos asociados para la recuperación.</w:t>
      </w:r>
    </w:p>
    <w:p w14:paraId="52981001" w14:textId="77777777" w:rsidR="008748C1" w:rsidRDefault="00000000">
      <w:pPr>
        <w:keepNext/>
        <w:spacing w:before="240" w:after="120" w:line="240" w:lineRule="auto"/>
        <w:ind w:left="142" w:firstLine="709"/>
        <w:outlineLvl w:val="6"/>
        <w:rPr>
          <w:rFonts w:eastAsia="Times New Roman" w:cs="Arial"/>
          <w:b/>
          <w:bCs/>
          <w:szCs w:val="24"/>
          <w:u w:val="single"/>
          <w:lang w:eastAsia="es-ES"/>
        </w:rPr>
      </w:pPr>
      <w:bookmarkStart w:id="208" w:name="_Toc160009515"/>
      <w:bookmarkStart w:id="209" w:name="_Toc154734536"/>
      <w:bookmarkStart w:id="210" w:name="_Toc170226194"/>
      <w:bookmarkStart w:id="211" w:name="_Toc154731912"/>
      <w:r>
        <w:rPr>
          <w:rFonts w:eastAsia="Times New Roman" w:cs="Arial"/>
          <w:b/>
          <w:bCs/>
          <w:szCs w:val="24"/>
          <w:u w:val="single"/>
          <w:lang w:eastAsia="es-ES"/>
        </w:rPr>
        <w:t>Ajuste de carácter prospectivo (</w:t>
      </w:r>
      <w:r>
        <w:rPr>
          <w:rFonts w:eastAsia="Times New Roman" w:cs="Arial"/>
          <w:b/>
          <w:bCs/>
          <w:i/>
          <w:iCs/>
          <w:szCs w:val="24"/>
          <w:u w:val="single"/>
          <w:lang w:eastAsia="es-ES"/>
        </w:rPr>
        <w:t xml:space="preserve">forward </w:t>
      </w:r>
      <w:proofErr w:type="spellStart"/>
      <w:r>
        <w:rPr>
          <w:rFonts w:eastAsia="Times New Roman" w:cs="Arial"/>
          <w:b/>
          <w:bCs/>
          <w:i/>
          <w:iCs/>
          <w:szCs w:val="24"/>
          <w:u w:val="single"/>
          <w:lang w:eastAsia="es-ES"/>
        </w:rPr>
        <w:t>looking</w:t>
      </w:r>
      <w:proofErr w:type="spellEnd"/>
      <w:r>
        <w:rPr>
          <w:rFonts w:eastAsia="Times New Roman" w:cs="Arial"/>
          <w:b/>
          <w:bCs/>
          <w:szCs w:val="24"/>
          <w:u w:val="single"/>
          <w:lang w:eastAsia="es-ES"/>
        </w:rPr>
        <w:t>) en la perdida crediticia esperada</w:t>
      </w:r>
      <w:bookmarkEnd w:id="208"/>
      <w:bookmarkEnd w:id="209"/>
      <w:bookmarkEnd w:id="210"/>
      <w:bookmarkEnd w:id="211"/>
    </w:p>
    <w:p w14:paraId="5298100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empresas deben considerar información de carácter prospectivo, incluidos factores macroeconómicos con escenarios futuros, a fin de garantizar el reconocimiento oportuno de las pérdidas crediticias esperadas y no solo la información histórica. Las empresas deben sustentar y documentar las fuentes de información y los escenarios macroeconómicos planteados, así como las ponderaciones de cada escenario.</w:t>
      </w:r>
    </w:p>
    <w:p w14:paraId="5298100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Al considerar información prospectiva, las empresas deben aplicar un criterio sólido acorde con los métodos generalmente aceptados de proyección económica, teniendo en cuenta las posibles consecuencias de que ocurran o no determinados eventos y su impacto sobre la estimación de las pérdidas crediticias esperadas. Las empresas aplicarán su juicio experto basado en la experiencia en materia de riesgo de crédito a la hora de considerar escenarios futuros. </w:t>
      </w:r>
    </w:p>
    <w:p w14:paraId="5298100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Para incluir la información prospectiva las empresas podrán emplear las siguientes técnicas: a) modelos, b) criterio experto y c) asociación con datos de proveedores externos. La selección de la técnica debe estar debidamente sustentada y justificada, la cual debe considerar información disponible, razonable y fundamentada para la estimación de las pérdidas crediticias esperadas con carácter prospectivo.</w:t>
      </w:r>
    </w:p>
    <w:p w14:paraId="5298100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ajuste prospectivo debe actualizarse con una periodicidad mínima trimestral y cuando suceda un evento significativo en el mercado.</w:t>
      </w:r>
    </w:p>
    <w:p w14:paraId="52981006" w14:textId="77777777" w:rsidR="008748C1" w:rsidRDefault="008748C1">
      <w:pPr>
        <w:spacing w:before="60" w:after="60" w:line="240" w:lineRule="auto"/>
        <w:jc w:val="both"/>
        <w:rPr>
          <w:rFonts w:eastAsia="Times New Roman" w:cs="Times New Roman"/>
          <w:lang w:eastAsia="es-ES"/>
        </w:rPr>
      </w:pPr>
    </w:p>
    <w:p w14:paraId="52981007"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212" w:name="_Toc170226195"/>
      <w:r>
        <w:rPr>
          <w:rFonts w:eastAsia="Times New Roman" w:cs="Arial"/>
          <w:b/>
          <w:bCs/>
          <w:szCs w:val="24"/>
          <w:lang w:eastAsia="es-ES"/>
        </w:rPr>
        <w:t>Baja en cuentas y transferencia de activos financieros</w:t>
      </w:r>
      <w:bookmarkEnd w:id="212"/>
    </w:p>
    <w:p w14:paraId="52981008"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r>
        <w:rPr>
          <w:rFonts w:eastAsia="Times New Roman" w:cs="Arial"/>
          <w:b/>
          <w:szCs w:val="24"/>
          <w:lang w:eastAsia="es-ES"/>
        </w:rPr>
        <w:t>Baja en cuentas de activos financieros:</w:t>
      </w:r>
    </w:p>
    <w:p w14:paraId="5298100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 activo financiero se dará de baja del balance cuando, y solo cuando:</w:t>
      </w:r>
    </w:p>
    <w:p w14:paraId="5298100A" w14:textId="77777777" w:rsidR="008748C1" w:rsidRDefault="00000000">
      <w:pPr>
        <w:numPr>
          <w:ilvl w:val="0"/>
          <w:numId w:val="61"/>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expiren los derechos contractuales sobre los flujos de efectivo; o</w:t>
      </w:r>
    </w:p>
    <w:p w14:paraId="5298100B" w14:textId="77777777" w:rsidR="008748C1" w:rsidRDefault="00000000">
      <w:pPr>
        <w:numPr>
          <w:ilvl w:val="0"/>
          <w:numId w:val="61"/>
        </w:numPr>
        <w:spacing w:before="20" w:after="20" w:line="240" w:lineRule="auto"/>
        <w:ind w:left="1276" w:hanging="425"/>
        <w:jc w:val="both"/>
        <w:rPr>
          <w:rFonts w:eastAsia="Calibri" w:cs="Times New Roman"/>
          <w:szCs w:val="24"/>
          <w:lang w:eastAsia="es-ES"/>
        </w:rPr>
      </w:pPr>
      <w:r>
        <w:rPr>
          <w:rFonts w:eastAsia="Calibri" w:cs="Times New Roman"/>
          <w:szCs w:val="24"/>
          <w:lang w:eastAsia="es-ES"/>
        </w:rPr>
        <w:t xml:space="preserve">se transfiera el activo financiero y dicha transferencia reúna los requisitos para dar de baja al activo financiero. </w:t>
      </w:r>
    </w:p>
    <w:p w14:paraId="5298100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disposiciones sobre baja de activos son aplicables a una parte de un activo financiero si se cumple alguna de las condiciones indicadas en la NIIF 9. En cualquier otro caso, las disposiciones son aplicables al activo financiero en su totalidad.</w:t>
      </w:r>
    </w:p>
    <w:p w14:paraId="5298100D" w14:textId="77777777" w:rsidR="008748C1" w:rsidRDefault="00000000">
      <w:pPr>
        <w:keepNext/>
        <w:numPr>
          <w:ilvl w:val="5"/>
          <w:numId w:val="4"/>
        </w:numPr>
        <w:spacing w:before="240" w:after="120" w:line="240" w:lineRule="auto"/>
        <w:ind w:left="850" w:hanging="425"/>
        <w:jc w:val="both"/>
        <w:outlineLvl w:val="5"/>
        <w:rPr>
          <w:rFonts w:ascii="Arial" w:eastAsia="Times New Roman" w:hAnsi="Arial" w:cs="Arial"/>
          <w:b/>
          <w:szCs w:val="24"/>
          <w:lang w:eastAsia="es-ES"/>
        </w:rPr>
      </w:pPr>
      <w:r>
        <w:rPr>
          <w:rFonts w:eastAsia="Times New Roman" w:cs="Arial"/>
          <w:b/>
          <w:szCs w:val="24"/>
          <w:lang w:eastAsia="es-ES"/>
        </w:rPr>
        <w:lastRenderedPageBreak/>
        <w:t>Transferencia de activos financieros:</w:t>
      </w:r>
    </w:p>
    <w:p w14:paraId="5298100E"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habrá transferido un activo financiero si, y solo si:</w:t>
      </w:r>
    </w:p>
    <w:p w14:paraId="5298100F" w14:textId="77777777" w:rsidR="008748C1" w:rsidRDefault="00000000">
      <w:pPr>
        <w:numPr>
          <w:ilvl w:val="0"/>
          <w:numId w:val="62"/>
        </w:numPr>
        <w:spacing w:before="20" w:after="20" w:line="240" w:lineRule="auto"/>
        <w:jc w:val="both"/>
        <w:rPr>
          <w:rFonts w:eastAsia="Calibri" w:cs="Times New Roman"/>
          <w:szCs w:val="24"/>
          <w:lang w:eastAsia="es-ES"/>
        </w:rPr>
      </w:pPr>
      <w:r>
        <w:rPr>
          <w:rFonts w:eastAsia="Calibri" w:cs="Times New Roman"/>
          <w:szCs w:val="24"/>
          <w:lang w:eastAsia="es-ES"/>
        </w:rPr>
        <w:t>transfiere los derechos contractuales a recibir los flujos de efectivo de un activo financiero; o</w:t>
      </w:r>
    </w:p>
    <w:p w14:paraId="52981010" w14:textId="77777777" w:rsidR="008748C1" w:rsidRDefault="00000000">
      <w:pPr>
        <w:numPr>
          <w:ilvl w:val="0"/>
          <w:numId w:val="62"/>
        </w:numPr>
        <w:spacing w:before="20" w:after="20" w:line="240" w:lineRule="auto"/>
        <w:jc w:val="both"/>
        <w:rPr>
          <w:rFonts w:eastAsia="Calibri" w:cs="Times New Roman"/>
          <w:szCs w:val="24"/>
          <w:lang w:eastAsia="es-ES"/>
        </w:rPr>
      </w:pPr>
      <w:r>
        <w:rPr>
          <w:rFonts w:eastAsia="Calibri" w:cs="Times New Roman"/>
          <w:szCs w:val="24"/>
          <w:lang w:eastAsia="es-ES"/>
        </w:rPr>
        <w:t>retiene los derechos contractuales a recibir los flujos de efectivo de un activo financiero (activo financiero original), pero asume la obligación contractual de pagarlos a uno o más perceptores y si se cumplen todas las condiciones siguientes:</w:t>
      </w:r>
    </w:p>
    <w:p w14:paraId="52981011" w14:textId="77777777" w:rsidR="008748C1" w:rsidRDefault="00000000">
      <w:pPr>
        <w:numPr>
          <w:ilvl w:val="0"/>
          <w:numId w:val="57"/>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no está obligada a cumplir dicha obligación, a menos que cobre importes equivalentes al activo financiero original;</w:t>
      </w:r>
    </w:p>
    <w:p w14:paraId="52981012" w14:textId="77777777" w:rsidR="008748C1" w:rsidRDefault="00000000">
      <w:pPr>
        <w:numPr>
          <w:ilvl w:val="0"/>
          <w:numId w:val="57"/>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tiene prohibida la venta o la afectación en garantía del activo financiero original, excepto que lo haga para garantizar los pagos de los flujos de efectivo a los perceptores; y</w:t>
      </w:r>
    </w:p>
    <w:p w14:paraId="52981013" w14:textId="77777777" w:rsidR="008748C1" w:rsidRDefault="00000000">
      <w:pPr>
        <w:numPr>
          <w:ilvl w:val="0"/>
          <w:numId w:val="57"/>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 xml:space="preserve">tiene la obligación de remitir sin retraso significativo todos los flujos de efectivo cobrados a sus perceptores, sin que pueda reinvertirlos. </w:t>
      </w:r>
    </w:p>
    <w:p w14:paraId="52981014" w14:textId="77777777" w:rsidR="008748C1" w:rsidRDefault="00000000">
      <w:pPr>
        <w:keepNext/>
        <w:spacing w:before="240" w:after="120" w:line="240" w:lineRule="auto"/>
        <w:ind w:left="851"/>
        <w:outlineLvl w:val="6"/>
        <w:rPr>
          <w:rFonts w:ascii="Arial" w:eastAsia="Times New Roman" w:hAnsi="Arial" w:cs="Arial"/>
          <w:b/>
          <w:bCs/>
          <w:szCs w:val="24"/>
          <w:u w:val="single"/>
          <w:lang w:eastAsia="es-ES"/>
        </w:rPr>
      </w:pPr>
      <w:bookmarkStart w:id="213" w:name="_Toc162452787"/>
      <w:bookmarkStart w:id="214" w:name="_Toc162454679"/>
      <w:bookmarkStart w:id="215" w:name="_Toc170226196"/>
      <w:r>
        <w:rPr>
          <w:rFonts w:eastAsia="Times New Roman" w:cs="Arial"/>
          <w:b/>
          <w:bCs/>
          <w:szCs w:val="24"/>
          <w:u w:val="single"/>
          <w:lang w:eastAsia="es-ES"/>
        </w:rPr>
        <w:t>Transferencia sustancial de riesgos y beneficios</w:t>
      </w:r>
      <w:bookmarkEnd w:id="213"/>
      <w:bookmarkEnd w:id="214"/>
      <w:bookmarkEnd w:id="215"/>
    </w:p>
    <w:p w14:paraId="5298101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Cuando una empresa transfiera un activo financiero evaluará en qué medida se han transferido los riesgos y beneficios. En algunos casos, la transferencia de los riesgos y beneficios puede ser evidente por lo que no necesitará realizar ningún cálculo. En los casos en los que la transferencia de riesgos y beneficios no resultara evidente será necesario calcular y comparar la exposición de la empresa en el valor presente de los flujos de efectivo futuros netos, antes y después de la transferencia, mediante la utilización de diferentes escenarios y utilizando como tasa de descuento un tipo de interés de mercado actual que sea adecuado. </w:t>
      </w:r>
    </w:p>
    <w:p w14:paraId="5298101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En la evaluación de la transferencia de riesgos y beneficios se tomará en consideración lo siguiente:</w:t>
      </w:r>
    </w:p>
    <w:p w14:paraId="52981017" w14:textId="77777777" w:rsidR="008748C1" w:rsidRDefault="00000000">
      <w:pPr>
        <w:numPr>
          <w:ilvl w:val="0"/>
          <w:numId w:val="63"/>
        </w:numPr>
        <w:spacing w:before="20" w:after="20" w:line="240" w:lineRule="auto"/>
        <w:jc w:val="both"/>
        <w:rPr>
          <w:rFonts w:eastAsia="Calibri" w:cs="Times New Roman"/>
          <w:szCs w:val="24"/>
          <w:lang w:eastAsia="es-ES"/>
        </w:rPr>
      </w:pPr>
      <w:r>
        <w:rPr>
          <w:rFonts w:eastAsia="Calibri" w:cs="Times New Roman"/>
          <w:szCs w:val="24"/>
          <w:lang w:eastAsia="es-ES"/>
        </w:rPr>
        <w:t>si la empresa transfiere de forma sustancial los riesgos y beneficios inherentes a la propiedad del activo financiero, entonces lo dará de baja en cuentas y reconocerá separadamente, como activos o pasivos, los derechos y obligaciones creados o retenidos en la transferencia;</w:t>
      </w:r>
    </w:p>
    <w:p w14:paraId="52981018" w14:textId="77777777" w:rsidR="008748C1" w:rsidRDefault="00000000">
      <w:pPr>
        <w:numPr>
          <w:ilvl w:val="0"/>
          <w:numId w:val="63"/>
        </w:numPr>
        <w:spacing w:before="20" w:after="20" w:line="240" w:lineRule="auto"/>
        <w:jc w:val="both"/>
        <w:rPr>
          <w:rFonts w:eastAsia="Calibri" w:cs="Times New Roman"/>
          <w:szCs w:val="24"/>
          <w:lang w:eastAsia="es-ES"/>
        </w:rPr>
      </w:pPr>
      <w:r>
        <w:rPr>
          <w:rFonts w:eastAsia="Calibri" w:cs="Times New Roman"/>
          <w:szCs w:val="24"/>
          <w:lang w:eastAsia="es-ES"/>
        </w:rPr>
        <w:t>si la empresa retiene de forma sustancial los riesgos y beneficios, continuará reconociendo el activo financiero en su integridad, y reconocerá un pasivo financiero por la contraprestación recibida</w:t>
      </w:r>
    </w:p>
    <w:p w14:paraId="52981019" w14:textId="77777777" w:rsidR="008748C1" w:rsidRDefault="00000000">
      <w:pPr>
        <w:numPr>
          <w:ilvl w:val="0"/>
          <w:numId w:val="63"/>
        </w:numPr>
        <w:spacing w:before="20" w:after="20" w:line="240" w:lineRule="auto"/>
        <w:jc w:val="both"/>
        <w:rPr>
          <w:rFonts w:eastAsia="Calibri" w:cs="Times New Roman"/>
          <w:szCs w:val="24"/>
          <w:lang w:eastAsia="es-ES"/>
        </w:rPr>
      </w:pPr>
      <w:r>
        <w:rPr>
          <w:rFonts w:eastAsia="Calibri" w:cs="Times New Roman"/>
          <w:szCs w:val="24"/>
          <w:lang w:eastAsia="es-ES"/>
        </w:rPr>
        <w:t>no transfiere ni retiene de forma sustancial los riesgos y beneficios, entonces determinará si ha retenido el control sobre el activo financiero.</w:t>
      </w:r>
    </w:p>
    <w:p w14:paraId="5298101A" w14:textId="77777777" w:rsidR="008748C1" w:rsidRDefault="00000000">
      <w:pPr>
        <w:numPr>
          <w:ilvl w:val="0"/>
          <w:numId w:val="6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Si la empresa no ha retenido el control, dará de baja el activo financiero y reconocerá por separado, como activos y pasivos, los derechos y obligaciones creados o retenidos en la transferencia.</w:t>
      </w:r>
    </w:p>
    <w:p w14:paraId="5298101B" w14:textId="77777777" w:rsidR="008748C1" w:rsidRDefault="00000000">
      <w:pPr>
        <w:numPr>
          <w:ilvl w:val="0"/>
          <w:numId w:val="6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Si la empresa ha retenido el control, continuará reconociendo el activo financiero en la medida de su implicación continuada en el activo financiero.</w:t>
      </w:r>
    </w:p>
    <w:p w14:paraId="5298101C" w14:textId="77777777" w:rsidR="008748C1" w:rsidRDefault="00000000">
      <w:pPr>
        <w:keepNext/>
        <w:spacing w:before="240" w:after="120" w:line="240" w:lineRule="auto"/>
        <w:ind w:left="851"/>
        <w:outlineLvl w:val="6"/>
        <w:rPr>
          <w:rFonts w:ascii="Arial" w:eastAsia="Times New Roman" w:hAnsi="Arial" w:cs="Arial"/>
          <w:b/>
          <w:bCs/>
          <w:szCs w:val="24"/>
          <w:u w:val="single"/>
          <w:lang w:eastAsia="es-ES"/>
        </w:rPr>
      </w:pPr>
      <w:bookmarkStart w:id="216" w:name="_Toc162454680"/>
      <w:bookmarkStart w:id="217" w:name="_Toc170226197"/>
      <w:bookmarkStart w:id="218" w:name="_Toc162452788"/>
      <w:r>
        <w:rPr>
          <w:rFonts w:eastAsia="Times New Roman" w:cs="Arial"/>
          <w:b/>
          <w:bCs/>
          <w:szCs w:val="24"/>
          <w:u w:val="single"/>
          <w:lang w:eastAsia="es-ES"/>
        </w:rPr>
        <w:t>Retención del control</w:t>
      </w:r>
      <w:bookmarkEnd w:id="216"/>
      <w:bookmarkEnd w:id="217"/>
      <w:bookmarkEnd w:id="218"/>
    </w:p>
    <w:p w14:paraId="5298101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Una vez que la empresa haya evaluado la transmisión sustancial o no de riesgos y beneficios, en el caso que ni se transmitan ni se retengan, la empresa deberá analizar el control de los activos. Cuando se evalúa si una empresa ha retenido el control de un activo transferido, se debe analizar la capacidad del receptor de la transferencia para vender dicho activo. Si el receptor de la transferencia tiene la capacidad práctica de venderlo en su integridad a una tercera parte no relacionada, y es capaz de ejercerla unilateralmente y sin necesidad de imponer restricciones adicionales sobre la transferencia, la empresa no ha retenido el control. En cualquier otro caso, la empresa ha retenido el control.</w:t>
      </w:r>
    </w:p>
    <w:p w14:paraId="5298101E" w14:textId="77777777" w:rsidR="008748C1" w:rsidRDefault="00000000">
      <w:pPr>
        <w:keepNext/>
        <w:spacing w:before="240" w:after="120" w:line="240" w:lineRule="auto"/>
        <w:ind w:left="851"/>
        <w:outlineLvl w:val="6"/>
        <w:rPr>
          <w:rFonts w:ascii="Arial" w:eastAsia="Times New Roman" w:hAnsi="Arial" w:cs="Arial"/>
          <w:b/>
          <w:bCs/>
          <w:szCs w:val="24"/>
          <w:u w:val="single"/>
          <w:lang w:eastAsia="es-ES"/>
        </w:rPr>
      </w:pPr>
      <w:bookmarkStart w:id="219" w:name="_Toc162452789"/>
      <w:bookmarkStart w:id="220" w:name="_Toc162454681"/>
      <w:bookmarkStart w:id="221" w:name="_Toc170226198"/>
      <w:r>
        <w:rPr>
          <w:rFonts w:eastAsia="Times New Roman" w:cs="Arial"/>
          <w:b/>
          <w:bCs/>
          <w:szCs w:val="24"/>
          <w:u w:val="single"/>
          <w:lang w:eastAsia="es-ES"/>
        </w:rPr>
        <w:lastRenderedPageBreak/>
        <w:t>Implicación continuada en activos financieros</w:t>
      </w:r>
      <w:bookmarkEnd w:id="219"/>
      <w:bookmarkEnd w:id="220"/>
      <w:bookmarkEnd w:id="221"/>
    </w:p>
    <w:p w14:paraId="5298101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 una empresa no transfiere ni retiene de forma sustancial los riesgos y beneficios, y retiene el control sobre este, continuará reconociendo el activo financiero en la medida de su implicación continuada, por lo tanto, dará de baja el resto del activo. Dependiendo de la forma que tome dicha implicación, se establece el importe que debe registrarse:</w:t>
      </w:r>
    </w:p>
    <w:p w14:paraId="52981020" w14:textId="77777777" w:rsidR="008748C1" w:rsidRDefault="00000000">
      <w:pPr>
        <w:numPr>
          <w:ilvl w:val="0"/>
          <w:numId w:val="65"/>
        </w:numPr>
        <w:spacing w:before="20" w:after="20" w:line="240" w:lineRule="auto"/>
        <w:jc w:val="both"/>
        <w:rPr>
          <w:rFonts w:eastAsia="Calibri" w:cs="Times New Roman"/>
          <w:szCs w:val="24"/>
          <w:lang w:eastAsia="es-ES"/>
        </w:rPr>
      </w:pPr>
      <w:r>
        <w:rPr>
          <w:rFonts w:eastAsia="Calibri" w:cs="Times New Roman"/>
          <w:szCs w:val="24"/>
          <w:lang w:eastAsia="es-ES"/>
        </w:rPr>
        <w:t>Si la implicación continuada toma la forma de garantía del activo transferido, se reconocerá el menor valor entre el importe del activo y el importe máximo garantizado.</w:t>
      </w:r>
    </w:p>
    <w:p w14:paraId="52981021" w14:textId="77777777" w:rsidR="008748C1" w:rsidRDefault="00000000">
      <w:pPr>
        <w:numPr>
          <w:ilvl w:val="0"/>
          <w:numId w:val="65"/>
        </w:numPr>
        <w:spacing w:before="20" w:after="20" w:line="240" w:lineRule="auto"/>
        <w:jc w:val="both"/>
        <w:rPr>
          <w:rFonts w:eastAsia="Calibri" w:cs="Times New Roman"/>
          <w:szCs w:val="24"/>
          <w:lang w:eastAsia="es-ES"/>
        </w:rPr>
      </w:pPr>
      <w:r>
        <w:rPr>
          <w:rFonts w:eastAsia="Calibri" w:cs="Times New Roman"/>
          <w:szCs w:val="24"/>
          <w:lang w:eastAsia="es-ES"/>
        </w:rPr>
        <w:t>Si la implicación continuada toma la forma de una opción comprada o emitida, el importe que se registrará será el del activo transferido que la empresa pueda volver a comprar, ya sea que se liquide o no en efectivo. En el caso de una opción de venta emitida, el importe de la implicación continuada de la empresa estará limitado al importe menor entre el valor razonable del activo transferido y el precio de ejercicio de la opción.</w:t>
      </w:r>
    </w:p>
    <w:p w14:paraId="5298102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Adicionalmente, en la medida de la implicación continuada, la empresa reconocerá también un pasivo asociado. Este pasivo se medirá de forma que el valor neto entre los importes en libros de ambos sea igual:</w:t>
      </w:r>
    </w:p>
    <w:p w14:paraId="52981023" w14:textId="77777777" w:rsidR="008748C1" w:rsidRDefault="00000000">
      <w:pPr>
        <w:numPr>
          <w:ilvl w:val="0"/>
          <w:numId w:val="66"/>
        </w:numPr>
        <w:spacing w:before="20" w:after="20" w:line="240" w:lineRule="auto"/>
        <w:jc w:val="both"/>
        <w:rPr>
          <w:rFonts w:eastAsia="Calibri" w:cs="Times New Roman"/>
          <w:szCs w:val="24"/>
          <w:lang w:eastAsia="es-ES"/>
        </w:rPr>
      </w:pPr>
      <w:r>
        <w:rPr>
          <w:rFonts w:eastAsia="Calibri" w:cs="Times New Roman"/>
          <w:szCs w:val="24"/>
          <w:lang w:eastAsia="es-ES"/>
        </w:rPr>
        <w:t>Al costo amortizado de los derechos y obligaciones retenidos por la empresa, si el activo transferido se mide al costo amortizado;</w:t>
      </w:r>
    </w:p>
    <w:p w14:paraId="52981024" w14:textId="77777777" w:rsidR="008748C1" w:rsidRDefault="00000000">
      <w:pPr>
        <w:numPr>
          <w:ilvl w:val="0"/>
          <w:numId w:val="66"/>
        </w:numPr>
        <w:spacing w:before="20" w:after="20" w:line="240" w:lineRule="auto"/>
        <w:jc w:val="both"/>
        <w:rPr>
          <w:rFonts w:eastAsia="Calibri" w:cs="Times New Roman"/>
          <w:szCs w:val="24"/>
          <w:lang w:eastAsia="es-ES"/>
        </w:rPr>
      </w:pPr>
      <w:r>
        <w:rPr>
          <w:rFonts w:eastAsia="Calibri" w:cs="Times New Roman"/>
          <w:szCs w:val="24"/>
          <w:lang w:eastAsia="es-ES"/>
        </w:rPr>
        <w:t>O a su valor razonable si el activo transferido se mide al valor razonable.</w:t>
      </w:r>
    </w:p>
    <w:p w14:paraId="5298102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En el caso de que la empresa mantuviera la implicación continuada solo sobre una parte de un activo financiero, el importe en libros de este se dividirá entre la parte transferida y la parte en la que la empresa mantiene la implicación continuada de forma proporcional al valor razonable de las mismas. Además, podrá reconocerse el resultado de la transferencia por la parte que no corresponde a la implicación continuada, tal como se señala en las transferencias que cumplen los requisitos para la baja en cuentas.</w:t>
      </w:r>
    </w:p>
    <w:p w14:paraId="52981026" w14:textId="77777777" w:rsidR="008748C1" w:rsidRDefault="00000000">
      <w:pPr>
        <w:keepNext/>
        <w:spacing w:before="240" w:after="120" w:line="240" w:lineRule="auto"/>
        <w:ind w:left="851"/>
        <w:outlineLvl w:val="6"/>
        <w:rPr>
          <w:rFonts w:ascii="Arial" w:eastAsia="Times New Roman" w:hAnsi="Arial" w:cs="Arial"/>
          <w:b/>
          <w:bCs/>
          <w:szCs w:val="24"/>
          <w:u w:val="single"/>
          <w:lang w:eastAsia="es-ES"/>
        </w:rPr>
      </w:pPr>
      <w:bookmarkStart w:id="222" w:name="_Toc162452790"/>
      <w:bookmarkStart w:id="223" w:name="_Toc162454682"/>
      <w:bookmarkStart w:id="224" w:name="_Toc170226199"/>
      <w:r>
        <w:rPr>
          <w:rFonts w:eastAsia="Times New Roman" w:cs="Arial"/>
          <w:b/>
          <w:bCs/>
          <w:szCs w:val="24"/>
          <w:u w:val="single"/>
          <w:lang w:eastAsia="es-ES"/>
        </w:rPr>
        <w:t>Transferencias con garantías</w:t>
      </w:r>
      <w:bookmarkEnd w:id="222"/>
      <w:bookmarkEnd w:id="223"/>
      <w:bookmarkEnd w:id="224"/>
    </w:p>
    <w:p w14:paraId="5298102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 en una transferencia, el transferente ofrece garantías al receptor mediante activos financieros distintas al efectivo (tales como instrumentos de deuda y patrimonio), la contabilización de la garantía colateral por ambas partes dependerá si el receptor tiene el derecho de vender o volver a pignorar la garantía colateral y de si el transferente ha incurrido en incumplimiento. La contabilización de la garantía colateral se rige bajo las reglas siguientes:</w:t>
      </w:r>
    </w:p>
    <w:p w14:paraId="52981028" w14:textId="77777777" w:rsidR="008748C1" w:rsidRDefault="00000000">
      <w:pPr>
        <w:numPr>
          <w:ilvl w:val="0"/>
          <w:numId w:val="67"/>
        </w:numPr>
        <w:spacing w:before="20" w:after="20" w:line="240" w:lineRule="auto"/>
        <w:jc w:val="both"/>
        <w:rPr>
          <w:rFonts w:eastAsia="Calibri" w:cs="Times New Roman"/>
          <w:szCs w:val="24"/>
          <w:lang w:eastAsia="es-ES"/>
        </w:rPr>
      </w:pPr>
      <w:r>
        <w:rPr>
          <w:rFonts w:eastAsia="Calibri" w:cs="Times New Roman"/>
          <w:szCs w:val="24"/>
          <w:lang w:eastAsia="es-ES"/>
        </w:rPr>
        <w:t>Si el receptor de la transferencia tiene como costumbre o está obligado por un contrato a vender o volver a pignorar la garantía colateral, el transferente reclasificará el activo en su estado de situación financiera separada de otros activos.</w:t>
      </w:r>
    </w:p>
    <w:p w14:paraId="52981029" w14:textId="77777777" w:rsidR="008748C1" w:rsidRDefault="00000000">
      <w:pPr>
        <w:numPr>
          <w:ilvl w:val="0"/>
          <w:numId w:val="67"/>
        </w:numPr>
        <w:spacing w:before="20" w:after="20" w:line="240" w:lineRule="auto"/>
        <w:jc w:val="both"/>
        <w:rPr>
          <w:rFonts w:eastAsia="Calibri" w:cs="Times New Roman"/>
          <w:szCs w:val="24"/>
          <w:lang w:eastAsia="es-ES"/>
        </w:rPr>
      </w:pPr>
      <w:r>
        <w:rPr>
          <w:rFonts w:eastAsia="Calibri" w:cs="Times New Roman"/>
          <w:szCs w:val="24"/>
          <w:lang w:eastAsia="es-ES"/>
        </w:rPr>
        <w:t>Si el receptor de la transferencia vendiese la garantía colateral pignorada, reconocerá un pasivo financiero medido a su valor razonable por la obligación de devolver la garantía y reconocerá los ingresos procedentes de la venta.</w:t>
      </w:r>
    </w:p>
    <w:p w14:paraId="5298102A" w14:textId="77777777" w:rsidR="008748C1" w:rsidRDefault="00000000">
      <w:pPr>
        <w:numPr>
          <w:ilvl w:val="0"/>
          <w:numId w:val="67"/>
        </w:numPr>
        <w:spacing w:before="20" w:after="20" w:line="240" w:lineRule="auto"/>
        <w:jc w:val="both"/>
        <w:rPr>
          <w:rFonts w:eastAsia="Calibri" w:cs="Times New Roman"/>
          <w:szCs w:val="24"/>
          <w:lang w:eastAsia="es-ES"/>
        </w:rPr>
      </w:pPr>
      <w:r>
        <w:rPr>
          <w:rFonts w:eastAsia="Calibri" w:cs="Times New Roman"/>
          <w:szCs w:val="24"/>
          <w:lang w:eastAsia="es-ES"/>
        </w:rPr>
        <w:t>Si el transferente incumpliese los términos del contrato y pierda el derecho a recuperar el activo entregado en garantía, dará de baja a dicho activo del balance y el receptor lo reconocerá como un activo propio medido inicialmente al valor razonable, o si ya se hubiese vendido, dará de baja el pasivo financiero en el que reconocer su obligación de devolver la garantía.</w:t>
      </w:r>
    </w:p>
    <w:p w14:paraId="5298102B" w14:textId="77777777" w:rsidR="008748C1" w:rsidRDefault="00000000">
      <w:pPr>
        <w:numPr>
          <w:ilvl w:val="0"/>
          <w:numId w:val="67"/>
        </w:numPr>
        <w:spacing w:before="20" w:after="20" w:line="240" w:lineRule="auto"/>
        <w:jc w:val="both"/>
        <w:rPr>
          <w:rFonts w:eastAsia="Calibri" w:cs="Times New Roman"/>
          <w:szCs w:val="24"/>
          <w:lang w:eastAsia="es-ES"/>
        </w:rPr>
      </w:pPr>
      <w:r>
        <w:rPr>
          <w:rFonts w:eastAsia="Calibri" w:cs="Times New Roman"/>
          <w:szCs w:val="24"/>
          <w:lang w:eastAsia="es-ES"/>
        </w:rPr>
        <w:t>Con la excepción de los dispuesto en el apartado c) anterior, el transferidor continuará registrando la garantía colateral como su activo y el receptor de la transferencia no podrá reconocer la garantía colateral como su activo.</w:t>
      </w:r>
    </w:p>
    <w:p w14:paraId="5298102C"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225" w:name="_Toc170226203"/>
      <w:r>
        <w:rPr>
          <w:rFonts w:eastAsia="Times New Roman" w:cs="Arial"/>
          <w:b/>
          <w:bCs/>
          <w:szCs w:val="24"/>
          <w:lang w:eastAsia="es-ES"/>
        </w:rPr>
        <w:t>Reclasificación de activos financieros</w:t>
      </w:r>
      <w:bookmarkEnd w:id="225"/>
    </w:p>
    <w:p w14:paraId="5298102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 reclasificación de los activos financieros solo se llevará a cabo en caso de que la empresa modifique su modelo de negocio para la gestión de dichos activos. Es importante tener en cuenta que esta </w:t>
      </w:r>
      <w:r>
        <w:rPr>
          <w:rFonts w:eastAsia="Times New Roman" w:cs="Times New Roman"/>
          <w:lang w:eastAsia="es-ES"/>
        </w:rPr>
        <w:lastRenderedPageBreak/>
        <w:t xml:space="preserve">reclasificación se efectuará de manera prospectiva desde la fecha de reclasificación y no conllevará a la </w:t>
      </w:r>
      <w:proofErr w:type="spellStart"/>
      <w:r>
        <w:rPr>
          <w:rFonts w:eastAsia="Times New Roman" w:cs="Times New Roman"/>
          <w:lang w:eastAsia="es-ES"/>
        </w:rPr>
        <w:t>reexpresión</w:t>
      </w:r>
      <w:proofErr w:type="spellEnd"/>
      <w:r>
        <w:rPr>
          <w:rFonts w:eastAsia="Times New Roman" w:cs="Times New Roman"/>
          <w:lang w:eastAsia="es-ES"/>
        </w:rPr>
        <w:t xml:space="preserve"> de las ganancias, pérdidas o intereses previamente reconocidos. Los cambios en el modelo de negocio son poco frecuentes.</w:t>
      </w:r>
    </w:p>
    <w:p w14:paraId="5298102E"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 la empresa reclasifica un activo financiero desde la categoría de medición al costo amortizado hacia la categoría de valor razonable con cambios en resultados, la empresa deberá medir su valor razonable en la fecha de reclasificación. Cualquier ganancia o pérdida que surja, por diferencias entre el costo amortizado previo y el valor razonable, se reconocerá en el resultado del periodo.</w:t>
      </w:r>
    </w:p>
    <w:p w14:paraId="5298102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 la empresa reclasifica un activo financiero desde la categoría de medición a valor razonable con cambios en resultados hacia la categoría de costo amortizado, el valor razonable del activo en la fecha de reclasificación pasará a ser su nuevo importe en libros bruto. Además, la empresa debe determinar la tasa de interés efectiva sobre la base del valor razonable del activo en la fecha de reclasificación. Para efectos del reconocimiento de las pérdidas crediticias esperadas, la fecha de reclasificación se trata como la del reconocimiento inicial.</w:t>
      </w:r>
    </w:p>
    <w:p w14:paraId="5298103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la empresa reclasifica un activo financiero desde la categoría de medición al costo amortizado hacia la categoría de valor razonable con cambios en otro resultado integral, la empresa deberá medir su valor razonable en la fecha de reclasificación. Cualquier ganancia o pérdida que surja, por diferencias entre el costo amortizado previo y el valor razonable, se reconocerá en otro resultado integral. </w:t>
      </w:r>
      <w:bookmarkStart w:id="226" w:name="_Hlk162274745"/>
      <w:r>
        <w:rPr>
          <w:rFonts w:eastAsia="Times New Roman" w:cs="Times New Roman"/>
          <w:lang w:eastAsia="es-ES"/>
        </w:rPr>
        <w:t xml:space="preserve">Además, i) el reconocimiento de los ingresos por intereses no cambia; por ende, la empresa continúa utilizando la misma tasa de interés efectiva, </w:t>
      </w:r>
      <w:proofErr w:type="spellStart"/>
      <w:r>
        <w:rPr>
          <w:rFonts w:eastAsia="Times New Roman" w:cs="Times New Roman"/>
          <w:lang w:eastAsia="es-ES"/>
        </w:rPr>
        <w:t>ii</w:t>
      </w:r>
      <w:proofErr w:type="spellEnd"/>
      <w:r>
        <w:rPr>
          <w:rFonts w:eastAsia="Times New Roman" w:cs="Times New Roman"/>
          <w:lang w:eastAsia="es-ES"/>
        </w:rPr>
        <w:t>) la medición de las pérdidas crediticias esperadas no cambian; no obstante, la corrección de valor por pérdidas se da de baja en cuentas (se dejaría de reconocerse como un ajuste al valor en libros bruto) y en su lugar, se reconocería como un importe por deterioro acumulado (de igual importe) en otro resultado integral y se revelaría desde la fecha de reclasificación.</w:t>
      </w:r>
      <w:bookmarkEnd w:id="226"/>
      <w:r>
        <w:rPr>
          <w:rFonts w:eastAsia="Times New Roman" w:cs="Times New Roman"/>
          <w:lang w:eastAsia="es-ES"/>
        </w:rPr>
        <w:t xml:space="preserve"> </w:t>
      </w:r>
    </w:p>
    <w:p w14:paraId="5298103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la empresa reclasifica un activo financiero desde la categoría de medición a valor razonable con cambios en otro resultado integral hacia la categoría de costo amortizado, el activo financiero se reclasificará por el valor razonable en la fecha de reclasificación. Sin embargo, cualquier ganancia o pérdida acumulada anteriormente reconocida en otro resultado integral se eliminarán del patrimonio y ajustarán contra el valor razonable del activo financiero en la fecha de reclasificación. Como resultado, el activo financiero se medirá en la fecha de reclasificación como si siempre se hubiera valorado al costo amortizado. Este ajuste afecta al otro resultado integral pero no al resultado del periodo y, por ello, no es un ajuste por reclasificación. Además, i) el reconocimiento de los ingresos por intereses no cambia; por ende, la empresa continúa utilizando la misma tasa de interés efectiva, </w:t>
      </w:r>
      <w:proofErr w:type="spellStart"/>
      <w:r>
        <w:rPr>
          <w:rFonts w:eastAsia="Times New Roman" w:cs="Times New Roman"/>
          <w:lang w:eastAsia="es-ES"/>
        </w:rPr>
        <w:t>ii</w:t>
      </w:r>
      <w:proofErr w:type="spellEnd"/>
      <w:r>
        <w:rPr>
          <w:rFonts w:eastAsia="Times New Roman" w:cs="Times New Roman"/>
          <w:lang w:eastAsia="es-ES"/>
        </w:rPr>
        <w:t>) la medición de las pérdidas crediticias esperadas no cambia; no obstante, la corrección de valor se reconocería una corrección de valor por pérdidas como un ajuste al importe en libros bruto del activo financiero desde la fecha de reclasificación.</w:t>
      </w:r>
    </w:p>
    <w:p w14:paraId="5298103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la empresa reclasifica un activo financiero desde la categoría a valor razonable con cambios en resultados a la de valor razonable con cambios en otro resultado integral, el activo financiero se seguirá midiendo a valor razonable sin que se modifique la contabilización de los cambios de valor registrados con anterioridad. </w:t>
      </w:r>
      <w:bookmarkStart w:id="227" w:name="_Hlk162276725"/>
      <w:r>
        <w:rPr>
          <w:rFonts w:eastAsia="Times New Roman" w:cs="Times New Roman"/>
          <w:lang w:eastAsia="es-ES"/>
        </w:rPr>
        <w:t xml:space="preserve"> Además, la empresa debe determinar la tasa de interés efectiva sobre la base del valor razonable del activo en la fecha de reclasificación. Para efectos del reconocimiento de las pérdidas crediticias esperadas, la fecha de reclasificación se trata como la del reconocimiento inicial.</w:t>
      </w:r>
      <w:bookmarkEnd w:id="227"/>
    </w:p>
    <w:p w14:paraId="5298103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la empresa reclasifica un activo financiero desde la categoría a valor razonable con cambios en otro resultado integral a la de valor razonable con cambios en resultados, el activo financiero se seguirá midiendo a valor razonable. Cualquier ganancia o pérdida acumulada anteriormente reconocida en otro resultado integral se reclasificará del patrimonio al resultado del periodo en la fecha de reclasificación. </w:t>
      </w:r>
    </w:p>
    <w:p w14:paraId="5298103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A continuación, se resumen los efectos contables de las reclasificaciones entre categorías de activos financieros:</w:t>
      </w:r>
    </w:p>
    <w:p w14:paraId="52981035" w14:textId="77777777" w:rsidR="008748C1" w:rsidRDefault="008748C1">
      <w:pPr>
        <w:spacing w:after="0" w:line="240" w:lineRule="auto"/>
        <w:jc w:val="both"/>
        <w:rPr>
          <w:rFonts w:eastAsia="Times New Roman" w:cs="Aptos"/>
          <w:szCs w:val="24"/>
          <w:lang w:eastAsia="es-ES"/>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4819"/>
      </w:tblGrid>
      <w:tr w:rsidR="008748C1" w14:paraId="52981039" w14:textId="77777777">
        <w:trPr>
          <w:tblHeader/>
        </w:trPr>
        <w:tc>
          <w:tcPr>
            <w:tcW w:w="1701" w:type="dxa"/>
          </w:tcPr>
          <w:p w14:paraId="52981036" w14:textId="77777777" w:rsidR="008748C1" w:rsidRDefault="00000000">
            <w:pPr>
              <w:spacing w:after="0" w:line="240" w:lineRule="auto"/>
              <w:jc w:val="center"/>
              <w:rPr>
                <w:rFonts w:eastAsia="Times New Roman" w:cs="Aptos"/>
                <w:sz w:val="20"/>
                <w:lang w:eastAsia="es-ES"/>
              </w:rPr>
            </w:pPr>
            <w:r>
              <w:rPr>
                <w:rFonts w:eastAsia="Times New Roman" w:cs="Aptos"/>
                <w:b/>
                <w:bCs/>
                <w:sz w:val="20"/>
                <w:lang w:eastAsia="es-ES"/>
              </w:rPr>
              <w:lastRenderedPageBreak/>
              <w:t>Desde</w:t>
            </w:r>
          </w:p>
        </w:tc>
        <w:tc>
          <w:tcPr>
            <w:tcW w:w="1701" w:type="dxa"/>
          </w:tcPr>
          <w:p w14:paraId="52981037" w14:textId="77777777" w:rsidR="008748C1" w:rsidRDefault="00000000">
            <w:pPr>
              <w:spacing w:after="0" w:line="240" w:lineRule="auto"/>
              <w:jc w:val="center"/>
              <w:rPr>
                <w:rFonts w:eastAsia="Times New Roman" w:cs="Aptos"/>
                <w:sz w:val="20"/>
                <w:lang w:eastAsia="es-ES"/>
              </w:rPr>
            </w:pPr>
            <w:r>
              <w:rPr>
                <w:rFonts w:eastAsia="Times New Roman" w:cs="Aptos"/>
                <w:b/>
                <w:bCs/>
                <w:sz w:val="20"/>
                <w:lang w:eastAsia="es-ES"/>
              </w:rPr>
              <w:t>Hacia</w:t>
            </w:r>
          </w:p>
        </w:tc>
        <w:tc>
          <w:tcPr>
            <w:tcW w:w="4819" w:type="dxa"/>
          </w:tcPr>
          <w:p w14:paraId="52981038" w14:textId="77777777" w:rsidR="008748C1" w:rsidRDefault="00000000">
            <w:pPr>
              <w:spacing w:after="0" w:line="240" w:lineRule="auto"/>
              <w:jc w:val="center"/>
              <w:rPr>
                <w:rFonts w:eastAsia="Times New Roman" w:cs="Aptos"/>
                <w:sz w:val="20"/>
                <w:lang w:eastAsia="es-ES"/>
              </w:rPr>
            </w:pPr>
            <w:r>
              <w:rPr>
                <w:rFonts w:eastAsia="Times New Roman" w:cs="Aptos"/>
                <w:b/>
                <w:bCs/>
                <w:sz w:val="20"/>
                <w:lang w:eastAsia="es-ES"/>
              </w:rPr>
              <w:t>Impacto contable</w:t>
            </w:r>
          </w:p>
        </w:tc>
      </w:tr>
      <w:tr w:rsidR="008748C1" w14:paraId="5298103D" w14:textId="77777777">
        <w:tc>
          <w:tcPr>
            <w:tcW w:w="1701" w:type="dxa"/>
          </w:tcPr>
          <w:p w14:paraId="5298103A" w14:textId="77777777" w:rsidR="008748C1" w:rsidRDefault="00000000">
            <w:pPr>
              <w:spacing w:after="0" w:line="240" w:lineRule="auto"/>
              <w:jc w:val="center"/>
              <w:rPr>
                <w:rFonts w:eastAsia="Times New Roman" w:cs="Aptos"/>
                <w:b/>
                <w:bCs/>
                <w:sz w:val="20"/>
                <w:lang w:eastAsia="es-ES"/>
              </w:rPr>
            </w:pPr>
            <w:r>
              <w:rPr>
                <w:rFonts w:eastAsia="Times New Roman" w:cs="Aptos"/>
                <w:szCs w:val="24"/>
                <w:lang w:eastAsia="es-ES"/>
              </w:rPr>
              <w:t>Costo amortizado</w:t>
            </w:r>
          </w:p>
        </w:tc>
        <w:tc>
          <w:tcPr>
            <w:tcW w:w="1701" w:type="dxa"/>
          </w:tcPr>
          <w:p w14:paraId="5298103B" w14:textId="77777777" w:rsidR="008748C1" w:rsidRDefault="00000000">
            <w:pPr>
              <w:spacing w:after="0" w:line="240" w:lineRule="auto"/>
              <w:jc w:val="center"/>
              <w:rPr>
                <w:rFonts w:eastAsia="Times New Roman" w:cs="Aptos"/>
                <w:b/>
                <w:bCs/>
                <w:sz w:val="20"/>
                <w:lang w:eastAsia="es-ES"/>
              </w:rPr>
            </w:pPr>
            <w:r>
              <w:rPr>
                <w:rFonts w:eastAsia="Times New Roman" w:cs="Aptos"/>
                <w:szCs w:val="24"/>
                <w:lang w:eastAsia="es-ES"/>
              </w:rPr>
              <w:t>Valor razonable con cambios en resultados</w:t>
            </w:r>
          </w:p>
        </w:tc>
        <w:tc>
          <w:tcPr>
            <w:tcW w:w="4819" w:type="dxa"/>
          </w:tcPr>
          <w:p w14:paraId="5298103C" w14:textId="77777777" w:rsidR="008748C1" w:rsidRDefault="00000000">
            <w:pPr>
              <w:spacing w:after="0" w:line="240" w:lineRule="auto"/>
              <w:rPr>
                <w:rFonts w:eastAsia="Times New Roman" w:cs="Aptos"/>
                <w:b/>
                <w:bCs/>
                <w:sz w:val="20"/>
                <w:lang w:eastAsia="es-ES"/>
              </w:rPr>
            </w:pPr>
            <w:r>
              <w:rPr>
                <w:rFonts w:eastAsia="Times New Roman" w:cs="Times New Roman"/>
                <w:szCs w:val="24"/>
                <w:lang w:eastAsia="es-ES"/>
              </w:rPr>
              <w:t>El valor razonable se mide en la fecha de reclasificación. Cualquier diferencia entre el costo amortizado anterior y el valor razonable en la reclasificación se reconoce en resultados.</w:t>
            </w:r>
          </w:p>
        </w:tc>
      </w:tr>
      <w:tr w:rsidR="008748C1" w14:paraId="52981041" w14:textId="77777777">
        <w:tc>
          <w:tcPr>
            <w:tcW w:w="1701" w:type="dxa"/>
          </w:tcPr>
          <w:p w14:paraId="5298103E" w14:textId="77777777" w:rsidR="008748C1" w:rsidRDefault="00000000">
            <w:pPr>
              <w:spacing w:after="0" w:line="240" w:lineRule="auto"/>
              <w:jc w:val="center"/>
              <w:rPr>
                <w:rFonts w:eastAsia="Times New Roman" w:cs="Aptos"/>
                <w:b/>
                <w:bCs/>
                <w:sz w:val="20"/>
                <w:lang w:eastAsia="es-ES"/>
              </w:rPr>
            </w:pPr>
            <w:r>
              <w:rPr>
                <w:rFonts w:eastAsia="Times New Roman" w:cs="Aptos"/>
                <w:szCs w:val="24"/>
                <w:lang w:eastAsia="es-ES"/>
              </w:rPr>
              <w:t>Costo amortizado</w:t>
            </w:r>
          </w:p>
        </w:tc>
        <w:tc>
          <w:tcPr>
            <w:tcW w:w="1701" w:type="dxa"/>
          </w:tcPr>
          <w:p w14:paraId="5298103F" w14:textId="77777777" w:rsidR="008748C1" w:rsidRDefault="00000000">
            <w:pPr>
              <w:spacing w:after="0" w:line="240" w:lineRule="auto"/>
              <w:jc w:val="center"/>
              <w:rPr>
                <w:rFonts w:eastAsia="Times New Roman" w:cs="Aptos"/>
                <w:b/>
                <w:bCs/>
                <w:sz w:val="20"/>
                <w:lang w:eastAsia="es-ES"/>
              </w:rPr>
            </w:pPr>
            <w:r>
              <w:rPr>
                <w:rFonts w:eastAsia="Times New Roman" w:cs="Aptos"/>
                <w:szCs w:val="24"/>
                <w:lang w:eastAsia="es-ES"/>
              </w:rPr>
              <w:t>Valor razonable con cambios en otro resultado integral</w:t>
            </w:r>
          </w:p>
        </w:tc>
        <w:tc>
          <w:tcPr>
            <w:tcW w:w="4819" w:type="dxa"/>
          </w:tcPr>
          <w:p w14:paraId="52981040" w14:textId="77777777" w:rsidR="008748C1" w:rsidRDefault="00000000">
            <w:pPr>
              <w:spacing w:after="0" w:line="240" w:lineRule="auto"/>
              <w:rPr>
                <w:rFonts w:eastAsia="Times New Roman" w:cs="Aptos"/>
                <w:b/>
                <w:bCs/>
                <w:sz w:val="20"/>
                <w:lang w:eastAsia="es-ES"/>
              </w:rPr>
            </w:pPr>
            <w:r>
              <w:rPr>
                <w:rFonts w:eastAsia="Times New Roman" w:cs="Aptos"/>
                <w:szCs w:val="24"/>
                <w:lang w:eastAsia="es-ES"/>
              </w:rPr>
              <w:t>El valor razonable se mide en la fecha de reclasificación. Cualquier diferencia entre el costo amortizado anterior y el valor razonable en la reclasificación se reconoce en otro resultado integral (ORI). La tasa de interés efectiva no se ajusta como resultado de la reclasificación.</w:t>
            </w:r>
          </w:p>
        </w:tc>
      </w:tr>
      <w:tr w:rsidR="008748C1" w14:paraId="52981045" w14:textId="77777777">
        <w:tc>
          <w:tcPr>
            <w:tcW w:w="1701" w:type="dxa"/>
          </w:tcPr>
          <w:p w14:paraId="52981042" w14:textId="77777777" w:rsidR="008748C1" w:rsidRDefault="00000000">
            <w:pPr>
              <w:spacing w:after="0" w:line="240" w:lineRule="auto"/>
              <w:jc w:val="center"/>
              <w:rPr>
                <w:rFonts w:eastAsia="Times New Roman" w:cs="Aptos"/>
                <w:szCs w:val="24"/>
                <w:lang w:eastAsia="es-ES"/>
              </w:rPr>
            </w:pPr>
            <w:r>
              <w:rPr>
                <w:rFonts w:eastAsia="Times New Roman" w:cs="Aptos"/>
                <w:szCs w:val="24"/>
                <w:lang w:eastAsia="es-ES"/>
              </w:rPr>
              <w:t>Valor razonable con cambios en resultados</w:t>
            </w:r>
          </w:p>
        </w:tc>
        <w:tc>
          <w:tcPr>
            <w:tcW w:w="1701" w:type="dxa"/>
          </w:tcPr>
          <w:p w14:paraId="52981043" w14:textId="77777777" w:rsidR="008748C1" w:rsidRDefault="00000000">
            <w:pPr>
              <w:spacing w:after="0" w:line="240" w:lineRule="auto"/>
              <w:jc w:val="center"/>
              <w:rPr>
                <w:rFonts w:eastAsia="Times New Roman" w:cs="Aptos"/>
                <w:szCs w:val="24"/>
                <w:lang w:eastAsia="es-ES"/>
              </w:rPr>
            </w:pPr>
            <w:r>
              <w:rPr>
                <w:rFonts w:eastAsia="Times New Roman" w:cs="Aptos"/>
                <w:szCs w:val="24"/>
                <w:lang w:eastAsia="es-ES"/>
              </w:rPr>
              <w:t>Costo amortizado</w:t>
            </w:r>
          </w:p>
        </w:tc>
        <w:tc>
          <w:tcPr>
            <w:tcW w:w="4819" w:type="dxa"/>
          </w:tcPr>
          <w:p w14:paraId="52981044" w14:textId="77777777" w:rsidR="008748C1" w:rsidRDefault="00000000">
            <w:pPr>
              <w:spacing w:after="0" w:line="240" w:lineRule="auto"/>
              <w:rPr>
                <w:rFonts w:eastAsia="Times New Roman" w:cs="Aptos"/>
                <w:szCs w:val="24"/>
                <w:lang w:eastAsia="es-ES"/>
              </w:rPr>
            </w:pPr>
            <w:r>
              <w:rPr>
                <w:rFonts w:eastAsia="Times New Roman" w:cs="Aptos"/>
                <w:szCs w:val="24"/>
                <w:lang w:eastAsia="es-ES"/>
              </w:rPr>
              <w:t>El valor razonable en la fecha de reclasificación se convierte en su nuevo valor en libros bruto. La tasa de interés efectiva se determina sobre la base del valor razonable en la fecha de reclasificación.</w:t>
            </w:r>
          </w:p>
        </w:tc>
      </w:tr>
      <w:tr w:rsidR="008748C1" w14:paraId="52981049" w14:textId="77777777">
        <w:tc>
          <w:tcPr>
            <w:tcW w:w="1701" w:type="dxa"/>
          </w:tcPr>
          <w:p w14:paraId="52981046" w14:textId="77777777" w:rsidR="008748C1" w:rsidRDefault="00000000">
            <w:pPr>
              <w:spacing w:after="0" w:line="240" w:lineRule="auto"/>
              <w:jc w:val="center"/>
              <w:rPr>
                <w:rFonts w:eastAsia="Times New Roman" w:cs="Aptos"/>
                <w:szCs w:val="24"/>
                <w:lang w:eastAsia="es-ES"/>
              </w:rPr>
            </w:pPr>
            <w:r>
              <w:rPr>
                <w:rFonts w:eastAsia="Times New Roman" w:cs="Aptos"/>
                <w:szCs w:val="24"/>
                <w:lang w:eastAsia="es-ES"/>
              </w:rPr>
              <w:t>Valor razonable con cambios en otro resultado integral</w:t>
            </w:r>
          </w:p>
        </w:tc>
        <w:tc>
          <w:tcPr>
            <w:tcW w:w="1701" w:type="dxa"/>
          </w:tcPr>
          <w:p w14:paraId="52981047" w14:textId="77777777" w:rsidR="008748C1" w:rsidRDefault="00000000">
            <w:pPr>
              <w:spacing w:after="0" w:line="240" w:lineRule="auto"/>
              <w:jc w:val="center"/>
              <w:rPr>
                <w:rFonts w:eastAsia="Times New Roman" w:cs="Aptos"/>
                <w:szCs w:val="24"/>
                <w:lang w:eastAsia="es-ES"/>
              </w:rPr>
            </w:pPr>
            <w:r>
              <w:rPr>
                <w:rFonts w:eastAsia="Times New Roman" w:cs="Aptos"/>
                <w:szCs w:val="24"/>
                <w:lang w:eastAsia="es-ES"/>
              </w:rPr>
              <w:t>Costo amortizado</w:t>
            </w:r>
          </w:p>
        </w:tc>
        <w:tc>
          <w:tcPr>
            <w:tcW w:w="4819" w:type="dxa"/>
          </w:tcPr>
          <w:p w14:paraId="52981048" w14:textId="77777777" w:rsidR="008748C1" w:rsidRDefault="00000000">
            <w:pPr>
              <w:spacing w:after="0" w:line="240" w:lineRule="auto"/>
              <w:rPr>
                <w:rFonts w:eastAsia="Times New Roman" w:cs="Aptos"/>
                <w:szCs w:val="24"/>
                <w:lang w:eastAsia="es-ES"/>
              </w:rPr>
            </w:pPr>
            <w:r>
              <w:rPr>
                <w:rFonts w:eastAsia="Times New Roman" w:cs="Aptos"/>
                <w:szCs w:val="24"/>
                <w:lang w:eastAsia="es-ES"/>
              </w:rPr>
              <w:t>El valor razonable en la fecha de reclasificación se convierte en su nuevo valor en libros de costo amortizado. La ganancia o pérdida acumulada en ORI se elimina del patrimonio y se ajusta contra el valor razonable del activo financiero en la fecha de reclasificación. La tasa de interés efectiva no se ajusta como resultado de la reclasificación.</w:t>
            </w:r>
          </w:p>
        </w:tc>
      </w:tr>
      <w:tr w:rsidR="008748C1" w14:paraId="5298104D" w14:textId="77777777">
        <w:tc>
          <w:tcPr>
            <w:tcW w:w="1701" w:type="dxa"/>
          </w:tcPr>
          <w:p w14:paraId="5298104A" w14:textId="77777777" w:rsidR="008748C1" w:rsidRDefault="00000000">
            <w:pPr>
              <w:spacing w:after="0" w:line="240" w:lineRule="auto"/>
              <w:jc w:val="center"/>
              <w:rPr>
                <w:rFonts w:eastAsia="Times New Roman" w:cs="Aptos"/>
                <w:szCs w:val="24"/>
                <w:lang w:eastAsia="es-ES"/>
              </w:rPr>
            </w:pPr>
            <w:r>
              <w:rPr>
                <w:rFonts w:eastAsia="Times New Roman" w:cs="Aptos"/>
                <w:szCs w:val="24"/>
                <w:lang w:eastAsia="es-ES"/>
              </w:rPr>
              <w:t>Valor razonable con cambios en resultados</w:t>
            </w:r>
          </w:p>
        </w:tc>
        <w:tc>
          <w:tcPr>
            <w:tcW w:w="1701" w:type="dxa"/>
          </w:tcPr>
          <w:p w14:paraId="5298104B" w14:textId="77777777" w:rsidR="008748C1" w:rsidRDefault="00000000">
            <w:pPr>
              <w:spacing w:after="0" w:line="240" w:lineRule="auto"/>
              <w:jc w:val="center"/>
              <w:rPr>
                <w:rFonts w:eastAsia="Times New Roman" w:cs="Aptos"/>
                <w:szCs w:val="24"/>
                <w:lang w:eastAsia="es-ES"/>
              </w:rPr>
            </w:pPr>
            <w:r>
              <w:rPr>
                <w:rFonts w:eastAsia="Times New Roman" w:cs="Aptos"/>
                <w:szCs w:val="24"/>
                <w:lang w:eastAsia="es-ES"/>
              </w:rPr>
              <w:t>Valor razonable con cambios en otro resultado integral</w:t>
            </w:r>
          </w:p>
        </w:tc>
        <w:tc>
          <w:tcPr>
            <w:tcW w:w="4819" w:type="dxa"/>
          </w:tcPr>
          <w:p w14:paraId="5298104C" w14:textId="77777777" w:rsidR="008748C1" w:rsidRDefault="00000000">
            <w:pPr>
              <w:spacing w:after="0" w:line="240" w:lineRule="auto"/>
              <w:rPr>
                <w:rFonts w:eastAsia="Times New Roman" w:cs="Aptos"/>
                <w:szCs w:val="24"/>
                <w:lang w:eastAsia="es-ES"/>
              </w:rPr>
            </w:pPr>
            <w:r>
              <w:rPr>
                <w:rFonts w:eastAsia="Times New Roman" w:cs="Aptos"/>
                <w:szCs w:val="24"/>
                <w:lang w:eastAsia="es-ES"/>
              </w:rPr>
              <w:t>El valor razonable en la fecha de reclasificación se convierte en su nuevo valor en libros. La tasa de interés efectiva se determina sobre la base del valor razonable a la fecha de reclasificación.</w:t>
            </w:r>
          </w:p>
        </w:tc>
      </w:tr>
      <w:tr w:rsidR="008748C1" w14:paraId="52981051" w14:textId="77777777">
        <w:tc>
          <w:tcPr>
            <w:tcW w:w="1701" w:type="dxa"/>
          </w:tcPr>
          <w:p w14:paraId="5298104E" w14:textId="77777777" w:rsidR="008748C1" w:rsidRDefault="00000000">
            <w:pPr>
              <w:spacing w:after="0" w:line="240" w:lineRule="auto"/>
              <w:jc w:val="center"/>
              <w:rPr>
                <w:rFonts w:eastAsia="Times New Roman" w:cs="Aptos"/>
                <w:szCs w:val="24"/>
                <w:lang w:eastAsia="es-ES"/>
              </w:rPr>
            </w:pPr>
            <w:r>
              <w:rPr>
                <w:rFonts w:eastAsia="Times New Roman" w:cs="Aptos"/>
                <w:szCs w:val="24"/>
                <w:lang w:eastAsia="es-ES"/>
              </w:rPr>
              <w:t>Valor razonable con cambios en otro resultado integral</w:t>
            </w:r>
          </w:p>
        </w:tc>
        <w:tc>
          <w:tcPr>
            <w:tcW w:w="1701" w:type="dxa"/>
          </w:tcPr>
          <w:p w14:paraId="5298104F" w14:textId="77777777" w:rsidR="008748C1" w:rsidRDefault="00000000">
            <w:pPr>
              <w:spacing w:after="0" w:line="240" w:lineRule="auto"/>
              <w:jc w:val="center"/>
              <w:rPr>
                <w:rFonts w:eastAsia="Times New Roman" w:cs="Aptos"/>
                <w:szCs w:val="24"/>
                <w:lang w:eastAsia="es-ES"/>
              </w:rPr>
            </w:pPr>
            <w:r>
              <w:rPr>
                <w:rFonts w:eastAsia="Times New Roman" w:cs="Aptos"/>
                <w:szCs w:val="24"/>
                <w:lang w:eastAsia="es-ES"/>
              </w:rPr>
              <w:t>Valor razonable con cambios en resultados</w:t>
            </w:r>
          </w:p>
        </w:tc>
        <w:tc>
          <w:tcPr>
            <w:tcW w:w="4819" w:type="dxa"/>
          </w:tcPr>
          <w:p w14:paraId="52981050" w14:textId="77777777" w:rsidR="008748C1" w:rsidRDefault="00000000">
            <w:pPr>
              <w:spacing w:after="0" w:line="240" w:lineRule="auto"/>
              <w:rPr>
                <w:rFonts w:eastAsia="Times New Roman" w:cs="Aptos"/>
                <w:szCs w:val="24"/>
                <w:lang w:eastAsia="es-ES"/>
              </w:rPr>
            </w:pPr>
            <w:r>
              <w:rPr>
                <w:rFonts w:eastAsia="Times New Roman" w:cs="Aptos"/>
                <w:szCs w:val="24"/>
                <w:lang w:eastAsia="es-ES"/>
              </w:rPr>
              <w:t>El valor razonable en la fecha de reclasificación se convierte en su nuevo valor en libros. La ganancia o pérdida acumulada en ORI se reclasifica a resultados en la fecha de reclasificación.</w:t>
            </w:r>
          </w:p>
        </w:tc>
      </w:tr>
    </w:tbl>
    <w:p w14:paraId="52981052" w14:textId="77777777" w:rsidR="008748C1" w:rsidRDefault="008748C1">
      <w:pPr>
        <w:spacing w:after="0" w:line="240" w:lineRule="auto"/>
        <w:jc w:val="both"/>
        <w:rPr>
          <w:rFonts w:eastAsia="Times New Roman" w:cs="Aptos"/>
          <w:szCs w:val="24"/>
          <w:lang w:eastAsia="es-ES"/>
        </w:rPr>
      </w:pPr>
    </w:p>
    <w:p w14:paraId="52981053"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r>
        <w:rPr>
          <w:rFonts w:eastAsia="Times New Roman" w:cs="Times New Roman"/>
          <w:b/>
          <w:bCs/>
          <w:szCs w:val="24"/>
          <w:lang w:eastAsia="es-ES"/>
        </w:rPr>
        <w:t>OTROS ACTIVOS FINANCIEROS</w:t>
      </w:r>
    </w:p>
    <w:p w14:paraId="52981054"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 xml:space="preserve">Las partidas que se encuentran en el alcance de esta sección son: las cuentas por cobrar por venta de bienes y prestación de servicios, las cuentas por cobrar por pagos efectuados por cuenta de terceros, las comisiones por cobrar y las cuentas por cobrar diversas, siempre que cumplan con la definición de activo financiero de la sección “Instrumentos Financieros”. </w:t>
      </w:r>
    </w:p>
    <w:p w14:paraId="52981055"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r>
        <w:rPr>
          <w:rFonts w:eastAsia="Times New Roman" w:cs="Arial"/>
          <w:b/>
          <w:bCs/>
          <w:szCs w:val="24"/>
          <w:lang w:eastAsia="es-ES"/>
        </w:rPr>
        <w:t>Medición de otros activos financieros</w:t>
      </w:r>
    </w:p>
    <w:p w14:paraId="52981056"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r>
        <w:rPr>
          <w:rFonts w:eastAsia="Times New Roman" w:cs="Arial"/>
          <w:b/>
          <w:szCs w:val="24"/>
          <w:lang w:eastAsia="es-ES"/>
        </w:rPr>
        <w:t>Reconocimiento inicial</w:t>
      </w:r>
    </w:p>
    <w:p w14:paraId="5298105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el momento de su reconocimiento inicial, estas partidas por cobrar se registrarán a su valor razonable, incluyendo los costos de transacción que sean directamente atribuibles a la adquisición de dichos activos. </w:t>
      </w:r>
    </w:p>
    <w:p w14:paraId="5298105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Para las cuentas por cobrar comerciales, como las comisiones por cobrar que no tengan un componente de financiación significativo, estas se medirán en el reconocimiento inicial por el importe del precio de la transacción. </w:t>
      </w:r>
    </w:p>
    <w:p w14:paraId="52981059"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r>
        <w:rPr>
          <w:rFonts w:eastAsia="Times New Roman" w:cs="Arial"/>
          <w:b/>
          <w:szCs w:val="24"/>
          <w:lang w:eastAsia="es-ES"/>
        </w:rPr>
        <w:lastRenderedPageBreak/>
        <w:t>Reconocimiento posterior</w:t>
      </w:r>
    </w:p>
    <w:p w14:paraId="5298105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Después de su reconocimiento inicial, estas partidas por cobrar serán llevadas al costo amortizado usando el método de la tasa de interés efectiva, menos cualquier corrección de valor por deterioro. </w:t>
      </w:r>
    </w:p>
    <w:p w14:paraId="5298105B" w14:textId="77777777" w:rsidR="008748C1" w:rsidRDefault="00000000">
      <w:pPr>
        <w:spacing w:before="60" w:after="60" w:line="240" w:lineRule="auto"/>
        <w:ind w:left="851"/>
        <w:jc w:val="both"/>
        <w:rPr>
          <w:rFonts w:eastAsia="Times New Roman" w:cs="Arial"/>
          <w:szCs w:val="24"/>
          <w:lang w:eastAsia="es-ES"/>
        </w:rPr>
      </w:pPr>
      <w:r>
        <w:rPr>
          <w:rFonts w:eastAsia="Times New Roman" w:cs="Times New Roman"/>
          <w:lang w:eastAsia="es-ES"/>
        </w:rPr>
        <w:t>Las cuentas por cobrar comerciales que no tengan un componente de financiación significativo (vencimiento inferior o igual a 1 año) y que en el reconocimiento inicial se hayan medido por el precio de la transacción,</w:t>
      </w:r>
      <w:r>
        <w:rPr>
          <w:rFonts w:eastAsia="Times New Roman" w:cs="Arial"/>
          <w:szCs w:val="24"/>
          <w:lang w:eastAsia="es-ES"/>
        </w:rPr>
        <w:t xml:space="preserve"> podrán continuar midiéndose por dicho importe menos cualquier corrección de valor por deterioro.</w:t>
      </w:r>
    </w:p>
    <w:p w14:paraId="5298105C"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r>
        <w:rPr>
          <w:rFonts w:eastAsia="Times New Roman" w:cs="Arial"/>
          <w:b/>
          <w:bCs/>
          <w:szCs w:val="24"/>
          <w:lang w:eastAsia="es-ES"/>
        </w:rPr>
        <w:t>Deterioro de valor</w:t>
      </w:r>
    </w:p>
    <w:p w14:paraId="5298105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 metodología para el cálculo de la estimación de las pérdidas crediticias esperadas bajo el Enfoque Simplificado de la NIIF 9 será aplicable a las cuentas por cobrar comerciales y los activos del contrato que: </w:t>
      </w:r>
    </w:p>
    <w:p w14:paraId="5298105E" w14:textId="77777777" w:rsidR="008748C1" w:rsidRDefault="00000000">
      <w:pPr>
        <w:numPr>
          <w:ilvl w:val="0"/>
          <w:numId w:val="68"/>
        </w:numPr>
        <w:spacing w:before="20" w:after="20" w:line="240" w:lineRule="auto"/>
        <w:jc w:val="both"/>
        <w:rPr>
          <w:rFonts w:eastAsia="Calibri" w:cs="Times New Roman"/>
          <w:szCs w:val="24"/>
          <w:lang w:eastAsia="es-ES"/>
        </w:rPr>
      </w:pPr>
      <w:r>
        <w:rPr>
          <w:rFonts w:eastAsia="Calibri" w:cs="Times New Roman"/>
          <w:szCs w:val="24"/>
          <w:lang w:eastAsia="es-ES"/>
        </w:rPr>
        <w:t>no contienen un componente de financiación significativo; o</w:t>
      </w:r>
    </w:p>
    <w:p w14:paraId="5298105F" w14:textId="77777777" w:rsidR="008748C1" w:rsidRDefault="00000000">
      <w:pPr>
        <w:numPr>
          <w:ilvl w:val="0"/>
          <w:numId w:val="68"/>
        </w:numPr>
        <w:spacing w:before="20" w:after="20" w:line="240" w:lineRule="auto"/>
        <w:jc w:val="both"/>
        <w:rPr>
          <w:rFonts w:eastAsia="Calibri" w:cs="Times New Roman"/>
          <w:szCs w:val="24"/>
          <w:lang w:eastAsia="es-ES"/>
        </w:rPr>
      </w:pPr>
      <w:r>
        <w:rPr>
          <w:rFonts w:eastAsia="Calibri" w:cs="Times New Roman"/>
          <w:szCs w:val="24"/>
          <w:lang w:eastAsia="es-ES"/>
        </w:rPr>
        <w:t xml:space="preserve">contienen un componente de financiación significativo, pero la empresa ha </w:t>
      </w:r>
      <w:proofErr w:type="gramStart"/>
      <w:r>
        <w:rPr>
          <w:rFonts w:eastAsia="Calibri" w:cs="Times New Roman"/>
          <w:szCs w:val="24"/>
          <w:lang w:eastAsia="es-ES"/>
        </w:rPr>
        <w:t>elegido como</w:t>
      </w:r>
      <w:proofErr w:type="gramEnd"/>
      <w:r>
        <w:rPr>
          <w:rFonts w:eastAsia="Calibri" w:cs="Times New Roman"/>
          <w:szCs w:val="24"/>
          <w:lang w:eastAsia="es-ES"/>
        </w:rPr>
        <w:t xml:space="preserve"> política medir la corrección de valor por pérdidas a un importe igual a las pérdidas crediticias esperadas durante el tiempo de vida del activo.</w:t>
      </w:r>
    </w:p>
    <w:p w14:paraId="5298106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Para el resto de las partidas por cobrar se deberá aplicar la metodología del Enfoque General para el cálculo de la estimación de las pérdidas crediticias esperadas.</w:t>
      </w:r>
    </w:p>
    <w:p w14:paraId="52981061" w14:textId="77777777" w:rsidR="008748C1" w:rsidRDefault="008748C1">
      <w:pPr>
        <w:spacing w:before="60" w:after="60" w:line="240" w:lineRule="auto"/>
        <w:ind w:left="851"/>
        <w:jc w:val="both"/>
        <w:rPr>
          <w:rFonts w:eastAsia="Times New Roman" w:cs="Times New Roman"/>
          <w:lang w:eastAsia="es-ES"/>
        </w:rPr>
      </w:pPr>
    </w:p>
    <w:p w14:paraId="52981062"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r>
        <w:rPr>
          <w:rFonts w:eastAsia="Times New Roman" w:cs="Arial"/>
          <w:b/>
          <w:szCs w:val="24"/>
          <w:lang w:eastAsia="es-ES"/>
        </w:rPr>
        <w:t>Metodología para el cálculo de la estimación de las pérdidas crediticias esperadas bajo el enfoque simplificado</w:t>
      </w:r>
    </w:p>
    <w:p w14:paraId="52981063" w14:textId="77777777" w:rsidR="008748C1" w:rsidRDefault="00000000">
      <w:pPr>
        <w:keepNext/>
        <w:spacing w:before="240" w:after="120" w:line="240" w:lineRule="auto"/>
        <w:ind w:left="851"/>
        <w:outlineLvl w:val="6"/>
        <w:rPr>
          <w:rFonts w:eastAsia="Times New Roman" w:cs="Arial"/>
          <w:b/>
          <w:bCs/>
          <w:szCs w:val="24"/>
          <w:u w:val="single"/>
          <w:lang w:eastAsia="es-ES"/>
        </w:rPr>
      </w:pPr>
      <w:r>
        <w:rPr>
          <w:rFonts w:eastAsia="Times New Roman" w:cs="Arial"/>
          <w:b/>
          <w:bCs/>
          <w:szCs w:val="24"/>
          <w:u w:val="single"/>
          <w:lang w:eastAsia="es-ES"/>
        </w:rPr>
        <w:t>Lineamientos generales</w:t>
      </w:r>
    </w:p>
    <w:p w14:paraId="52981064" w14:textId="77777777" w:rsidR="008748C1" w:rsidRDefault="00000000">
      <w:pPr>
        <w:numPr>
          <w:ilvl w:val="0"/>
          <w:numId w:val="69"/>
        </w:numPr>
        <w:spacing w:before="20" w:after="20" w:line="240" w:lineRule="auto"/>
        <w:jc w:val="both"/>
        <w:rPr>
          <w:rFonts w:eastAsia="Calibri" w:cs="Times New Roman"/>
          <w:szCs w:val="24"/>
          <w:lang w:eastAsia="es-ES"/>
        </w:rPr>
      </w:pPr>
      <w:r>
        <w:rPr>
          <w:rFonts w:eastAsia="Calibri" w:cs="Times New Roman"/>
          <w:szCs w:val="24"/>
          <w:lang w:eastAsia="es-ES"/>
        </w:rPr>
        <w:t>La empresa medirá siempre la corrección de valor por pérdidas a un importe igual a las pérdidas crediticias esperadas durante el tiempo de vida del activo.</w:t>
      </w:r>
    </w:p>
    <w:p w14:paraId="52981065" w14:textId="77777777" w:rsidR="008748C1" w:rsidRDefault="00000000">
      <w:pPr>
        <w:numPr>
          <w:ilvl w:val="0"/>
          <w:numId w:val="69"/>
        </w:numPr>
        <w:spacing w:before="20" w:after="20" w:line="240" w:lineRule="auto"/>
        <w:jc w:val="both"/>
        <w:rPr>
          <w:rFonts w:eastAsia="Calibri" w:cs="Times New Roman"/>
          <w:szCs w:val="24"/>
          <w:lang w:eastAsia="es-ES"/>
        </w:rPr>
      </w:pPr>
      <w:r>
        <w:rPr>
          <w:rFonts w:eastAsia="Calibri" w:cs="Times New Roman"/>
          <w:szCs w:val="24"/>
          <w:lang w:eastAsia="es-ES"/>
        </w:rPr>
        <w:t>La empresa medirá las pérdidas crediticias esperadas de forma que refleje:</w:t>
      </w:r>
    </w:p>
    <w:p w14:paraId="52981066" w14:textId="77777777" w:rsidR="008748C1" w:rsidRDefault="00000000">
      <w:pPr>
        <w:numPr>
          <w:ilvl w:val="0"/>
          <w:numId w:val="70"/>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Un importe de probabilidad ponderada no sesgado que se determina mediante la evaluación de un rango de resultados posibles.</w:t>
      </w:r>
    </w:p>
    <w:p w14:paraId="52981067" w14:textId="77777777" w:rsidR="008748C1" w:rsidRDefault="00000000">
      <w:pPr>
        <w:numPr>
          <w:ilvl w:val="0"/>
          <w:numId w:val="70"/>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El valor temporal del dinero.</w:t>
      </w:r>
    </w:p>
    <w:p w14:paraId="52981068" w14:textId="77777777" w:rsidR="008748C1" w:rsidRDefault="00000000">
      <w:pPr>
        <w:numPr>
          <w:ilvl w:val="0"/>
          <w:numId w:val="70"/>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La información razonable y sustentable que está disponible sin costo o esfuerzo desproporcionado en la fecha de presentación sobre sucesos pasados, condiciones actuales y pronósticos de condiciones económicas futuras.</w:t>
      </w:r>
    </w:p>
    <w:p w14:paraId="52981069" w14:textId="77777777" w:rsidR="008748C1" w:rsidRDefault="008748C1">
      <w:pPr>
        <w:spacing w:after="120" w:line="240" w:lineRule="auto"/>
        <w:ind w:left="1145"/>
        <w:jc w:val="both"/>
        <w:rPr>
          <w:rFonts w:eastAsia="Calibri" w:cs="Arial"/>
          <w:szCs w:val="24"/>
          <w:lang w:eastAsia="es-ES"/>
        </w:rPr>
      </w:pPr>
    </w:p>
    <w:p w14:paraId="5298106A" w14:textId="77777777" w:rsidR="008748C1" w:rsidRDefault="00000000">
      <w:pPr>
        <w:numPr>
          <w:ilvl w:val="0"/>
          <w:numId w:val="69"/>
        </w:numPr>
        <w:spacing w:before="20" w:after="20" w:line="240" w:lineRule="auto"/>
        <w:jc w:val="both"/>
        <w:rPr>
          <w:rFonts w:eastAsia="Calibri" w:cs="Times New Roman"/>
          <w:szCs w:val="24"/>
          <w:lang w:eastAsia="es-ES"/>
        </w:rPr>
      </w:pPr>
      <w:r>
        <w:rPr>
          <w:rFonts w:eastAsia="Calibri" w:cs="Times New Roman"/>
          <w:szCs w:val="24"/>
          <w:lang w:eastAsia="es-ES"/>
        </w:rPr>
        <w:t>La pérdida crediticia esperada debe ser estimada sobre una base histórica que considere condiciones económicas y crediticias vigentes, ajustada con información prospectiva. La evaluación de la estimación de la pérdida crediticia esperada podrá realizarse sobre una base colectiva o individual.</w:t>
      </w:r>
    </w:p>
    <w:p w14:paraId="5298106B" w14:textId="77777777" w:rsidR="008748C1" w:rsidRDefault="00000000">
      <w:pPr>
        <w:numPr>
          <w:ilvl w:val="0"/>
          <w:numId w:val="69"/>
        </w:numPr>
        <w:spacing w:before="20" w:after="20" w:line="240" w:lineRule="auto"/>
        <w:jc w:val="both"/>
        <w:rPr>
          <w:rFonts w:eastAsia="Calibri" w:cs="Times New Roman"/>
          <w:szCs w:val="24"/>
          <w:lang w:eastAsia="es-ES"/>
        </w:rPr>
      </w:pPr>
      <w:r>
        <w:rPr>
          <w:rFonts w:eastAsia="Calibri" w:cs="Times New Roman"/>
          <w:szCs w:val="24"/>
          <w:lang w:eastAsia="es-ES"/>
        </w:rPr>
        <w:t xml:space="preserve">La empresa podrá realizar agrupaciones sobre una base colectiva basándose en las características de riesgo crediticio compartidas o similares (grupo de riesgo homogéneo), la empresa no deberá realizar agrupaciones con características de riesgo diferentes. Asimismo, en función de la diversidad de su base de clientes, la empresa utilizará las agrupaciones apropiadas si su experiencia de pérdidas crediticias históricas muestra patrones de pérdidas diferentes significativas para distintos segmentos de clientes. Ejemplos de criterios que pueden utilizarse para agrupar activos incluyen: región geográfica, tipo de producto, tipo de servicio, calificación del </w:t>
      </w:r>
      <w:r>
        <w:rPr>
          <w:rFonts w:eastAsia="Calibri" w:cs="Times New Roman"/>
          <w:szCs w:val="24"/>
          <w:lang w:eastAsia="es-ES"/>
        </w:rPr>
        <w:lastRenderedPageBreak/>
        <w:t>cliente, garantía colateral o seguro de crédito comercial y tipo de cliente (tal como mayorista o minorista). Una vez definido los grupos se procederá a realizar el análisis para cada uno de estos.</w:t>
      </w:r>
    </w:p>
    <w:p w14:paraId="5298106C"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t xml:space="preserve">El análisis de los grupos de riesgo homogéneo será una actividad dinámica, siendo que estos no necesariamente se mantendrán fijos en el tiempo, podrá eventualmente darse situaciones en el que determinados grupos de clientes que formaban previamente parte de una agrupación terminen migrando a una agrupación distinta de mayor o menor riesgo. </w:t>
      </w:r>
    </w:p>
    <w:p w14:paraId="5298106D"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t>Si la empresa producto de nueva información tiene conocimiento de que un cliente ha incrementado su nivel de riesgo crediticio y ya no pertenece al grupo de riesgo homogéneo al cual se le asignó originalmente, debe de migrarlo a otro grupo con un riesgo superior similar. En caso no se pueda realizar dicha reasignación, la empresa deberá realizar una evaluación individual por dicho cliente para la determinación de la estimación de la pérdida crediticia esperada.</w:t>
      </w:r>
    </w:p>
    <w:p w14:paraId="5298106E" w14:textId="77777777" w:rsidR="008748C1" w:rsidRDefault="00000000">
      <w:pPr>
        <w:numPr>
          <w:ilvl w:val="0"/>
          <w:numId w:val="69"/>
        </w:numPr>
        <w:spacing w:before="20" w:after="20" w:line="240" w:lineRule="auto"/>
        <w:jc w:val="both"/>
        <w:rPr>
          <w:rFonts w:eastAsia="Calibri" w:cs="Times New Roman"/>
          <w:szCs w:val="24"/>
          <w:lang w:eastAsia="es-ES"/>
        </w:rPr>
      </w:pPr>
      <w:r>
        <w:rPr>
          <w:rFonts w:eastAsia="Calibri" w:cs="Times New Roman"/>
          <w:szCs w:val="24"/>
          <w:lang w:eastAsia="es-ES"/>
        </w:rPr>
        <w:t>Para realizar el ajuste prospectivo, la empresa deberá tener las siguientes consideraciones:</w:t>
      </w:r>
    </w:p>
    <w:p w14:paraId="5298106F" w14:textId="77777777" w:rsidR="008748C1" w:rsidRDefault="00000000">
      <w:pPr>
        <w:numPr>
          <w:ilvl w:val="0"/>
          <w:numId w:val="71"/>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Identificará las variables macroeconómicas que han tenido o pueden tener un impacto en sus tasas de incumplimiento históricas y que reflejen condiciones económicas y crediticias vigentes para la empresa en la fecha de medición. Las variables macroeconómicas contemplan indicadores externos del mercado y pueden ser: tipo de cambio, tasas de interés, inflación, producto bruto interno (PBI), u otra información que esté disponible para la empresa.</w:t>
      </w:r>
    </w:p>
    <w:p w14:paraId="52981070" w14:textId="77777777" w:rsidR="008748C1" w:rsidRDefault="00000000">
      <w:pPr>
        <w:numPr>
          <w:ilvl w:val="0"/>
          <w:numId w:val="71"/>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Analizará las correlaciones de las variables macroeconómicas con las tasas históricas de pérdida, dichas proyecciones deben ser no sesgadas y pueden incorporar un análisis de escenarios, por ejemplo: optimista, base y pesimista, y sobre esto, realizará el ajuste con información prospectiva correspondiente. La empresa puede emplear el modelo de regresión lineal para efectuar dicho ajuste prospectivo.</w:t>
      </w:r>
    </w:p>
    <w:p w14:paraId="52981071" w14:textId="77777777" w:rsidR="008748C1" w:rsidRDefault="00000000">
      <w:pPr>
        <w:numPr>
          <w:ilvl w:val="0"/>
          <w:numId w:val="69"/>
        </w:numPr>
        <w:spacing w:before="20" w:after="20" w:line="240" w:lineRule="auto"/>
        <w:jc w:val="both"/>
        <w:rPr>
          <w:rFonts w:eastAsia="Calibri" w:cs="Times New Roman"/>
          <w:szCs w:val="24"/>
          <w:lang w:eastAsia="es-ES"/>
        </w:rPr>
      </w:pPr>
      <w:r>
        <w:rPr>
          <w:rFonts w:eastAsia="Calibri" w:cs="Times New Roman"/>
          <w:szCs w:val="24"/>
          <w:lang w:eastAsia="es-ES"/>
        </w:rPr>
        <w:t>Otras consideraciones relacionadas a la implementación de la metodología:</w:t>
      </w:r>
    </w:p>
    <w:p w14:paraId="52981072" w14:textId="77777777" w:rsidR="008748C1" w:rsidRDefault="00000000">
      <w:pPr>
        <w:numPr>
          <w:ilvl w:val="0"/>
          <w:numId w:val="72"/>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Las empresas deben definir sus procesos internos para el desarrollo de la metodología de pérdidas crediticias esperadas e incorporar un flujograma por dicho procedimiento en los manuales y/o políticas internas. </w:t>
      </w:r>
    </w:p>
    <w:p w14:paraId="52981073" w14:textId="77777777" w:rsidR="008748C1" w:rsidRDefault="00000000">
      <w:pPr>
        <w:numPr>
          <w:ilvl w:val="0"/>
          <w:numId w:val="72"/>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Las empresas tienen la responsabilidad de asegurarse de que cada uno de los inputs para la estimación del modelo (información histórica de la pérdida, variables externas históricas, entre otros) estén actualizados, así como que la información esté completa para propósitos del análisis. </w:t>
      </w:r>
    </w:p>
    <w:p w14:paraId="52981074"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228" w:name="_Toc170226281"/>
      <w:r>
        <w:rPr>
          <w:rFonts w:eastAsia="Times New Roman" w:cs="Arial"/>
          <w:b/>
          <w:bCs/>
          <w:szCs w:val="24"/>
          <w:u w:val="single"/>
          <w:lang w:eastAsia="es-ES"/>
        </w:rPr>
        <w:t>Matriz de provisiones</w:t>
      </w:r>
      <w:bookmarkEnd w:id="228"/>
    </w:p>
    <w:p w14:paraId="5298107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Para el cálculo de las pérdidas crediticias esperadas la empresa podrá construir una matriz de provisiones, la cual deberá ser elaborada siguiendo los lineamientos generales antes indicados y, asimismo deberá considerar lo siguiente: </w:t>
      </w:r>
    </w:p>
    <w:p w14:paraId="52981076" w14:textId="77777777" w:rsidR="008748C1" w:rsidRDefault="00000000">
      <w:pPr>
        <w:numPr>
          <w:ilvl w:val="0"/>
          <w:numId w:val="73"/>
        </w:numPr>
        <w:spacing w:before="20" w:after="20" w:line="240" w:lineRule="auto"/>
        <w:jc w:val="both"/>
        <w:rPr>
          <w:rFonts w:eastAsia="Calibri" w:cs="Times New Roman"/>
          <w:szCs w:val="24"/>
          <w:lang w:eastAsia="es-ES"/>
        </w:rPr>
      </w:pPr>
      <w:r>
        <w:rPr>
          <w:rFonts w:eastAsia="Calibri" w:cs="Times New Roman"/>
          <w:szCs w:val="24"/>
          <w:lang w:eastAsia="es-ES"/>
        </w:rPr>
        <w:t xml:space="preserve">La empresa determinará </w:t>
      </w:r>
      <w:proofErr w:type="gramStart"/>
      <w:r>
        <w:rPr>
          <w:rFonts w:eastAsia="Calibri" w:cs="Times New Roman"/>
          <w:szCs w:val="24"/>
          <w:lang w:eastAsia="es-ES"/>
        </w:rPr>
        <w:t>los ratios</w:t>
      </w:r>
      <w:proofErr w:type="gramEnd"/>
      <w:r>
        <w:rPr>
          <w:rFonts w:eastAsia="Calibri" w:cs="Times New Roman"/>
          <w:szCs w:val="24"/>
          <w:lang w:eastAsia="es-ES"/>
        </w:rPr>
        <w:t xml:space="preserve"> de pérdida (tasas de incumplimiento) aplicables de acuerdo con los intervalos de </w:t>
      </w:r>
      <w:proofErr w:type="spellStart"/>
      <w:r>
        <w:rPr>
          <w:rFonts w:eastAsia="Calibri" w:cs="Times New Roman"/>
          <w:szCs w:val="24"/>
          <w:lang w:eastAsia="es-ES"/>
        </w:rPr>
        <w:t>anticuamiento</w:t>
      </w:r>
      <w:proofErr w:type="spellEnd"/>
      <w:r>
        <w:rPr>
          <w:rFonts w:eastAsia="Calibri" w:cs="Times New Roman"/>
          <w:szCs w:val="24"/>
          <w:lang w:eastAsia="es-ES"/>
        </w:rPr>
        <w:t xml:space="preserve"> definidos internamente. La matriz de provisiones puede, por ejemplo, especificar tasas de pérdida crediticia esperada dependiendo del número de días que una cuenta por cobrar está en mora (por ejemplo, 1% si no está en mora, 2% si lo está por menos de 30 días, 3% si lo está por más de 30 días, pero menos de 90 días, 20% si está en mora entre 90 y 180 días, etc.).</w:t>
      </w:r>
    </w:p>
    <w:p w14:paraId="52981077" w14:textId="77777777" w:rsidR="008748C1" w:rsidRDefault="00000000">
      <w:pPr>
        <w:numPr>
          <w:ilvl w:val="0"/>
          <w:numId w:val="73"/>
        </w:numPr>
        <w:spacing w:before="20" w:after="20" w:line="240" w:lineRule="auto"/>
        <w:jc w:val="both"/>
        <w:rPr>
          <w:rFonts w:eastAsia="Calibri" w:cs="Times New Roman"/>
          <w:szCs w:val="24"/>
          <w:lang w:eastAsia="es-ES"/>
        </w:rPr>
      </w:pPr>
      <w:r>
        <w:rPr>
          <w:rFonts w:eastAsia="Calibri" w:cs="Times New Roman"/>
          <w:szCs w:val="24"/>
          <w:lang w:eastAsia="es-ES"/>
        </w:rPr>
        <w:t xml:space="preserve">La empresa calculará la pérdida crediticia esperada sobre el saldo de las cuentas por cobrar con las tasas de pérdida ajustadas finales (considerando el ajuste prospectivo), para lo cual aplicará la tasa de pérdida crediticia esperada al saldo de la cuenta por cobrar al cierre del periodo según su nivel de </w:t>
      </w:r>
      <w:proofErr w:type="spellStart"/>
      <w:r>
        <w:rPr>
          <w:rFonts w:eastAsia="Calibri" w:cs="Times New Roman"/>
          <w:szCs w:val="24"/>
          <w:lang w:eastAsia="es-ES"/>
        </w:rPr>
        <w:t>anticuamiento</w:t>
      </w:r>
      <w:proofErr w:type="spellEnd"/>
      <w:r>
        <w:rPr>
          <w:rFonts w:eastAsia="Calibri" w:cs="Times New Roman"/>
          <w:szCs w:val="24"/>
          <w:lang w:eastAsia="es-ES"/>
        </w:rPr>
        <w:t>.</w:t>
      </w:r>
    </w:p>
    <w:p w14:paraId="52981078" w14:textId="77777777" w:rsidR="008748C1" w:rsidRDefault="00000000">
      <w:pPr>
        <w:numPr>
          <w:ilvl w:val="0"/>
          <w:numId w:val="73"/>
        </w:numPr>
        <w:spacing w:before="20" w:after="20" w:line="240" w:lineRule="auto"/>
        <w:jc w:val="both"/>
        <w:rPr>
          <w:rFonts w:eastAsia="Calibri" w:cs="Times New Roman"/>
          <w:szCs w:val="24"/>
          <w:lang w:eastAsia="es-ES"/>
        </w:rPr>
      </w:pPr>
      <w:r>
        <w:rPr>
          <w:rFonts w:eastAsia="Calibri" w:cs="Times New Roman"/>
          <w:szCs w:val="24"/>
          <w:lang w:eastAsia="es-ES"/>
        </w:rPr>
        <w:lastRenderedPageBreak/>
        <w:t xml:space="preserve">La empresa deberá actualizar </w:t>
      </w:r>
      <w:proofErr w:type="gramStart"/>
      <w:r>
        <w:rPr>
          <w:rFonts w:eastAsia="Calibri" w:cs="Times New Roman"/>
          <w:szCs w:val="24"/>
          <w:lang w:eastAsia="es-ES"/>
        </w:rPr>
        <w:t>los ratios</w:t>
      </w:r>
      <w:proofErr w:type="gramEnd"/>
      <w:r>
        <w:rPr>
          <w:rFonts w:eastAsia="Calibri" w:cs="Times New Roman"/>
          <w:szCs w:val="24"/>
          <w:lang w:eastAsia="es-ES"/>
        </w:rPr>
        <w:t xml:space="preserve"> de pérdida esperada (tasas de incumplimiento) de la matriz de provisiones como mínimo de forma anual. En el caso se presenten eventos o circunstancias significativos que puedan producir una variación en </w:t>
      </w:r>
      <w:proofErr w:type="gramStart"/>
      <w:r>
        <w:rPr>
          <w:rFonts w:eastAsia="Calibri" w:cs="Times New Roman"/>
          <w:szCs w:val="24"/>
          <w:lang w:eastAsia="es-ES"/>
        </w:rPr>
        <w:t>los ratios</w:t>
      </w:r>
      <w:proofErr w:type="gramEnd"/>
      <w:r>
        <w:rPr>
          <w:rFonts w:eastAsia="Calibri" w:cs="Times New Roman"/>
          <w:szCs w:val="24"/>
          <w:lang w:eastAsia="es-ES"/>
        </w:rPr>
        <w:t xml:space="preserve"> de pérdida esperada de la matriz, se deberá de realizar la actualización de </w:t>
      </w:r>
      <w:proofErr w:type="gramStart"/>
      <w:r>
        <w:rPr>
          <w:rFonts w:eastAsia="Calibri" w:cs="Times New Roman"/>
          <w:szCs w:val="24"/>
          <w:lang w:eastAsia="es-ES"/>
        </w:rPr>
        <w:t>estos ratios</w:t>
      </w:r>
      <w:proofErr w:type="gramEnd"/>
      <w:r>
        <w:rPr>
          <w:rFonts w:eastAsia="Calibri" w:cs="Times New Roman"/>
          <w:szCs w:val="24"/>
          <w:lang w:eastAsia="es-ES"/>
        </w:rPr>
        <w:t xml:space="preserve"> inmediatamente.</w:t>
      </w:r>
    </w:p>
    <w:p w14:paraId="52981079" w14:textId="77777777" w:rsidR="008748C1" w:rsidRDefault="00000000">
      <w:pPr>
        <w:numPr>
          <w:ilvl w:val="0"/>
          <w:numId w:val="73"/>
        </w:numPr>
        <w:spacing w:before="20" w:after="20" w:line="240" w:lineRule="auto"/>
        <w:jc w:val="both"/>
        <w:rPr>
          <w:rFonts w:eastAsia="Calibri" w:cs="Times New Roman"/>
          <w:szCs w:val="24"/>
          <w:lang w:eastAsia="es-ES"/>
        </w:rPr>
      </w:pPr>
      <w:r>
        <w:rPr>
          <w:rFonts w:eastAsia="Calibri" w:cs="Times New Roman"/>
          <w:szCs w:val="24"/>
          <w:lang w:eastAsia="es-ES"/>
        </w:rPr>
        <w:t xml:space="preserve">La empresa deberá actualizar el importe de la estimación de la pérdida crediticia esperada en los Estados Financieros de forma mensual. </w:t>
      </w:r>
    </w:p>
    <w:p w14:paraId="5298107A" w14:textId="77777777" w:rsidR="008748C1" w:rsidRDefault="008748C1">
      <w:pPr>
        <w:spacing w:before="60" w:after="60" w:line="240" w:lineRule="auto"/>
        <w:jc w:val="both"/>
        <w:rPr>
          <w:rFonts w:eastAsia="Times New Roman" w:cs="Times New Roman"/>
          <w:lang w:eastAsia="es-ES"/>
        </w:rPr>
      </w:pPr>
    </w:p>
    <w:p w14:paraId="5298107B"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229" w:name="_Toc170226204"/>
      <w:r>
        <w:rPr>
          <w:rFonts w:eastAsia="Times New Roman" w:cs="Times New Roman"/>
          <w:b/>
          <w:bCs/>
          <w:szCs w:val="24"/>
          <w:lang w:eastAsia="es-ES"/>
        </w:rPr>
        <w:t>PASIVOS FINANCIEROS</w:t>
      </w:r>
      <w:bookmarkEnd w:id="229"/>
    </w:p>
    <w:p w14:paraId="5298107C"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230" w:name="_Toc144131677"/>
      <w:bookmarkStart w:id="231" w:name="_Toc154064026"/>
      <w:bookmarkStart w:id="232" w:name="_Toc144131063"/>
      <w:bookmarkStart w:id="233" w:name="_Toc170226205"/>
      <w:bookmarkStart w:id="234" w:name="_Toc160009526"/>
      <w:bookmarkStart w:id="235" w:name="_Hlk161038328"/>
      <w:r>
        <w:rPr>
          <w:rFonts w:eastAsia="Times New Roman" w:cs="Arial"/>
          <w:b/>
          <w:bCs/>
          <w:szCs w:val="24"/>
          <w:lang w:eastAsia="es-ES"/>
        </w:rPr>
        <w:t>Clasificación de pasivos financieros</w:t>
      </w:r>
      <w:bookmarkEnd w:id="230"/>
      <w:bookmarkEnd w:id="231"/>
      <w:bookmarkEnd w:id="232"/>
      <w:bookmarkEnd w:id="233"/>
      <w:bookmarkEnd w:id="234"/>
    </w:p>
    <w:bookmarkEnd w:id="235"/>
    <w:p w14:paraId="5298107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Los pasivos financieros deberán ser clasificados en las siguientes categorías:</w:t>
      </w:r>
    </w:p>
    <w:p w14:paraId="5298107E" w14:textId="77777777" w:rsidR="008748C1" w:rsidRDefault="00000000">
      <w:pPr>
        <w:numPr>
          <w:ilvl w:val="0"/>
          <w:numId w:val="74"/>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Pasivos financieros al costo amortizado.</w:t>
      </w:r>
    </w:p>
    <w:p w14:paraId="5298107F" w14:textId="77777777" w:rsidR="008748C1" w:rsidRDefault="00000000">
      <w:pPr>
        <w:numPr>
          <w:ilvl w:val="0"/>
          <w:numId w:val="74"/>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Pasivos financieros mantenidos para negociar a valor razonable con cambios en resultados.</w:t>
      </w:r>
    </w:p>
    <w:p w14:paraId="52981080" w14:textId="77777777" w:rsidR="008748C1" w:rsidRDefault="00000000">
      <w:pPr>
        <w:numPr>
          <w:ilvl w:val="0"/>
          <w:numId w:val="74"/>
        </w:numPr>
        <w:spacing w:before="20" w:after="20" w:line="240" w:lineRule="auto"/>
        <w:ind w:left="1276" w:hanging="425"/>
        <w:jc w:val="both"/>
        <w:rPr>
          <w:rFonts w:eastAsia="Times New Roman" w:cs="Times New Roman"/>
          <w:szCs w:val="24"/>
          <w:lang w:eastAsia="es-ES"/>
        </w:rPr>
      </w:pPr>
      <w:r>
        <w:rPr>
          <w:rFonts w:eastAsia="Times New Roman" w:cs="Times New Roman"/>
          <w:szCs w:val="24"/>
          <w:lang w:eastAsia="es-ES"/>
        </w:rPr>
        <w:t xml:space="preserve"> Pasivos financieros designados a valor razonable con cambios en resultados.</w:t>
      </w:r>
    </w:p>
    <w:p w14:paraId="5298108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Independientemente de las cuentas contables utilizadas para el registro contable, las cuales se detallan en los Capítulos III y IV, las empresas deberán de clasificar los pasivos financieros en alguna de las categorías antes descritas para efectos de su medición, valorización u otros lineamientos según corresponda.</w:t>
      </w:r>
    </w:p>
    <w:p w14:paraId="52981082"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236" w:name="_Toc144131064"/>
      <w:bookmarkStart w:id="237" w:name="_Toc144131678"/>
      <w:bookmarkStart w:id="238" w:name="_Toc154064027"/>
      <w:bookmarkStart w:id="239" w:name="_Toc160009527"/>
      <w:bookmarkStart w:id="240" w:name="_Toc170226206"/>
      <w:r>
        <w:rPr>
          <w:rFonts w:eastAsia="Times New Roman" w:cs="Arial"/>
          <w:b/>
          <w:szCs w:val="24"/>
          <w:lang w:eastAsia="es-ES"/>
        </w:rPr>
        <w:t>Pasivos financieros al costo amortizado</w:t>
      </w:r>
      <w:bookmarkEnd w:id="236"/>
      <w:bookmarkEnd w:id="237"/>
      <w:bookmarkEnd w:id="238"/>
      <w:bookmarkEnd w:id="239"/>
      <w:bookmarkEnd w:id="240"/>
    </w:p>
    <w:p w14:paraId="5298108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clasificará todos los pasivos financieros como medidos posteriormente al costo amortizado, excepto en el caso de:</w:t>
      </w:r>
    </w:p>
    <w:p w14:paraId="52981084" w14:textId="77777777" w:rsidR="008748C1" w:rsidRDefault="00000000">
      <w:pPr>
        <w:numPr>
          <w:ilvl w:val="0"/>
          <w:numId w:val="75"/>
        </w:numPr>
        <w:spacing w:before="20" w:after="20" w:line="240" w:lineRule="auto"/>
        <w:jc w:val="both"/>
        <w:rPr>
          <w:rFonts w:eastAsia="Calibri" w:cs="Times New Roman"/>
          <w:szCs w:val="24"/>
          <w:lang w:eastAsia="es-ES"/>
        </w:rPr>
      </w:pPr>
      <w:r>
        <w:rPr>
          <w:rFonts w:eastAsia="Calibri" w:cs="Times New Roman"/>
          <w:szCs w:val="24"/>
          <w:lang w:eastAsia="es-ES"/>
        </w:rPr>
        <w:t>Pasivos financieros medidos al valor razonable con cambios en resultados, estos se medirán con posterioridad al valor razonable.</w:t>
      </w:r>
    </w:p>
    <w:p w14:paraId="52981085" w14:textId="77777777" w:rsidR="008748C1" w:rsidRDefault="00000000">
      <w:pPr>
        <w:numPr>
          <w:ilvl w:val="0"/>
          <w:numId w:val="75"/>
        </w:numPr>
        <w:spacing w:before="20" w:after="20" w:line="240" w:lineRule="auto"/>
        <w:jc w:val="both"/>
        <w:rPr>
          <w:rFonts w:eastAsia="Calibri" w:cs="Times New Roman"/>
          <w:szCs w:val="24"/>
          <w:lang w:eastAsia="es-ES"/>
        </w:rPr>
      </w:pPr>
      <w:r>
        <w:rPr>
          <w:rFonts w:eastAsia="Calibri" w:cs="Times New Roman"/>
          <w:szCs w:val="24"/>
          <w:lang w:eastAsia="es-ES"/>
        </w:rPr>
        <w:t>Los pasivos financieros que surjan por una transferencia de activos financieros que no cumplan con los requisitos para su baja en cuentas o que se contabilicen utilizando el enfoque de la implicación continuada.</w:t>
      </w:r>
    </w:p>
    <w:p w14:paraId="52981086" w14:textId="77777777" w:rsidR="008748C1" w:rsidRDefault="00000000">
      <w:pPr>
        <w:numPr>
          <w:ilvl w:val="0"/>
          <w:numId w:val="75"/>
        </w:numPr>
        <w:spacing w:before="20" w:after="20" w:line="240" w:lineRule="auto"/>
        <w:jc w:val="both"/>
        <w:rPr>
          <w:rFonts w:eastAsia="Calibri" w:cs="Times New Roman"/>
          <w:szCs w:val="24"/>
          <w:lang w:eastAsia="es-ES"/>
        </w:rPr>
      </w:pPr>
      <w:r>
        <w:rPr>
          <w:rFonts w:eastAsia="Calibri" w:cs="Times New Roman"/>
          <w:szCs w:val="24"/>
          <w:lang w:eastAsia="es-ES"/>
        </w:rPr>
        <w:t>Los contratos de garantía financiera emitidos, así como los compromisos de concesión de un préstamo, estos se medirán de acuerdo con las disposiciones emitidas por la Superintendencia y tomando en consideración las operaciones que la empresa está autorizada a realizar.</w:t>
      </w:r>
    </w:p>
    <w:p w14:paraId="52981087" w14:textId="77777777" w:rsidR="008748C1" w:rsidRDefault="00000000">
      <w:pPr>
        <w:numPr>
          <w:ilvl w:val="0"/>
          <w:numId w:val="75"/>
        </w:numPr>
        <w:spacing w:before="20" w:after="20" w:line="240" w:lineRule="auto"/>
        <w:jc w:val="both"/>
        <w:rPr>
          <w:rFonts w:eastAsia="Calibri" w:cs="Times New Roman"/>
          <w:szCs w:val="24"/>
          <w:lang w:eastAsia="es-ES"/>
        </w:rPr>
      </w:pPr>
      <w:r>
        <w:rPr>
          <w:rFonts w:eastAsia="Calibri" w:cs="Times New Roman"/>
          <w:szCs w:val="24"/>
          <w:lang w:eastAsia="es-ES"/>
        </w:rPr>
        <w:t>Contraprestación contingente reconocida por una adquirente en una combinación de negocios a la cual se aplica la NIIF 3. Esta contraprestación contingente se medirá posteriormente a valor razonable con cambios reconocidos en resultados.</w:t>
      </w:r>
    </w:p>
    <w:p w14:paraId="52981088"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241" w:name="_Toc160009528"/>
      <w:bookmarkStart w:id="242" w:name="_Toc144131065"/>
      <w:bookmarkStart w:id="243" w:name="_Toc170226207"/>
      <w:bookmarkStart w:id="244" w:name="_Toc144131679"/>
      <w:bookmarkStart w:id="245" w:name="_Toc154064028"/>
      <w:r>
        <w:rPr>
          <w:rFonts w:eastAsia="Times New Roman" w:cs="Arial"/>
          <w:b/>
          <w:szCs w:val="24"/>
          <w:lang w:eastAsia="es-ES"/>
        </w:rPr>
        <w:t>Pasivos financieros mantenidos para negociar al valor razonable con cambios en resultados</w:t>
      </w:r>
      <w:bookmarkEnd w:id="241"/>
      <w:bookmarkEnd w:id="242"/>
      <w:bookmarkEnd w:id="243"/>
      <w:bookmarkEnd w:id="244"/>
      <w:bookmarkEnd w:id="245"/>
    </w:p>
    <w:p w14:paraId="5298108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Se clasificarán como pasivos financieros mantenidos para negociar a valor razonable con cambios en resultados, aquellos que cumplan alguna de las siguientes características:</w:t>
      </w:r>
    </w:p>
    <w:p w14:paraId="5298108A" w14:textId="77777777" w:rsidR="008748C1" w:rsidRDefault="00000000">
      <w:pPr>
        <w:numPr>
          <w:ilvl w:val="0"/>
          <w:numId w:val="76"/>
        </w:numPr>
        <w:spacing w:before="20" w:after="20" w:line="240" w:lineRule="auto"/>
        <w:jc w:val="both"/>
        <w:rPr>
          <w:rFonts w:eastAsia="Calibri" w:cs="Times New Roman"/>
          <w:szCs w:val="24"/>
          <w:lang w:eastAsia="es-ES"/>
        </w:rPr>
      </w:pPr>
      <w:r>
        <w:rPr>
          <w:rFonts w:eastAsia="Calibri" w:cs="Times New Roman"/>
          <w:szCs w:val="24"/>
          <w:lang w:eastAsia="es-ES"/>
        </w:rPr>
        <w:t>Se incurre con la finalidad de volver a comprarlos en un futuro cercano.</w:t>
      </w:r>
    </w:p>
    <w:p w14:paraId="5298108B" w14:textId="77777777" w:rsidR="008748C1" w:rsidRDefault="00000000">
      <w:pPr>
        <w:numPr>
          <w:ilvl w:val="0"/>
          <w:numId w:val="76"/>
        </w:numPr>
        <w:spacing w:before="20" w:after="20" w:line="240" w:lineRule="auto"/>
        <w:jc w:val="both"/>
        <w:rPr>
          <w:rFonts w:eastAsia="Calibri" w:cs="Times New Roman"/>
          <w:szCs w:val="24"/>
          <w:lang w:eastAsia="es-ES"/>
        </w:rPr>
      </w:pPr>
      <w:r>
        <w:rPr>
          <w:rFonts w:eastAsia="Calibri" w:cs="Times New Roman"/>
          <w:szCs w:val="24"/>
          <w:lang w:eastAsia="es-ES"/>
        </w:rPr>
        <w:t>Son parte de una cartera de instrumentos financieros identificados, que se gestionan conjuntamente y para la cual existe evidencia de un patrón real reciente de obtención de beneficios a corto plazo.</w:t>
      </w:r>
    </w:p>
    <w:p w14:paraId="5298108C" w14:textId="77777777" w:rsidR="008748C1" w:rsidRDefault="00000000">
      <w:pPr>
        <w:numPr>
          <w:ilvl w:val="0"/>
          <w:numId w:val="76"/>
        </w:numPr>
        <w:spacing w:before="20" w:after="20" w:line="240" w:lineRule="auto"/>
        <w:jc w:val="both"/>
        <w:rPr>
          <w:rFonts w:eastAsia="Calibri" w:cs="Times New Roman"/>
          <w:szCs w:val="24"/>
          <w:lang w:eastAsia="es-ES"/>
        </w:rPr>
      </w:pPr>
      <w:r>
        <w:rPr>
          <w:rFonts w:eastAsia="Calibri" w:cs="Times New Roman"/>
          <w:szCs w:val="24"/>
          <w:lang w:eastAsia="es-ES"/>
        </w:rPr>
        <w:t>Son instrumentos derivados (excepto un derivado que sea un contrato de garantía financiera o haya sido designado como un instrumento de cobertura eficaz).</w:t>
      </w:r>
    </w:p>
    <w:p w14:paraId="5298108D" w14:textId="77777777" w:rsidR="008748C1" w:rsidRDefault="00000000">
      <w:pPr>
        <w:numPr>
          <w:ilvl w:val="0"/>
          <w:numId w:val="76"/>
        </w:numPr>
        <w:spacing w:before="20" w:after="20" w:line="240" w:lineRule="auto"/>
        <w:jc w:val="both"/>
        <w:rPr>
          <w:rFonts w:eastAsia="Calibri" w:cs="Times New Roman"/>
          <w:szCs w:val="24"/>
          <w:lang w:eastAsia="es-ES"/>
        </w:rPr>
      </w:pPr>
      <w:r>
        <w:rPr>
          <w:rFonts w:eastAsia="Calibri" w:cs="Times New Roman"/>
          <w:szCs w:val="24"/>
          <w:lang w:eastAsia="es-ES"/>
        </w:rPr>
        <w:lastRenderedPageBreak/>
        <w:t>Obligaciones que un vendedor en corto tiene de entregar activos financieros que le han sido prestados (es decir una empresa que vende activos financieros que había recibido en préstamo y que todavía no posee).</w:t>
      </w:r>
    </w:p>
    <w:p w14:paraId="5298108E"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hecho de que un pasivo financiero se utilice para financiar actividades de negociación no conlleva por sí mismo su inclusión en esta categoría.</w:t>
      </w:r>
    </w:p>
    <w:p w14:paraId="5298108F"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246" w:name="_Toc144131680"/>
      <w:bookmarkStart w:id="247" w:name="_Toc154064029"/>
      <w:bookmarkStart w:id="248" w:name="_Toc144131066"/>
      <w:bookmarkStart w:id="249" w:name="_Toc160009529"/>
      <w:bookmarkStart w:id="250" w:name="_Toc170226208"/>
      <w:r>
        <w:rPr>
          <w:rFonts w:eastAsia="Times New Roman" w:cs="Arial"/>
          <w:b/>
          <w:szCs w:val="24"/>
          <w:lang w:eastAsia="es-ES"/>
        </w:rPr>
        <w:t>Pasivos financieros designados a valor razonable con cambios en resultados (Opción de valor razonable)</w:t>
      </w:r>
      <w:bookmarkEnd w:id="246"/>
      <w:bookmarkEnd w:id="247"/>
      <w:bookmarkEnd w:id="248"/>
      <w:bookmarkEnd w:id="249"/>
      <w:bookmarkEnd w:id="250"/>
    </w:p>
    <w:p w14:paraId="5298109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Se clasificarán como pasivos financieros designados a valor razonable con cambios en resultados, los que cumplan alguna de las siguientes características:</w:t>
      </w:r>
    </w:p>
    <w:p w14:paraId="52981091" w14:textId="77777777" w:rsidR="008748C1" w:rsidRDefault="00000000">
      <w:pPr>
        <w:numPr>
          <w:ilvl w:val="0"/>
          <w:numId w:val="77"/>
        </w:numPr>
        <w:spacing w:before="20" w:after="20" w:line="240" w:lineRule="auto"/>
        <w:jc w:val="both"/>
        <w:rPr>
          <w:rFonts w:eastAsia="Calibri" w:cs="Times New Roman"/>
          <w:szCs w:val="24"/>
          <w:lang w:eastAsia="es-ES"/>
        </w:rPr>
      </w:pPr>
      <w:r>
        <w:rPr>
          <w:rFonts w:eastAsia="Calibri" w:cs="Times New Roman"/>
          <w:szCs w:val="24"/>
          <w:lang w:eastAsia="es-ES"/>
        </w:rPr>
        <w:t>Han sido designados de forma irrevocable en su reconocimiento inicial por la empresa, debido a que al hacerlo así da lugar a información más relevante, porque:</w:t>
      </w:r>
    </w:p>
    <w:p w14:paraId="52981092" w14:textId="77777777" w:rsidR="008748C1" w:rsidRDefault="00000000">
      <w:pPr>
        <w:numPr>
          <w:ilvl w:val="0"/>
          <w:numId w:val="78"/>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Se elimina o reduzca significativamente incongruencias en la medición o en el reconocimiento (a veces denominada “asimetría contable”) que de otra forma surgiría al utilizar diferentes criterios para medir activos o pasivos, o para reconocer las ganancias y pérdidas de estos sobre bases diferentes.</w:t>
      </w:r>
    </w:p>
    <w:p w14:paraId="52981093" w14:textId="77777777" w:rsidR="008748C1" w:rsidRDefault="00000000">
      <w:pPr>
        <w:numPr>
          <w:ilvl w:val="0"/>
          <w:numId w:val="78"/>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Se gestiona y evalúa su rendimiento según el criterio del valor razonable, de acuerdo con una estrategia de inversión o de gestión de riesgos documentada, y se proporciona internamente información sobre ese grupo, sobre la base del personal clave de la gerencia de la empresa.</w:t>
      </w:r>
    </w:p>
    <w:p w14:paraId="52981094" w14:textId="77777777" w:rsidR="008748C1" w:rsidRDefault="00000000">
      <w:pPr>
        <w:numPr>
          <w:ilvl w:val="0"/>
          <w:numId w:val="77"/>
        </w:numPr>
        <w:spacing w:before="20" w:after="20" w:line="240" w:lineRule="auto"/>
        <w:jc w:val="both"/>
        <w:rPr>
          <w:rFonts w:eastAsia="Calibri" w:cs="Times New Roman"/>
          <w:szCs w:val="24"/>
          <w:lang w:eastAsia="es-ES"/>
        </w:rPr>
      </w:pPr>
      <w:r>
        <w:rPr>
          <w:rFonts w:eastAsia="Calibri" w:cs="Times New Roman"/>
          <w:szCs w:val="24"/>
          <w:lang w:eastAsia="es-ES"/>
        </w:rPr>
        <w:t>Han sido designados de forma irrevocable en su reconocimiento inicial, si un contrato contiene uno o más derivados implícitos y el anfitrión no es un activo dentro del alcance de la NIIF 9, una empresa puede designar el contrato híbrido en su totalidad como a valor razonable con cambios en resultados, salvo las condiciones contempladas en el párrafo 4.3.5 de la NIIF 9.</w:t>
      </w:r>
    </w:p>
    <w:p w14:paraId="52981095"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251" w:name="_Toc170226209"/>
      <w:bookmarkStart w:id="252" w:name="_Toc160009530"/>
      <w:bookmarkStart w:id="253" w:name="_Toc154064030"/>
      <w:r>
        <w:rPr>
          <w:rFonts w:eastAsia="Times New Roman" w:cs="Arial"/>
          <w:b/>
          <w:bCs/>
          <w:szCs w:val="24"/>
          <w:lang w:eastAsia="es-ES"/>
        </w:rPr>
        <w:t>Medición de pasivos financieros</w:t>
      </w:r>
      <w:bookmarkEnd w:id="251"/>
      <w:bookmarkEnd w:id="252"/>
      <w:bookmarkEnd w:id="253"/>
    </w:p>
    <w:p w14:paraId="52981096"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254" w:name="_Toc170226210"/>
      <w:bookmarkStart w:id="255" w:name="_Toc154064031"/>
      <w:bookmarkStart w:id="256" w:name="_Toc160009531"/>
      <w:bookmarkStart w:id="257" w:name="_Toc144131068"/>
      <w:bookmarkStart w:id="258" w:name="_Toc144131682"/>
      <w:r>
        <w:rPr>
          <w:rFonts w:eastAsia="Times New Roman" w:cs="Arial"/>
          <w:b/>
          <w:szCs w:val="24"/>
          <w:lang w:eastAsia="es-ES"/>
        </w:rPr>
        <w:t>Reconocimiento inicial</w:t>
      </w:r>
      <w:bookmarkEnd w:id="254"/>
      <w:bookmarkEnd w:id="255"/>
      <w:bookmarkEnd w:id="256"/>
      <w:bookmarkEnd w:id="257"/>
      <w:bookmarkEnd w:id="258"/>
    </w:p>
    <w:p w14:paraId="52981097"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Las transacciones de los pasivos financieros clasificados en cualquiera de las categorías antes descritas deben registrarse contablemente en la fecha de contratación.</w:t>
      </w:r>
    </w:p>
    <w:p w14:paraId="52981098"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En el reconocimiento inicial, los pasivos financieros se registrarán por su valor razonable, que corresponderá al precio de transacción. Si la empresa determina que el valor razonable en el momento del reconocimiento inicial difiere del precio de la transacción, realizará la contabilización del instrumento de la siguiente forma:</w:t>
      </w:r>
    </w:p>
    <w:p w14:paraId="52981099" w14:textId="77777777" w:rsidR="008748C1" w:rsidRDefault="00000000">
      <w:pPr>
        <w:numPr>
          <w:ilvl w:val="0"/>
          <w:numId w:val="79"/>
        </w:numPr>
        <w:spacing w:before="20" w:after="20" w:line="240" w:lineRule="auto"/>
        <w:jc w:val="both"/>
        <w:rPr>
          <w:rFonts w:eastAsia="Calibri" w:cs="Times New Roman"/>
          <w:szCs w:val="24"/>
          <w:lang w:eastAsia="es-ES"/>
        </w:rPr>
      </w:pPr>
      <w:r>
        <w:rPr>
          <w:rFonts w:eastAsia="Calibri" w:cs="Times New Roman"/>
          <w:szCs w:val="24"/>
          <w:lang w:eastAsia="es-ES"/>
        </w:rPr>
        <w:t>Si ese valor razonable se manifiesta por un precio cotizado en un mercado activo para un pasivo idéntico (dato de entrada de Nivel 1) o se basa en una técnica de valoración que utiliza solo datos de mercados observables, la empresa reconocerá la diferencia entre el valor razonable en el momento del reconocimiento inicial y el precio de transacción como una ganancia o pérdida.</w:t>
      </w:r>
    </w:p>
    <w:p w14:paraId="5298109A" w14:textId="77777777" w:rsidR="008748C1" w:rsidRDefault="00000000">
      <w:pPr>
        <w:numPr>
          <w:ilvl w:val="0"/>
          <w:numId w:val="79"/>
        </w:numPr>
        <w:spacing w:before="20" w:after="20" w:line="240" w:lineRule="auto"/>
        <w:jc w:val="both"/>
        <w:rPr>
          <w:rFonts w:eastAsia="Calibri" w:cs="Times New Roman"/>
          <w:szCs w:val="24"/>
          <w:lang w:eastAsia="es-ES"/>
        </w:rPr>
      </w:pPr>
      <w:r>
        <w:rPr>
          <w:rFonts w:eastAsia="Calibri" w:cs="Times New Roman"/>
          <w:szCs w:val="24"/>
          <w:lang w:eastAsia="es-ES"/>
        </w:rPr>
        <w:t>En los demás casos, la empresa debe contabilizar el instrumento por su valor razonable, la diferencia entre el valor razonable en el momento del reconocimiento inicial y el precio de transacción se diferirá. Posteriormente, la empresa reconocerá esa diferencia diferida como una ganancia o pérdida en resultados del ejercicio durante el periodo de la operación, sólo en la medida en que surja de un cambio en un factor (incluyendo el tiempo) que los participantes de mercado tendrían en cuenta al determinar el precio del pasivo.</w:t>
      </w:r>
    </w:p>
    <w:p w14:paraId="5298109B"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259" w:name="_Toc154064032"/>
      <w:bookmarkStart w:id="260" w:name="_Toc144131683"/>
      <w:bookmarkStart w:id="261" w:name="_Toc170226211"/>
      <w:bookmarkStart w:id="262" w:name="_Toc160009532"/>
      <w:r>
        <w:rPr>
          <w:rFonts w:eastAsia="Times New Roman" w:cs="Arial"/>
          <w:b/>
          <w:bCs/>
          <w:szCs w:val="24"/>
          <w:u w:val="single"/>
          <w:lang w:eastAsia="es-ES"/>
        </w:rPr>
        <w:lastRenderedPageBreak/>
        <w:t>Pasivos financieros al costo amortizado</w:t>
      </w:r>
      <w:bookmarkEnd w:id="259"/>
      <w:bookmarkEnd w:id="260"/>
      <w:bookmarkEnd w:id="261"/>
      <w:bookmarkEnd w:id="262"/>
    </w:p>
    <w:p w14:paraId="5298109C"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El registro contable inicial de los pasivos financieros al costo amortizado se efectuará al valor razonable menos los costos de transacción que sean directamente atribuibles a la adquisición de estos.</w:t>
      </w:r>
    </w:p>
    <w:p w14:paraId="5298109D"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263" w:name="_Toc144131684"/>
      <w:bookmarkStart w:id="264" w:name="_Toc170226212"/>
      <w:bookmarkStart w:id="265" w:name="_Toc154064033"/>
      <w:bookmarkStart w:id="266" w:name="_Toc160009533"/>
      <w:r>
        <w:rPr>
          <w:rFonts w:eastAsia="Times New Roman" w:cs="Arial"/>
          <w:b/>
          <w:bCs/>
          <w:szCs w:val="24"/>
          <w:u w:val="single"/>
          <w:lang w:eastAsia="es-ES"/>
        </w:rPr>
        <w:t>Pasivos financieros mantenidos para negociar a valor razonable con cambios en resultados y Pasivos financieros designados a valor razonable con cambios en resultados</w:t>
      </w:r>
      <w:bookmarkEnd w:id="263"/>
      <w:bookmarkEnd w:id="264"/>
      <w:bookmarkEnd w:id="265"/>
      <w:bookmarkEnd w:id="266"/>
    </w:p>
    <w:p w14:paraId="5298109E"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El registro contable inicial de los pasivos financieros medidos a valor razonable con cambios en resultados se efectuará al valor razonable sin considerar los costos de transacción, registrándose dichos costos en resultados del ejercicio.</w:t>
      </w:r>
    </w:p>
    <w:p w14:paraId="5298109F"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267" w:name="_Toc144131069"/>
      <w:bookmarkStart w:id="268" w:name="_Toc144131685"/>
      <w:bookmarkStart w:id="269" w:name="_Toc154064034"/>
      <w:bookmarkStart w:id="270" w:name="_Toc160009534"/>
      <w:bookmarkStart w:id="271" w:name="_Toc170226213"/>
      <w:r>
        <w:rPr>
          <w:rFonts w:eastAsia="Times New Roman" w:cs="Arial"/>
          <w:b/>
          <w:szCs w:val="24"/>
          <w:lang w:eastAsia="es-ES"/>
        </w:rPr>
        <w:t>Reconocimiento posterior</w:t>
      </w:r>
      <w:bookmarkEnd w:id="267"/>
      <w:bookmarkEnd w:id="268"/>
      <w:bookmarkEnd w:id="269"/>
      <w:bookmarkEnd w:id="270"/>
      <w:bookmarkEnd w:id="271"/>
    </w:p>
    <w:p w14:paraId="529810A0"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Después del reconocimiento inicial, la empresa deberá contabilizar sus pasivos financieros tomando en cuenta la categoría en la cual se encuentren clasificados, al costo amortizado o a valor razonable con cambios en resultados.</w:t>
      </w:r>
    </w:p>
    <w:p w14:paraId="529810A1"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Para efectos de determinar el valor razonable, se deberán seguir los lineamientos establecidos en el acápite Valor razonable – Activos y pasivos financieros de la presente sección.</w:t>
      </w:r>
    </w:p>
    <w:p w14:paraId="529810A2"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272" w:name="_Toc154064035"/>
      <w:bookmarkStart w:id="273" w:name="_Toc170226214"/>
      <w:bookmarkStart w:id="274" w:name="_Toc160009535"/>
      <w:bookmarkStart w:id="275" w:name="_Toc144131686"/>
      <w:r>
        <w:rPr>
          <w:rFonts w:eastAsia="Times New Roman" w:cs="Arial"/>
          <w:b/>
          <w:bCs/>
          <w:szCs w:val="24"/>
          <w:u w:val="single"/>
          <w:lang w:eastAsia="es-ES"/>
        </w:rPr>
        <w:t>Pasivos financieros al costo amortizado</w:t>
      </w:r>
      <w:bookmarkEnd w:id="272"/>
      <w:bookmarkEnd w:id="273"/>
      <w:bookmarkEnd w:id="274"/>
      <w:bookmarkEnd w:id="275"/>
    </w:p>
    <w:p w14:paraId="529810A3" w14:textId="77777777" w:rsidR="008748C1" w:rsidRDefault="00000000">
      <w:pPr>
        <w:numPr>
          <w:ilvl w:val="0"/>
          <w:numId w:val="80"/>
        </w:numPr>
        <w:spacing w:before="60" w:after="60" w:line="240" w:lineRule="auto"/>
        <w:jc w:val="both"/>
        <w:rPr>
          <w:rFonts w:eastAsia="Calibri" w:cs="Times New Roman"/>
          <w:b/>
          <w:bCs/>
          <w:szCs w:val="24"/>
          <w:lang w:eastAsia="es-ES"/>
        </w:rPr>
      </w:pPr>
      <w:r>
        <w:rPr>
          <w:rFonts w:eastAsia="Calibri" w:cs="Times New Roman"/>
          <w:b/>
          <w:bCs/>
          <w:szCs w:val="24"/>
          <w:lang w:eastAsia="es-ES"/>
        </w:rPr>
        <w:t xml:space="preserve">Valorización al costo amortizado </w:t>
      </w:r>
    </w:p>
    <w:p w14:paraId="529810A4"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La empresa valuará sus pasivos financieros al costo amortizado utilizando el método de la tasa de interés efectiva. </w:t>
      </w:r>
    </w:p>
    <w:p w14:paraId="529810A5" w14:textId="77777777" w:rsidR="008748C1" w:rsidRDefault="00000000">
      <w:pPr>
        <w:numPr>
          <w:ilvl w:val="0"/>
          <w:numId w:val="80"/>
        </w:numPr>
        <w:spacing w:before="60" w:after="60" w:line="240" w:lineRule="auto"/>
        <w:jc w:val="both"/>
        <w:rPr>
          <w:rFonts w:eastAsia="Calibri" w:cs="Times New Roman"/>
          <w:b/>
          <w:bCs/>
          <w:szCs w:val="24"/>
          <w:lang w:eastAsia="es-ES"/>
        </w:rPr>
      </w:pPr>
      <w:r>
        <w:rPr>
          <w:rFonts w:eastAsia="Calibri" w:cs="Times New Roman"/>
          <w:b/>
          <w:bCs/>
          <w:szCs w:val="24"/>
          <w:lang w:eastAsia="es-ES"/>
        </w:rPr>
        <w:t xml:space="preserve">Ganancias y pérdidas </w:t>
      </w:r>
    </w:p>
    <w:p w14:paraId="529810A6"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Los gastos por intereses calculados utilizando la metodología de la tasa de interés efectiva se reconocerán en el resultado del periodo.</w:t>
      </w:r>
    </w:p>
    <w:p w14:paraId="529810A7"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El resultado del periodo no será afectado por reconocimientos de ganancias ni de pérdidas por el aumento o disminución en el valor razonable de los pasivos financieros clasificados dentro de esta categoría. </w:t>
      </w:r>
    </w:p>
    <w:p w14:paraId="529810A8"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Sin perjuicio de lo dispuesto en el párrafo anterior, cuando los pasivos financieros sean dados de baja en cuentas, las ganancias o pérdidas correspondientes se reconocerán en el resultado del periodo. </w:t>
      </w:r>
    </w:p>
    <w:p w14:paraId="529810A9" w14:textId="77777777" w:rsidR="008748C1" w:rsidRDefault="00000000">
      <w:pPr>
        <w:numPr>
          <w:ilvl w:val="0"/>
          <w:numId w:val="80"/>
        </w:numPr>
        <w:spacing w:before="60" w:after="60" w:line="240" w:lineRule="auto"/>
        <w:jc w:val="both"/>
        <w:rPr>
          <w:rFonts w:eastAsia="Calibri" w:cs="Times New Roman"/>
          <w:b/>
          <w:bCs/>
          <w:szCs w:val="24"/>
          <w:lang w:eastAsia="es-ES"/>
        </w:rPr>
      </w:pPr>
      <w:r>
        <w:rPr>
          <w:rFonts w:eastAsia="Calibri" w:cs="Times New Roman"/>
          <w:b/>
          <w:bCs/>
          <w:szCs w:val="24"/>
          <w:lang w:eastAsia="es-ES"/>
        </w:rPr>
        <w:t>Diferencia en cambio</w:t>
      </w:r>
    </w:p>
    <w:p w14:paraId="529810AA"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se reconocerán en el resultado del periodo, siempre que no se trate de operaciones de cobertura.</w:t>
      </w:r>
    </w:p>
    <w:p w14:paraId="529810AB"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276" w:name="_Toc160009536"/>
      <w:bookmarkStart w:id="277" w:name="_Toc170226215"/>
      <w:bookmarkStart w:id="278" w:name="_Toc154064036"/>
      <w:bookmarkStart w:id="279" w:name="_Toc144131687"/>
      <w:r>
        <w:rPr>
          <w:rFonts w:eastAsia="Times New Roman" w:cs="Arial"/>
          <w:b/>
          <w:bCs/>
          <w:szCs w:val="24"/>
          <w:u w:val="single"/>
          <w:lang w:eastAsia="es-ES"/>
        </w:rPr>
        <w:t>Pasivos financieros mantenidos para negociar a valor razonable con cambios en resultados</w:t>
      </w:r>
      <w:bookmarkEnd w:id="276"/>
      <w:bookmarkEnd w:id="277"/>
      <w:bookmarkEnd w:id="278"/>
      <w:bookmarkEnd w:id="279"/>
    </w:p>
    <w:p w14:paraId="529810AC" w14:textId="77777777" w:rsidR="008748C1" w:rsidRDefault="00000000">
      <w:pPr>
        <w:numPr>
          <w:ilvl w:val="0"/>
          <w:numId w:val="81"/>
        </w:numPr>
        <w:spacing w:before="60" w:after="60" w:line="240" w:lineRule="auto"/>
        <w:jc w:val="both"/>
        <w:rPr>
          <w:rFonts w:eastAsia="Calibri" w:cs="Times New Roman"/>
          <w:b/>
          <w:bCs/>
          <w:szCs w:val="24"/>
          <w:lang w:eastAsia="es-ES"/>
        </w:rPr>
      </w:pPr>
      <w:r>
        <w:rPr>
          <w:rFonts w:eastAsia="Calibri" w:cs="Times New Roman"/>
          <w:b/>
          <w:bCs/>
          <w:szCs w:val="24"/>
          <w:lang w:eastAsia="es-ES"/>
        </w:rPr>
        <w:t>Valorización a valor razonable</w:t>
      </w:r>
    </w:p>
    <w:p w14:paraId="529810AD"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valuación de los pasivos financieros clasificados en esta categoría se efectuará a valor razonable.</w:t>
      </w:r>
    </w:p>
    <w:p w14:paraId="529810AE" w14:textId="77777777" w:rsidR="008748C1" w:rsidRDefault="00000000">
      <w:pPr>
        <w:numPr>
          <w:ilvl w:val="0"/>
          <w:numId w:val="81"/>
        </w:numPr>
        <w:spacing w:before="60" w:after="60" w:line="240" w:lineRule="auto"/>
        <w:jc w:val="both"/>
        <w:rPr>
          <w:rFonts w:eastAsia="Calibri" w:cs="Times New Roman"/>
          <w:b/>
          <w:bCs/>
          <w:szCs w:val="24"/>
          <w:lang w:eastAsia="es-ES"/>
        </w:rPr>
      </w:pPr>
      <w:r>
        <w:rPr>
          <w:rFonts w:eastAsia="Calibri" w:cs="Times New Roman"/>
          <w:b/>
          <w:bCs/>
          <w:szCs w:val="24"/>
          <w:lang w:eastAsia="es-ES"/>
        </w:rPr>
        <w:t>Ganancias o pérdidas por valor razonable</w:t>
      </w:r>
    </w:p>
    <w:p w14:paraId="529810AF"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Cuando el valor razonable exceda al valor contable, se reconocerá una pérdida por fluctuación de valor. Cuando el valor razonable sea inferior al valor contable, se reconocerá una ganancia por fluctuación de valor. En ambos casos, dicha fluctuación afectará a los resultados del ejercicio.</w:t>
      </w:r>
    </w:p>
    <w:p w14:paraId="529810B0" w14:textId="77777777" w:rsidR="008748C1" w:rsidRDefault="00000000">
      <w:pPr>
        <w:numPr>
          <w:ilvl w:val="0"/>
          <w:numId w:val="81"/>
        </w:numPr>
        <w:spacing w:before="60" w:after="60" w:line="240" w:lineRule="auto"/>
        <w:jc w:val="both"/>
        <w:rPr>
          <w:rFonts w:eastAsia="Calibri" w:cs="Times New Roman"/>
          <w:b/>
          <w:bCs/>
          <w:szCs w:val="24"/>
          <w:lang w:eastAsia="es-ES"/>
        </w:rPr>
      </w:pPr>
      <w:r>
        <w:rPr>
          <w:rFonts w:eastAsia="Calibri" w:cs="Times New Roman"/>
          <w:b/>
          <w:bCs/>
          <w:szCs w:val="24"/>
          <w:lang w:eastAsia="es-ES"/>
        </w:rPr>
        <w:t>Intereses</w:t>
      </w:r>
    </w:p>
    <w:p w14:paraId="529810B1"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lastRenderedPageBreak/>
        <w:t xml:space="preserve">Los gastos por intereses se calculan aplicando la tasa de interés contractual sobre el valor nominal o descontando los reembolsos del principal en caso se hubiera producido. Estos intereses forman parte de la fluctuación del valor razonable de dicho instrumento. </w:t>
      </w:r>
    </w:p>
    <w:p w14:paraId="529810B2" w14:textId="77777777" w:rsidR="008748C1" w:rsidRDefault="00000000">
      <w:pPr>
        <w:numPr>
          <w:ilvl w:val="0"/>
          <w:numId w:val="81"/>
        </w:numPr>
        <w:spacing w:before="60" w:after="60" w:line="240" w:lineRule="auto"/>
        <w:jc w:val="both"/>
        <w:rPr>
          <w:rFonts w:eastAsia="Calibri" w:cs="Times New Roman"/>
          <w:b/>
          <w:bCs/>
          <w:szCs w:val="24"/>
          <w:lang w:eastAsia="es-ES"/>
        </w:rPr>
      </w:pPr>
      <w:r>
        <w:rPr>
          <w:rFonts w:eastAsia="Calibri" w:cs="Times New Roman"/>
          <w:b/>
          <w:bCs/>
          <w:szCs w:val="24"/>
          <w:lang w:eastAsia="es-ES"/>
        </w:rPr>
        <w:t>Diferencia en cambio</w:t>
      </w:r>
    </w:p>
    <w:p w14:paraId="529810B3"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se reconocerán en el resultado del periodo, siempre que no se trate de operaciones de cobertura.</w:t>
      </w:r>
    </w:p>
    <w:p w14:paraId="529810B4" w14:textId="77777777" w:rsidR="008748C1" w:rsidRDefault="00000000">
      <w:pPr>
        <w:keepNext/>
        <w:spacing w:before="240" w:after="120" w:line="240" w:lineRule="auto"/>
        <w:ind w:left="851"/>
        <w:outlineLvl w:val="6"/>
        <w:rPr>
          <w:rFonts w:eastAsia="Times New Roman" w:cs="Arial"/>
          <w:b/>
          <w:bCs/>
          <w:szCs w:val="24"/>
          <w:u w:val="single"/>
          <w:lang w:eastAsia="es-ES"/>
        </w:rPr>
      </w:pPr>
      <w:bookmarkStart w:id="280" w:name="_Toc144131688"/>
      <w:bookmarkStart w:id="281" w:name="_Toc154064037"/>
      <w:bookmarkStart w:id="282" w:name="_Toc160009537"/>
      <w:bookmarkStart w:id="283" w:name="_Toc170226216"/>
      <w:r>
        <w:rPr>
          <w:rFonts w:eastAsia="Times New Roman" w:cs="Arial"/>
          <w:b/>
          <w:bCs/>
          <w:szCs w:val="24"/>
          <w:u w:val="single"/>
          <w:lang w:eastAsia="es-ES"/>
        </w:rPr>
        <w:t>Pasivos financieros designados a valor razonable con cambios en resultados</w:t>
      </w:r>
      <w:bookmarkEnd w:id="280"/>
      <w:bookmarkEnd w:id="281"/>
      <w:bookmarkEnd w:id="282"/>
      <w:bookmarkEnd w:id="283"/>
    </w:p>
    <w:p w14:paraId="529810B5" w14:textId="77777777" w:rsidR="008748C1" w:rsidRDefault="00000000">
      <w:pPr>
        <w:numPr>
          <w:ilvl w:val="0"/>
          <w:numId w:val="81"/>
        </w:numPr>
        <w:spacing w:before="60" w:after="60" w:line="240" w:lineRule="auto"/>
        <w:jc w:val="both"/>
        <w:rPr>
          <w:rFonts w:eastAsia="Calibri" w:cs="Times New Roman"/>
          <w:b/>
          <w:bCs/>
          <w:szCs w:val="24"/>
          <w:lang w:eastAsia="es-ES"/>
        </w:rPr>
      </w:pPr>
      <w:r>
        <w:rPr>
          <w:rFonts w:eastAsia="Calibri" w:cs="Times New Roman"/>
          <w:b/>
          <w:bCs/>
          <w:szCs w:val="24"/>
          <w:lang w:eastAsia="es-ES"/>
        </w:rPr>
        <w:t>Valorización a valor razonable</w:t>
      </w:r>
    </w:p>
    <w:p w14:paraId="529810B6"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valuación de los pasivos financieros clasificados en esta categoría se efectuará a valor razonable.</w:t>
      </w:r>
    </w:p>
    <w:p w14:paraId="529810B7"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Para la actualización del valor razonable, las empresas deberán añadir los intereses devengados del periodo calculados en base a la tasa de interés contractual y descontar los pagos que se hubieran realizado.</w:t>
      </w:r>
    </w:p>
    <w:p w14:paraId="529810B8"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Cuando el valor razonable exceda el valor actualizado de acuerdo con lo señalado en el párrafo anterior se reconocerá una pérdida por fluctuación de valor, de lo contrario se reconocerá una ganancia por fluctuación de valor. En ambos casos, dicha fluctuación afectará a los resultados del ejercicio.</w:t>
      </w:r>
    </w:p>
    <w:p w14:paraId="529810B9"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 empresa reconocerá los cambios en el valor de los pasivos financieros designados a valor razonable de la siguiente forma:</w:t>
      </w:r>
    </w:p>
    <w:p w14:paraId="529810BA" w14:textId="77777777" w:rsidR="008748C1" w:rsidRDefault="00000000">
      <w:pPr>
        <w:numPr>
          <w:ilvl w:val="0"/>
          <w:numId w:val="82"/>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El importe del cambio en el valor razonable del pasivo financiero que sea atribuible a cambios en el riesgo crediticio de ese pasivo deberá presentarse en Otro Resultado Integral, y</w:t>
      </w:r>
    </w:p>
    <w:p w14:paraId="529810BB" w14:textId="77777777" w:rsidR="008748C1" w:rsidRDefault="00000000">
      <w:pPr>
        <w:numPr>
          <w:ilvl w:val="0"/>
          <w:numId w:val="82"/>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El importe restante del cambio en el valor razonable del pasivo se reconocerá en resultados del ejercicio.</w:t>
      </w:r>
    </w:p>
    <w:p w14:paraId="529810BC"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Salvo, que el tratamiento de los efectos de los cambios en el riesgo crediticio del pasivo descritos en el párrafo (i) pudieran crear o aumentar una asimetría contable en el resultado del periodo; por lo cual, la empresa presentará todas las ganancias o pérdidas de ese pasivo (incluyendo los efectos de cambios en el riesgo crediticio de ese pasivo) en resultados del ejercicio. La evaluación de la existencia o no de una asimetría contable se realizará en el momento del reconocimiento inicial del pasivo financiero y será definitiva.</w:t>
      </w:r>
    </w:p>
    <w:p w14:paraId="529810BD"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El importe de la pérdida o ganancia registrada en Otro Resultado Integral no se reclasificará posteriormente a resultados del ejercicio, ni cuando se dé de baja al pasivo. Sin embargo, la empresa puede hacer transferencias de las ganancias o pérdidas acumuladas dentro del patrimonio.</w:t>
      </w:r>
    </w:p>
    <w:p w14:paraId="529810BE"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Sin perjuicio de lo antes señalado, la empresa presentará en resultados del ejercicio todas las ganancias o pérdidas sobre los compromisos del préstamo y los contratos de garantía financiera que estén designados como a valor razonable con cambios en resultados.</w:t>
      </w:r>
    </w:p>
    <w:p w14:paraId="529810BF" w14:textId="77777777" w:rsidR="008748C1" w:rsidRDefault="008748C1">
      <w:pPr>
        <w:ind w:left="644"/>
        <w:contextualSpacing/>
        <w:jc w:val="both"/>
        <w:rPr>
          <w:rFonts w:eastAsia="Times New Roman" w:cs="Times New Roman"/>
          <w:szCs w:val="24"/>
          <w:lang w:eastAsia="es-ES"/>
        </w:rPr>
      </w:pPr>
    </w:p>
    <w:p w14:paraId="529810C0" w14:textId="77777777" w:rsidR="008748C1" w:rsidRDefault="00000000">
      <w:pPr>
        <w:numPr>
          <w:ilvl w:val="0"/>
          <w:numId w:val="81"/>
        </w:numPr>
        <w:spacing w:before="60" w:after="60" w:line="240" w:lineRule="auto"/>
        <w:jc w:val="both"/>
        <w:rPr>
          <w:rFonts w:eastAsia="Calibri" w:cs="Times New Roman"/>
          <w:b/>
          <w:bCs/>
          <w:szCs w:val="24"/>
          <w:lang w:eastAsia="es-ES"/>
        </w:rPr>
      </w:pPr>
      <w:r>
        <w:rPr>
          <w:rFonts w:eastAsia="Calibri" w:cs="Times New Roman"/>
          <w:b/>
          <w:bCs/>
          <w:szCs w:val="24"/>
          <w:lang w:eastAsia="es-ES"/>
        </w:rPr>
        <w:t>Intereses</w:t>
      </w:r>
    </w:p>
    <w:p w14:paraId="529810C1"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 xml:space="preserve">Los gastos por intereses se registrarán en el resultado del periodo, aplicando la tasa de interés contractual sobre el valor nominal, descontando los reembolsos del principal en caso se hubiera producido. </w:t>
      </w:r>
    </w:p>
    <w:p w14:paraId="529810C2" w14:textId="77777777" w:rsidR="008748C1" w:rsidRDefault="00000000">
      <w:pPr>
        <w:numPr>
          <w:ilvl w:val="0"/>
          <w:numId w:val="81"/>
        </w:numPr>
        <w:spacing w:before="60" w:after="60" w:line="240" w:lineRule="auto"/>
        <w:jc w:val="both"/>
        <w:rPr>
          <w:rFonts w:eastAsia="Calibri" w:cs="Times New Roman"/>
          <w:b/>
          <w:bCs/>
          <w:szCs w:val="24"/>
          <w:lang w:eastAsia="es-ES"/>
        </w:rPr>
      </w:pPr>
      <w:r>
        <w:rPr>
          <w:rFonts w:eastAsia="Calibri" w:cs="Times New Roman"/>
          <w:b/>
          <w:bCs/>
          <w:szCs w:val="24"/>
          <w:lang w:eastAsia="es-ES"/>
        </w:rPr>
        <w:t>Diferencia en cambio</w:t>
      </w:r>
    </w:p>
    <w:p w14:paraId="529810C3" w14:textId="77777777" w:rsidR="008748C1" w:rsidRDefault="00000000">
      <w:pPr>
        <w:autoSpaceDE w:val="0"/>
        <w:autoSpaceDN w:val="0"/>
        <w:adjustRightInd w:val="0"/>
        <w:spacing w:before="60" w:after="60" w:line="240" w:lineRule="auto"/>
        <w:ind w:left="1276"/>
        <w:jc w:val="both"/>
        <w:rPr>
          <w:rFonts w:eastAsia="Calibri" w:cs="Arial"/>
          <w:szCs w:val="24"/>
          <w:lang w:eastAsia="es-ES"/>
        </w:rPr>
      </w:pPr>
      <w:r>
        <w:rPr>
          <w:rFonts w:eastAsia="Calibri" w:cs="Arial"/>
          <w:szCs w:val="24"/>
          <w:lang w:eastAsia="es-ES"/>
        </w:rPr>
        <w:t>Las ganancias o pérdidas por diferencias de cambio se reconocerán en el resultado del periodo, siempre que no se trate de operaciones de cobertura.</w:t>
      </w:r>
    </w:p>
    <w:p w14:paraId="529810C4"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284" w:name="_Toc144131689"/>
      <w:bookmarkStart w:id="285" w:name="_Toc144131070"/>
      <w:bookmarkStart w:id="286" w:name="_Toc160009539"/>
      <w:bookmarkStart w:id="287" w:name="_Toc170226218"/>
      <w:bookmarkStart w:id="288" w:name="_Toc154064039"/>
      <w:r>
        <w:rPr>
          <w:rFonts w:eastAsia="Times New Roman" w:cs="Arial"/>
          <w:b/>
          <w:bCs/>
          <w:szCs w:val="24"/>
          <w:lang w:eastAsia="es-ES"/>
        </w:rPr>
        <w:lastRenderedPageBreak/>
        <w:t>Baja en cuentas</w:t>
      </w:r>
      <w:bookmarkEnd w:id="284"/>
      <w:bookmarkEnd w:id="285"/>
      <w:r>
        <w:rPr>
          <w:rFonts w:eastAsia="Times New Roman" w:cs="Arial"/>
          <w:b/>
          <w:bCs/>
          <w:szCs w:val="24"/>
          <w:lang w:eastAsia="es-ES"/>
        </w:rPr>
        <w:t xml:space="preserve"> de pasivos financieros</w:t>
      </w:r>
      <w:bookmarkEnd w:id="286"/>
      <w:bookmarkEnd w:id="287"/>
      <w:bookmarkEnd w:id="288"/>
    </w:p>
    <w:p w14:paraId="529810C5"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La empresa dará de baja de su estado de situación financiera un pasivo financiero o una parte de este, cuando, y solo cuando:</w:t>
      </w:r>
    </w:p>
    <w:p w14:paraId="529810C6" w14:textId="77777777" w:rsidR="008748C1" w:rsidRDefault="00000000">
      <w:pPr>
        <w:numPr>
          <w:ilvl w:val="0"/>
          <w:numId w:val="83"/>
        </w:numPr>
        <w:spacing w:before="20" w:after="20" w:line="240" w:lineRule="auto"/>
        <w:jc w:val="both"/>
        <w:rPr>
          <w:rFonts w:eastAsia="Calibri" w:cs="Times New Roman"/>
          <w:szCs w:val="24"/>
          <w:lang w:eastAsia="es-ES"/>
        </w:rPr>
      </w:pPr>
      <w:r>
        <w:rPr>
          <w:rFonts w:eastAsia="Calibri" w:cs="Times New Roman"/>
          <w:szCs w:val="24"/>
          <w:lang w:eastAsia="es-ES"/>
        </w:rPr>
        <w:t>La obligación se haya extinguido, esto es, cuando la obligación especificada en el correspondiente contrato haya sido pagada o cancelada, o haya expirado.</w:t>
      </w:r>
    </w:p>
    <w:p w14:paraId="529810C7" w14:textId="77777777" w:rsidR="008748C1" w:rsidRDefault="00000000">
      <w:pPr>
        <w:numPr>
          <w:ilvl w:val="0"/>
          <w:numId w:val="83"/>
        </w:numPr>
        <w:spacing w:before="20" w:after="20" w:line="240" w:lineRule="auto"/>
        <w:jc w:val="both"/>
        <w:rPr>
          <w:rFonts w:eastAsia="Calibri" w:cs="Times New Roman"/>
          <w:szCs w:val="24"/>
          <w:lang w:eastAsia="es-ES"/>
        </w:rPr>
      </w:pPr>
      <w:r>
        <w:rPr>
          <w:rFonts w:eastAsia="Calibri" w:cs="Times New Roman"/>
          <w:szCs w:val="24"/>
          <w:lang w:eastAsia="es-ES"/>
        </w:rPr>
        <w:t>El emisor de un instrumento de deuda compra de nuevo ese instrumento, aunque sea con la intención de volver a venderlo en un futuro inmediato.</w:t>
      </w:r>
    </w:p>
    <w:p w14:paraId="529810C8"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289" w:name="_Toc144131690"/>
      <w:bookmarkStart w:id="290" w:name="_Toc160009540"/>
      <w:bookmarkStart w:id="291" w:name="_Toc144131071"/>
      <w:bookmarkStart w:id="292" w:name="_Toc154064040"/>
      <w:bookmarkStart w:id="293" w:name="_Toc170226219"/>
      <w:r>
        <w:rPr>
          <w:rFonts w:eastAsia="Times New Roman" w:cs="Arial"/>
          <w:b/>
          <w:bCs/>
          <w:szCs w:val="24"/>
          <w:lang w:eastAsia="es-ES"/>
        </w:rPr>
        <w:t>Reestructuración de pasivos financieros</w:t>
      </w:r>
      <w:bookmarkEnd w:id="289"/>
      <w:bookmarkEnd w:id="290"/>
      <w:bookmarkEnd w:id="291"/>
      <w:bookmarkEnd w:id="292"/>
      <w:bookmarkEnd w:id="293"/>
    </w:p>
    <w:p w14:paraId="529810C9"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Para realizar una reestructuración se debe considerar lo siguiente:</w:t>
      </w:r>
    </w:p>
    <w:p w14:paraId="529810CA" w14:textId="77777777" w:rsidR="008748C1" w:rsidRDefault="00000000">
      <w:pPr>
        <w:numPr>
          <w:ilvl w:val="0"/>
          <w:numId w:val="84"/>
        </w:numPr>
        <w:spacing w:before="20" w:after="20" w:line="240" w:lineRule="auto"/>
        <w:jc w:val="both"/>
        <w:rPr>
          <w:rFonts w:eastAsia="Calibri" w:cs="Times New Roman"/>
          <w:szCs w:val="24"/>
          <w:lang w:eastAsia="es-ES"/>
        </w:rPr>
      </w:pPr>
      <w:r>
        <w:rPr>
          <w:rFonts w:eastAsia="Calibri" w:cs="Arial"/>
          <w:szCs w:val="24"/>
          <w:lang w:eastAsia="es-ES"/>
        </w:rPr>
        <w:t>U</w:t>
      </w:r>
      <w:r>
        <w:rPr>
          <w:rFonts w:eastAsia="Calibri" w:cs="Times New Roman"/>
          <w:szCs w:val="24"/>
          <w:lang w:eastAsia="es-ES"/>
        </w:rPr>
        <w:t>n intercambio entre la empresa y un acreedor, de instrumentos de deuda emitidos por la empresa con condiciones sustancialmente diferentes se contabilizará como una baja del pasivo financiero original, reconociéndose un nuevo pasivo financiero. De forma similar, una modificación sustancial de las condiciones actuales de un pasivo financiero existente o de una parte de este (con independencia de si es atribuible o no a las dificultades financieras del deudor) se contabilizará como una baja del pasivo financiero original y el reconocimiento de un nuevo pasivo financiero.</w:t>
      </w:r>
    </w:p>
    <w:p w14:paraId="529810CB" w14:textId="77777777" w:rsidR="008748C1" w:rsidRDefault="00000000">
      <w:pPr>
        <w:spacing w:before="20" w:after="20" w:line="240" w:lineRule="auto"/>
        <w:ind w:left="1276"/>
        <w:jc w:val="both"/>
        <w:rPr>
          <w:rFonts w:eastAsia="Calibri" w:cs="Times New Roman"/>
          <w:szCs w:val="24"/>
          <w:lang w:eastAsia="es-ES"/>
        </w:rPr>
      </w:pPr>
      <w:r>
        <w:rPr>
          <w:rFonts w:eastAsia="Calibri" w:cs="Times New Roman"/>
          <w:szCs w:val="24"/>
          <w:lang w:eastAsia="es-ES"/>
        </w:rPr>
        <w:t>La diferencia entre el importe en libros de un pasivo financiero o de una parte de este que se haya dado de baja y la contraprestación pagada, incluyendo cualquier activo transferido diferente del efectivo o pasivo asumido, se reconocerá en resultados del ejercicio.</w:t>
      </w:r>
    </w:p>
    <w:p w14:paraId="529810CC" w14:textId="77777777" w:rsidR="008748C1" w:rsidRDefault="00000000">
      <w:pPr>
        <w:numPr>
          <w:ilvl w:val="0"/>
          <w:numId w:val="84"/>
        </w:numPr>
        <w:spacing w:before="20" w:after="20" w:line="240" w:lineRule="auto"/>
        <w:jc w:val="both"/>
        <w:rPr>
          <w:rFonts w:eastAsia="Calibri" w:cs="Times New Roman"/>
          <w:szCs w:val="24"/>
          <w:lang w:eastAsia="es-ES"/>
        </w:rPr>
      </w:pPr>
      <w:r>
        <w:rPr>
          <w:rFonts w:eastAsia="Calibri" w:cs="Times New Roman"/>
          <w:szCs w:val="24"/>
          <w:lang w:eastAsia="es-ES"/>
        </w:rPr>
        <w:t>Un intercambio entre la empresa y un acreedor, de instrumentos de deuda emitidos por la empresa que no tengan condiciones sustancialmente diferentes o de una modificación no sustancial de las condiciones contractuales de un pasivo financiero, no generará la baja del pasivo financiero original del estado de situación financiera</w:t>
      </w:r>
    </w:p>
    <w:p w14:paraId="529810CD" w14:textId="77777777" w:rsidR="008748C1" w:rsidRDefault="00000000">
      <w:pPr>
        <w:spacing w:before="20" w:after="20" w:line="240" w:lineRule="auto"/>
        <w:ind w:left="1276"/>
        <w:jc w:val="both"/>
        <w:rPr>
          <w:rFonts w:eastAsia="Calibri" w:cs="Times New Roman"/>
          <w:szCs w:val="24"/>
          <w:lang w:eastAsia="es-ES"/>
        </w:rPr>
      </w:pPr>
      <w:r>
        <w:rPr>
          <w:rFonts w:eastAsia="Calibri" w:cs="Times New Roman"/>
          <w:szCs w:val="24"/>
          <w:lang w:eastAsia="es-ES"/>
        </w:rPr>
        <w:t>Los costos y comisiones ajustarán el importe en libros del pasivo, y se amortizarán a lo largo de la vida restante del pasivo modificado.</w:t>
      </w:r>
    </w:p>
    <w:p w14:paraId="529810CE"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Se considera que se han dado condiciones sustancialmente diferentes si el valor presente de los flujos de efectivo descontados bajo las nuevas condiciones, incluyendo cualquier comisión pagada neta de cualquier comisión recibida, y utilizando para hacer el descuento la tasa de interés efectiva original, difiere al menos en un 10% del valor presente descontado de los flujos de efectivo que todavía resten del pasivo financiero original. Al determinar las comisiones pagadas netas de las comisiones recibidas, la empresa incluirá sólo las comisiones pagadas o recibidas entre la empresa y el acreedor, incluyendo las pagadas o recibidas por uno en nombre del otro o viceversa.</w:t>
      </w:r>
    </w:p>
    <w:p w14:paraId="529810CF"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Si la empresa recompra una parte de un pasivo financiero, distribuirá su importe en libros previo entre la parte que continúa reconociendo y la parte que da de baja en cuentas, en función de los valores razonables relativos de ambas partes en la fecha de recompra. En el resultado del periodo se reconocerá la diferencia entre el importe en libros asignado a la parte que se da de baja en cuentas y la contraprestación pagada, incluyendo el importe cualquier activo transferido diferente del efectivo y cualquier pasivo asumido, por la parte dada de baja.</w:t>
      </w:r>
    </w:p>
    <w:p w14:paraId="529810D0"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294" w:name="_Toc170226217"/>
      <w:bookmarkStart w:id="295" w:name="_Toc160009538"/>
      <w:bookmarkStart w:id="296" w:name="_Toc154064038"/>
      <w:r>
        <w:rPr>
          <w:rFonts w:eastAsia="Times New Roman" w:cs="Arial"/>
          <w:b/>
          <w:bCs/>
          <w:szCs w:val="24"/>
          <w:lang w:eastAsia="es-ES"/>
        </w:rPr>
        <w:t>Reclasificación de pasivos financieros</w:t>
      </w:r>
      <w:bookmarkEnd w:id="294"/>
      <w:bookmarkEnd w:id="295"/>
      <w:bookmarkEnd w:id="296"/>
    </w:p>
    <w:p w14:paraId="529810D1"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La empresa no reclasificará ningún pasivo financiero.</w:t>
      </w:r>
    </w:p>
    <w:p w14:paraId="529810D2"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297" w:name="_Toc170226220"/>
      <w:r>
        <w:rPr>
          <w:rFonts w:eastAsia="Times New Roman" w:cs="Times New Roman"/>
          <w:b/>
          <w:bCs/>
          <w:szCs w:val="24"/>
          <w:lang w:eastAsia="es-ES"/>
        </w:rPr>
        <w:lastRenderedPageBreak/>
        <w:t>INSTRUMENTOS FINANCIEROS DERIVADOS</w:t>
      </w:r>
      <w:bookmarkEnd w:id="297"/>
    </w:p>
    <w:p w14:paraId="529810D3"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298" w:name="_Toc170226223"/>
      <w:bookmarkStart w:id="299" w:name="_Toc162452810"/>
      <w:bookmarkStart w:id="300" w:name="_Toc162454702"/>
      <w:bookmarkStart w:id="301" w:name="_Toc170226224"/>
      <w:bookmarkEnd w:id="298"/>
      <w:r>
        <w:rPr>
          <w:rFonts w:eastAsia="Times New Roman" w:cs="Arial"/>
          <w:b/>
          <w:bCs/>
          <w:szCs w:val="24"/>
          <w:lang w:eastAsia="es-ES"/>
        </w:rPr>
        <w:t>Reconocimiento</w:t>
      </w:r>
      <w:bookmarkEnd w:id="299"/>
      <w:bookmarkEnd w:id="300"/>
      <w:bookmarkEnd w:id="301"/>
    </w:p>
    <w:p w14:paraId="529810D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Los instrumentos financieros derivados se medirán a su valor razonable y su reconocimiento inicial se efectuará en la fecha de contratación o negociación.</w:t>
      </w:r>
    </w:p>
    <w:p w14:paraId="529810D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opción de contabilizar un derivado financiero con fines de cobertura o con fines de negociación se podrá tomar por única vez en el momento en el que se pacta la operación.</w:t>
      </w:r>
    </w:p>
    <w:p w14:paraId="529810D6"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02" w:name="_Toc170226225"/>
      <w:bookmarkStart w:id="303" w:name="_Toc170226226"/>
      <w:bookmarkStart w:id="304" w:name="_Toc170155710"/>
      <w:bookmarkEnd w:id="302"/>
      <w:r>
        <w:rPr>
          <w:rFonts w:eastAsia="Times New Roman" w:cs="Arial"/>
          <w:b/>
          <w:bCs/>
          <w:szCs w:val="24"/>
          <w:lang w:eastAsia="es-ES"/>
        </w:rPr>
        <w:t>Ajuste de valoración de crédito y débito</w:t>
      </w:r>
      <w:bookmarkEnd w:id="303"/>
      <w:bookmarkEnd w:id="304"/>
    </w:p>
    <w:p w14:paraId="529810D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valor razonable de los instrumentos financieros derivados debe incluir los ajustes por riesgo de incumplimiento, es decir el riesgo de que la contraparte del instrumento financiero derivado (CVA) o la empresa misma (DVA) incumplan con los pagos contractuales antes del vencimiento de la transacción.</w:t>
      </w:r>
    </w:p>
    <w:p w14:paraId="529810D8"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05" w:name="_Toc162452811"/>
      <w:bookmarkStart w:id="306" w:name="_Toc162454703"/>
      <w:bookmarkStart w:id="307" w:name="_Toc170226227"/>
      <w:r>
        <w:rPr>
          <w:rFonts w:eastAsia="Times New Roman" w:cs="Arial"/>
          <w:b/>
          <w:bCs/>
          <w:szCs w:val="24"/>
          <w:lang w:eastAsia="es-ES"/>
        </w:rPr>
        <w:t>Contrapartes en operaciones con instrumento financieros derivados</w:t>
      </w:r>
      <w:bookmarkEnd w:id="305"/>
      <w:bookmarkEnd w:id="306"/>
      <w:bookmarkEnd w:id="307"/>
    </w:p>
    <w:p w14:paraId="529810D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Las empresas podrán contratar instrumento financieros derivados negociados bursátil y extrabursátilmente. En los primeros, los contratos deberán ser liquidados a través de cámaras de compensación y ser negociados en bolsas que deberán estar inscritas y ser fiscalizadas por la SMV u organismos de similar competencia. En el caso de los contratos extrabursátiles, cuando la contraparte se trate de una empresa del sistema financiero o del sistema de seguros del país o del exterior, ésta debe ser debidamente autorizada, regulada y supervisada por esta Superintendencia u otro organismo de similar competencia.</w:t>
      </w:r>
    </w:p>
    <w:p w14:paraId="529810DA" w14:textId="77777777" w:rsidR="008748C1" w:rsidRDefault="008748C1">
      <w:pPr>
        <w:spacing w:before="60" w:after="60" w:line="240" w:lineRule="auto"/>
        <w:jc w:val="both"/>
        <w:rPr>
          <w:rFonts w:eastAsia="Times New Roman" w:cs="Times New Roman"/>
          <w:lang w:eastAsia="es-ES"/>
        </w:rPr>
      </w:pPr>
    </w:p>
    <w:p w14:paraId="529810DC" w14:textId="451C8329" w:rsidR="008748C1" w:rsidRPr="00811C93" w:rsidRDefault="00000000" w:rsidP="00811C93">
      <w:pPr>
        <w:keepNext/>
        <w:numPr>
          <w:ilvl w:val="2"/>
          <w:numId w:val="4"/>
        </w:numPr>
        <w:spacing w:before="360" w:after="120" w:line="240" w:lineRule="auto"/>
        <w:outlineLvl w:val="3"/>
        <w:rPr>
          <w:rFonts w:eastAsia="Times New Roman" w:cs="Times New Roman"/>
          <w:b/>
          <w:bCs/>
          <w:szCs w:val="24"/>
          <w:lang w:eastAsia="es-ES"/>
        </w:rPr>
      </w:pPr>
      <w:bookmarkStart w:id="308" w:name="_Toc145670215"/>
      <w:bookmarkStart w:id="309" w:name="_Toc170226229"/>
      <w:r>
        <w:rPr>
          <w:rFonts w:eastAsia="Times New Roman" w:cs="Times New Roman"/>
          <w:b/>
          <w:bCs/>
          <w:szCs w:val="24"/>
          <w:lang w:eastAsia="es-ES"/>
        </w:rPr>
        <w:t>INS</w:t>
      </w:r>
      <w:r w:rsidRPr="00811C93">
        <w:rPr>
          <w:rFonts w:eastAsia="Times New Roman" w:cs="Times New Roman"/>
          <w:b/>
          <w:bCs/>
          <w:szCs w:val="24"/>
          <w:lang w:eastAsia="es-ES"/>
        </w:rPr>
        <w:t>TRUMENTOS FINANCIEROS DERIVADOS CON FINES DE NEGOCIACIÓN</w:t>
      </w:r>
      <w:bookmarkEnd w:id="308"/>
      <w:bookmarkEnd w:id="309"/>
    </w:p>
    <w:p w14:paraId="529810DD"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La medición inicial de un producto financiero derivado para negociación se realizará a su valor razonable. Posteriormente, todo cambio en el valor razonable de dicho derivado afectará los resultados del periodo.</w:t>
      </w:r>
    </w:p>
    <w:p w14:paraId="529810DE"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 xml:space="preserve">Un instrumento financiero derivado con fines de cobertura contable que cumpla con todas las condiciones y requerimientos descritos en la presente sección para este tipo de derivado podrá ser registrado contablemente como instrumento derivado con fines de negociación. </w:t>
      </w:r>
    </w:p>
    <w:p w14:paraId="529810DF"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310" w:name="_Toc170226230"/>
      <w:bookmarkStart w:id="311" w:name="_Toc145670216"/>
      <w:bookmarkStart w:id="312" w:name="_Toc170226231"/>
      <w:bookmarkEnd w:id="310"/>
      <w:r>
        <w:rPr>
          <w:rFonts w:eastAsia="Times New Roman" w:cs="Times New Roman"/>
          <w:b/>
          <w:bCs/>
          <w:szCs w:val="24"/>
          <w:lang w:eastAsia="es-ES"/>
        </w:rPr>
        <w:t>CONTABILIDAD DE COBERTURAS</w:t>
      </w:r>
      <w:bookmarkEnd w:id="311"/>
      <w:bookmarkEnd w:id="312"/>
    </w:p>
    <w:p w14:paraId="529810E0"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13" w:name="_Toc170226232"/>
      <w:bookmarkStart w:id="314" w:name="_Toc145670217"/>
      <w:r>
        <w:rPr>
          <w:rFonts w:eastAsia="Times New Roman" w:cs="Arial"/>
          <w:b/>
          <w:bCs/>
          <w:szCs w:val="24"/>
          <w:lang w:eastAsia="es-ES"/>
        </w:rPr>
        <w:t>Objetivo y alcance de la contabilidad de cobertura</w:t>
      </w:r>
      <w:bookmarkEnd w:id="313"/>
      <w:bookmarkEnd w:id="314"/>
    </w:p>
    <w:p w14:paraId="529810E1" w14:textId="77777777" w:rsidR="008748C1" w:rsidRDefault="00000000">
      <w:pPr>
        <w:keepNext/>
        <w:spacing w:before="240" w:after="120" w:line="240" w:lineRule="auto"/>
        <w:ind w:left="850"/>
        <w:jc w:val="both"/>
        <w:outlineLvl w:val="5"/>
        <w:rPr>
          <w:rFonts w:ascii="Arial" w:eastAsia="Times New Roman" w:hAnsi="Arial" w:cs="Arial"/>
          <w:b/>
          <w:szCs w:val="24"/>
          <w:lang w:eastAsia="es-ES"/>
        </w:rPr>
      </w:pPr>
      <w:r>
        <w:rPr>
          <w:rFonts w:eastAsia="Times New Roman" w:cs="Arial"/>
          <w:b/>
          <w:szCs w:val="24"/>
          <w:lang w:eastAsia="es-ES"/>
        </w:rPr>
        <w:t>Objetivo</w:t>
      </w:r>
    </w:p>
    <w:p w14:paraId="529810E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objetivo de la contabilidad de coberturas es presentar en los estados financieros los efectos de las actividades de gestión de riesgos de una empresa que utiliza instrumentos financieros para administrar las exposiciones a riesgos concretos que podrían afectar al resultado del periodo u otro resultado integral.</w:t>
      </w:r>
    </w:p>
    <w:p w14:paraId="529810E3" w14:textId="77777777" w:rsidR="008748C1" w:rsidRDefault="00000000">
      <w:pPr>
        <w:keepNext/>
        <w:spacing w:before="240" w:after="120" w:line="240" w:lineRule="auto"/>
        <w:ind w:left="850"/>
        <w:jc w:val="both"/>
        <w:outlineLvl w:val="5"/>
        <w:rPr>
          <w:rFonts w:ascii="Arial" w:eastAsia="Times New Roman" w:hAnsi="Arial" w:cs="Arial"/>
          <w:b/>
          <w:szCs w:val="24"/>
          <w:lang w:eastAsia="es-ES"/>
        </w:rPr>
      </w:pPr>
      <w:r>
        <w:rPr>
          <w:rFonts w:eastAsia="Times New Roman" w:cs="Arial"/>
          <w:b/>
          <w:szCs w:val="24"/>
          <w:lang w:eastAsia="es-ES"/>
        </w:rPr>
        <w:t>Alcance</w:t>
      </w:r>
    </w:p>
    <w:p w14:paraId="529810E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El alcance de la contabilidad de coberturas es limitado a los instrumentos financieros utilizados para gestionar los riesgos de la empresa y con una relación de cobertura que cumple con los criterios establecidos en la presente sección. La empresa debe mantener la documentación y los registros adecuados de los instrumentos financieros utilizados para la cobertura, así como de los riesgos que se </w:t>
      </w:r>
      <w:r>
        <w:rPr>
          <w:rFonts w:eastAsia="Times New Roman" w:cs="Times New Roman"/>
          <w:lang w:eastAsia="es-ES"/>
        </w:rPr>
        <w:lastRenderedPageBreak/>
        <w:t>están cubriendo. También debe realizar un seguimiento periódico de los efectos de la gestión de riesgos en los estados financieros de la empresa.</w:t>
      </w:r>
    </w:p>
    <w:p w14:paraId="529810E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Cabe precisar, que los instrumentos financieros derivados que sean utilizados para gestionar riesgos, pero que no cumplen los requerimientos para ser reconocidos como contabilidad de coberturas, denominados “coberturas económicas”, deberán ser registrados contablemente como instrumentos financieros derivados con fines de negociación.</w:t>
      </w:r>
    </w:p>
    <w:p w14:paraId="529810E6"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15" w:name="_Toc164102758"/>
      <w:bookmarkStart w:id="316" w:name="_Toc164102757"/>
      <w:bookmarkStart w:id="317" w:name="_Toc164102985"/>
      <w:bookmarkStart w:id="318" w:name="_Toc164103438"/>
      <w:bookmarkStart w:id="319" w:name="_Toc170226233"/>
      <w:bookmarkStart w:id="320" w:name="_Toc164102986"/>
      <w:bookmarkStart w:id="321" w:name="_Toc164103211"/>
      <w:bookmarkStart w:id="322" w:name="_Toc164103437"/>
      <w:bookmarkStart w:id="323" w:name="_Toc164103212"/>
      <w:bookmarkStart w:id="324" w:name="_Toc145670218"/>
      <w:bookmarkStart w:id="325" w:name="_Toc170226234"/>
      <w:bookmarkEnd w:id="315"/>
      <w:bookmarkEnd w:id="316"/>
      <w:bookmarkEnd w:id="317"/>
      <w:bookmarkEnd w:id="318"/>
      <w:bookmarkEnd w:id="319"/>
      <w:bookmarkEnd w:id="320"/>
      <w:bookmarkEnd w:id="321"/>
      <w:bookmarkEnd w:id="322"/>
      <w:bookmarkEnd w:id="323"/>
      <w:r>
        <w:rPr>
          <w:rFonts w:eastAsia="Times New Roman" w:cs="Arial"/>
          <w:b/>
          <w:bCs/>
          <w:szCs w:val="24"/>
          <w:lang w:eastAsia="es-ES"/>
        </w:rPr>
        <w:t>Instrumentos de cobertura</w:t>
      </w:r>
      <w:bookmarkEnd w:id="324"/>
      <w:bookmarkEnd w:id="325"/>
      <w:r>
        <w:rPr>
          <w:rFonts w:eastAsia="Times New Roman" w:cs="Arial"/>
          <w:b/>
          <w:bCs/>
          <w:szCs w:val="24"/>
          <w:lang w:eastAsia="es-ES"/>
        </w:rPr>
        <w:tab/>
        <w:t xml:space="preserve"> </w:t>
      </w:r>
    </w:p>
    <w:p w14:paraId="529810E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Es un instrumento financiero derivado designado, un </w:t>
      </w:r>
      <w:proofErr w:type="gramStart"/>
      <w:r>
        <w:rPr>
          <w:rFonts w:eastAsia="Times New Roman" w:cs="Times New Roman"/>
          <w:lang w:eastAsia="es-ES"/>
        </w:rPr>
        <w:t>activo financiero o un pasivo financiero</w:t>
      </w:r>
      <w:proofErr w:type="gramEnd"/>
      <w:r>
        <w:rPr>
          <w:rFonts w:eastAsia="Times New Roman" w:cs="Times New Roman"/>
          <w:lang w:eastAsia="es-ES"/>
        </w:rPr>
        <w:t xml:space="preserve"> no derivado medidos a valor razonable, cuyo valor razonable o flujos de efectivo generados se espera que compensen los cambios en el valor razonable o los flujos de efectivo de la partida cubierta designada.</w:t>
      </w:r>
    </w:p>
    <w:p w14:paraId="529810E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Una empresa puede designar un instrumento financiero como instrumento de cobertura si cumple con los criterios de elegibilidad establecidos en la presente sección. El proceso de designación del instrumento de cobertura debe ser claramente documentado y explicado en los estados financieros de la empresa. </w:t>
      </w:r>
    </w:p>
    <w:p w14:paraId="529810E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medición inicial de un instrumento financiero derivado con fines de cobertura se realizará a su valor razonable. Posteriormente, los cambios en el valor razonable de dicho derivado afectarán los resultados del período o en otro resultado integral, según lo establecido en la presente sección. La valorización se realizará según las metodologías señaladas en el numeral 1.9 de esta sección.</w:t>
      </w:r>
    </w:p>
    <w:p w14:paraId="529810EA" w14:textId="77777777" w:rsidR="008748C1" w:rsidRDefault="00000000">
      <w:pPr>
        <w:keepNext/>
        <w:spacing w:before="240" w:after="120" w:line="240" w:lineRule="auto"/>
        <w:ind w:left="850"/>
        <w:jc w:val="both"/>
        <w:outlineLvl w:val="5"/>
        <w:rPr>
          <w:rFonts w:ascii="Arial" w:eastAsia="Times New Roman" w:hAnsi="Arial" w:cs="Arial"/>
          <w:b/>
          <w:szCs w:val="24"/>
          <w:lang w:eastAsia="es-ES"/>
        </w:rPr>
      </w:pPr>
      <w:r>
        <w:rPr>
          <w:rFonts w:eastAsia="Times New Roman" w:cs="Arial"/>
          <w:b/>
          <w:szCs w:val="24"/>
          <w:lang w:eastAsia="es-ES"/>
        </w:rPr>
        <w:t>Requisitos de elegibilidad de los instrumentos de cobertura</w:t>
      </w:r>
    </w:p>
    <w:p w14:paraId="529810E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Pueden ser elegibles como instrumentos de cobertura:</w:t>
      </w:r>
    </w:p>
    <w:p w14:paraId="529810EC" w14:textId="77777777" w:rsidR="008748C1" w:rsidRDefault="00000000">
      <w:pPr>
        <w:numPr>
          <w:ilvl w:val="0"/>
          <w:numId w:val="85"/>
        </w:numPr>
        <w:spacing w:before="20" w:after="20" w:line="240" w:lineRule="auto"/>
        <w:jc w:val="both"/>
        <w:rPr>
          <w:rFonts w:eastAsia="Calibri" w:cs="Times New Roman"/>
          <w:szCs w:val="24"/>
          <w:lang w:eastAsia="es-ES"/>
        </w:rPr>
      </w:pPr>
      <w:r>
        <w:rPr>
          <w:rFonts w:eastAsia="Calibri" w:cs="Times New Roman"/>
          <w:szCs w:val="24"/>
          <w:lang w:eastAsia="es-ES"/>
        </w:rPr>
        <w:t>Un instrumento financiero derivado medido al valor razonable con cambios en resultados, excepto en el caso de algunas opciones emitidas.</w:t>
      </w:r>
    </w:p>
    <w:p w14:paraId="529810ED" w14:textId="77777777" w:rsidR="008748C1" w:rsidRDefault="00000000">
      <w:pPr>
        <w:numPr>
          <w:ilvl w:val="0"/>
          <w:numId w:val="85"/>
        </w:numPr>
        <w:spacing w:before="20" w:after="20" w:line="240" w:lineRule="auto"/>
        <w:jc w:val="both"/>
        <w:rPr>
          <w:rFonts w:eastAsia="Calibri" w:cs="Times New Roman"/>
          <w:szCs w:val="24"/>
          <w:lang w:eastAsia="es-ES"/>
        </w:rPr>
      </w:pPr>
      <w:r>
        <w:rPr>
          <w:rFonts w:eastAsia="Calibri" w:cs="Times New Roman"/>
          <w:szCs w:val="24"/>
          <w:lang w:eastAsia="es-ES"/>
        </w:rPr>
        <w:t xml:space="preserve">Activos financieros que no sean derivados o los pasivos financieros que no sean derivados, si se miden al valor razonable con cambios en resultados, salvo en el caso de que sea un pasivo financiero designado como a valor razonable con cambios en resultados para el cual el importe de su cambio en el valor razonable que es atribuible a cambios en el riesgo crediticio de ese pasivo se presenta en otro resultado integral. </w:t>
      </w:r>
    </w:p>
    <w:p w14:paraId="529810EE" w14:textId="77777777" w:rsidR="008748C1" w:rsidRDefault="00000000">
      <w:pPr>
        <w:numPr>
          <w:ilvl w:val="0"/>
          <w:numId w:val="85"/>
        </w:numPr>
        <w:spacing w:before="20" w:after="20" w:line="240" w:lineRule="auto"/>
        <w:jc w:val="both"/>
        <w:rPr>
          <w:rFonts w:eastAsia="Calibri" w:cs="Times New Roman"/>
          <w:szCs w:val="24"/>
          <w:lang w:eastAsia="es-ES"/>
        </w:rPr>
      </w:pPr>
      <w:r>
        <w:rPr>
          <w:rFonts w:eastAsia="Calibri" w:cs="Times New Roman"/>
          <w:szCs w:val="24"/>
          <w:lang w:eastAsia="es-ES"/>
        </w:rPr>
        <w:t>Para una cobertura de riesgo de tasa de cambio, el componente de riesgo de tasa de cambio de un activo financiero o de un pasivo financiero, que no sean derivados, puede ser designado como un instrumento de cobertura siempre que no sea una inversión en un instrumento de patrimonio para el cual una empresa haya optado por presentar los cambios en el valor razonable en otro resultado integral de acuerdo con lo indicado en el Manual de Contabilidad.</w:t>
      </w:r>
    </w:p>
    <w:p w14:paraId="529810EF" w14:textId="77777777" w:rsidR="008748C1" w:rsidRDefault="00000000">
      <w:pPr>
        <w:numPr>
          <w:ilvl w:val="0"/>
          <w:numId w:val="85"/>
        </w:numPr>
        <w:spacing w:before="20" w:after="20" w:line="240" w:lineRule="auto"/>
        <w:jc w:val="both"/>
        <w:rPr>
          <w:rFonts w:eastAsia="Calibri" w:cs="Times New Roman"/>
          <w:szCs w:val="24"/>
          <w:lang w:eastAsia="es-ES"/>
        </w:rPr>
      </w:pPr>
      <w:r>
        <w:rPr>
          <w:rFonts w:eastAsia="Calibri" w:cs="Times New Roman"/>
          <w:szCs w:val="24"/>
          <w:lang w:eastAsia="es-ES"/>
        </w:rPr>
        <w:t>Para los propósitos de la contabilidad de coberturas, solo los contratos con una parte externa a la empresa que informa pueden ser designados como instrumentos de cobertura.</w:t>
      </w:r>
    </w:p>
    <w:p w14:paraId="529810F0" w14:textId="77777777" w:rsidR="008748C1" w:rsidRDefault="00000000">
      <w:pPr>
        <w:numPr>
          <w:ilvl w:val="0"/>
          <w:numId w:val="85"/>
        </w:numPr>
        <w:spacing w:before="20" w:after="20" w:line="240" w:lineRule="auto"/>
        <w:jc w:val="both"/>
        <w:rPr>
          <w:rFonts w:eastAsia="Calibri" w:cs="Times New Roman"/>
          <w:szCs w:val="24"/>
          <w:lang w:eastAsia="es-ES"/>
        </w:rPr>
      </w:pPr>
      <w:r>
        <w:rPr>
          <w:rFonts w:eastAsia="Calibri" w:cs="Times New Roman"/>
          <w:szCs w:val="24"/>
          <w:lang w:eastAsia="es-ES"/>
        </w:rPr>
        <w:t>Existen algunos instrumentos financieros que no pueden ser designados como instrumentos de cobertura. Entre ellos se incluyen:</w:t>
      </w:r>
    </w:p>
    <w:p w14:paraId="529810F1" w14:textId="77777777" w:rsidR="008748C1" w:rsidRDefault="00000000">
      <w:pPr>
        <w:numPr>
          <w:ilvl w:val="0"/>
          <w:numId w:val="86"/>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Derivados implícitos en contratos híbridos que no se contabilicen por separado.</w:t>
      </w:r>
    </w:p>
    <w:p w14:paraId="529810F2" w14:textId="77777777" w:rsidR="008748C1" w:rsidRDefault="00000000">
      <w:pPr>
        <w:numPr>
          <w:ilvl w:val="0"/>
          <w:numId w:val="86"/>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Instrumentos de patrimonio propios de la empresa.</w:t>
      </w:r>
    </w:p>
    <w:p w14:paraId="529810F3" w14:textId="77777777" w:rsidR="008748C1" w:rsidRDefault="00000000">
      <w:pPr>
        <w:numPr>
          <w:ilvl w:val="0"/>
          <w:numId w:val="86"/>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Una opción emitida no cumple con los requisitos para ser considerada como un instrumento de cobertura, excepto cuando se designa para compensar una opción comprada, incluyendo una opción que esté implícita en otro instrumento financiero (p.ej. una opción de compra emitida utilizada para cubrir un pasivo rescatable).</w:t>
      </w:r>
    </w:p>
    <w:p w14:paraId="529810F4"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26" w:name="_Toc170226235"/>
      <w:r>
        <w:rPr>
          <w:rFonts w:eastAsia="Times New Roman" w:cs="Arial"/>
          <w:b/>
          <w:bCs/>
          <w:szCs w:val="24"/>
          <w:lang w:eastAsia="es-ES"/>
        </w:rPr>
        <w:lastRenderedPageBreak/>
        <w:t>Designación de Instrumentos de cobertura</w:t>
      </w:r>
      <w:bookmarkEnd w:id="326"/>
      <w:r>
        <w:rPr>
          <w:rFonts w:eastAsia="Times New Roman" w:cs="Arial"/>
          <w:b/>
          <w:bCs/>
          <w:szCs w:val="24"/>
          <w:lang w:eastAsia="es-ES"/>
        </w:rPr>
        <w:t xml:space="preserve"> </w:t>
      </w:r>
    </w:p>
    <w:p w14:paraId="529810F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 instrumento que cumpla los requisitos debe ser designado en su totalidad como un instrumento de cobertura. Las únicas excepciones permitidas son:</w:t>
      </w:r>
    </w:p>
    <w:p w14:paraId="529810F6" w14:textId="77777777" w:rsidR="008748C1" w:rsidRDefault="00000000">
      <w:pPr>
        <w:numPr>
          <w:ilvl w:val="0"/>
          <w:numId w:val="87"/>
        </w:numPr>
        <w:spacing w:before="20" w:after="20" w:line="240" w:lineRule="auto"/>
        <w:jc w:val="both"/>
        <w:rPr>
          <w:rFonts w:eastAsia="Calibri" w:cs="Times New Roman"/>
          <w:szCs w:val="24"/>
          <w:lang w:eastAsia="es-ES"/>
        </w:rPr>
      </w:pPr>
      <w:r>
        <w:rPr>
          <w:rFonts w:eastAsia="Calibri" w:cs="Times New Roman"/>
          <w:szCs w:val="24"/>
          <w:lang w:eastAsia="es-ES"/>
        </w:rPr>
        <w:t>la separación del valor intrínseco y del valor temporal de un contrato de opción, y la designación como el instrumento de cobertura solo del cambio en el valor intrínseco de una opción, y no del cambio en el valor temporal,</w:t>
      </w:r>
    </w:p>
    <w:p w14:paraId="529810F7" w14:textId="77777777" w:rsidR="008748C1" w:rsidRDefault="00000000">
      <w:pPr>
        <w:numPr>
          <w:ilvl w:val="0"/>
          <w:numId w:val="87"/>
        </w:numPr>
        <w:spacing w:before="20" w:after="20" w:line="240" w:lineRule="auto"/>
        <w:jc w:val="both"/>
        <w:rPr>
          <w:rFonts w:eastAsia="Calibri" w:cs="Times New Roman"/>
          <w:szCs w:val="24"/>
          <w:lang w:eastAsia="es-ES"/>
        </w:rPr>
      </w:pPr>
      <w:r>
        <w:rPr>
          <w:rFonts w:eastAsia="Calibri" w:cs="Times New Roman"/>
          <w:szCs w:val="24"/>
          <w:lang w:eastAsia="es-ES"/>
        </w:rPr>
        <w:t>la separación del elemento a término (forward) y del elemento al contado (spot) de un contrato a término (contrato forward) y la designación como el instrumento de cobertura solo del cambio en el valor del elemento al contado de un contrato a término y no del elemento a término; de forma similar, el diferencial del tipo de cambio de la moneda extranjera puede separarse y excluirse de la designación de un instrumento financiero como el instrumento de cobertura; y</w:t>
      </w:r>
    </w:p>
    <w:p w14:paraId="529810F8" w14:textId="77777777" w:rsidR="008748C1" w:rsidRDefault="00000000">
      <w:pPr>
        <w:numPr>
          <w:ilvl w:val="0"/>
          <w:numId w:val="87"/>
        </w:numPr>
        <w:spacing w:before="20" w:after="20" w:line="240" w:lineRule="auto"/>
        <w:jc w:val="both"/>
        <w:rPr>
          <w:rFonts w:eastAsia="Calibri" w:cs="Times New Roman"/>
          <w:szCs w:val="24"/>
          <w:lang w:eastAsia="es-ES"/>
        </w:rPr>
      </w:pPr>
      <w:r>
        <w:rPr>
          <w:rFonts w:eastAsia="Calibri" w:cs="Times New Roman"/>
          <w:szCs w:val="24"/>
          <w:lang w:eastAsia="es-ES"/>
        </w:rPr>
        <w:t xml:space="preserve">una proporción del instrumento de cobertura completo, tal como el cincuenta por ciento (50%) del importe nominal, puede ser designado como instrumento de cobertura en una relación de cobertura. Sin embargo, un instrumento de cobertura no puede ser designado por una parte de su cambio en el valor razonable que proceda únicamente de una porción del periodo durante el cual el instrumento de cobertura se mantiene vigente. </w:t>
      </w:r>
    </w:p>
    <w:p w14:paraId="529810F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empresa puede considerar en combinación, y designar de forma conjunta, como el instrumento de cobertura, cualquier combinación de lo siguiente (incluyendo las circunstancias en las que el riesgo o riesgos que surgen de algunos instrumentos de cobertura compensan los que surgen de otros):</w:t>
      </w:r>
    </w:p>
    <w:p w14:paraId="529810FA" w14:textId="77777777" w:rsidR="008748C1" w:rsidRDefault="00000000">
      <w:pPr>
        <w:numPr>
          <w:ilvl w:val="0"/>
          <w:numId w:val="88"/>
        </w:numPr>
        <w:spacing w:before="20" w:after="20" w:line="240" w:lineRule="auto"/>
        <w:jc w:val="both"/>
        <w:rPr>
          <w:rFonts w:eastAsia="Calibri" w:cs="Times New Roman"/>
          <w:szCs w:val="24"/>
          <w:lang w:eastAsia="es-ES"/>
        </w:rPr>
      </w:pPr>
      <w:r>
        <w:rPr>
          <w:rFonts w:eastAsia="Calibri" w:cs="Times New Roman"/>
          <w:szCs w:val="24"/>
          <w:lang w:eastAsia="es-ES"/>
        </w:rPr>
        <w:t>instrumentos financieros derivados o una proporción de estos; e</w:t>
      </w:r>
    </w:p>
    <w:p w14:paraId="529810FB" w14:textId="77777777" w:rsidR="008748C1" w:rsidRDefault="00000000">
      <w:pPr>
        <w:numPr>
          <w:ilvl w:val="0"/>
          <w:numId w:val="88"/>
        </w:numPr>
        <w:spacing w:before="20" w:after="20" w:line="240" w:lineRule="auto"/>
        <w:jc w:val="both"/>
        <w:rPr>
          <w:rFonts w:eastAsia="Calibri" w:cs="Times New Roman"/>
          <w:szCs w:val="24"/>
          <w:lang w:eastAsia="es-ES"/>
        </w:rPr>
      </w:pPr>
      <w:r>
        <w:rPr>
          <w:rFonts w:eastAsia="Calibri" w:cs="Times New Roman"/>
          <w:szCs w:val="24"/>
          <w:lang w:eastAsia="es-ES"/>
        </w:rPr>
        <w:t xml:space="preserve">instrumentos financieros no derivados o una proporción de estos. </w:t>
      </w:r>
    </w:p>
    <w:p w14:paraId="529810F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Sin embargo, un instrumento financiero derivado que combina una opción emitida y una opción comprada (por ejemplo, un contrato que asegure unas tasas de interés mínima y máxima) no cumple los requisitos de un instrumento de cobertura si es, en efecto, una opción emitida neta en la fecha de la designación. De forma análoga dos o más instrumentos (o proporciones de ellos) pueden ser designados conjuntamente como el instrumento de cobertura solo si, en combinación, no son, en efecto, una opción emitida en la fecha de la designación.</w:t>
      </w:r>
    </w:p>
    <w:p w14:paraId="529810FD"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27" w:name="_Toc145670220"/>
      <w:bookmarkStart w:id="328" w:name="_Toc170226236"/>
      <w:r>
        <w:rPr>
          <w:rFonts w:eastAsia="Times New Roman" w:cs="Arial"/>
          <w:b/>
          <w:bCs/>
          <w:szCs w:val="24"/>
          <w:lang w:eastAsia="es-ES"/>
        </w:rPr>
        <w:t>Partidas cubiertas</w:t>
      </w:r>
      <w:bookmarkEnd w:id="327"/>
      <w:bookmarkEnd w:id="328"/>
    </w:p>
    <w:p w14:paraId="529810FE"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Una partida cubierta es una partida en los estados financieros de una empresa que se designa como objeto de cobertura para reducir el riesgo asociado con una exposición particular al riesgo.</w:t>
      </w:r>
    </w:p>
    <w:p w14:paraId="529810F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 La partida cubierta puede ser un activo o un pasivo reconocidos, un compromiso en firme no reconocido, una transacción prevista o una inversión neta en un negocio en el extranjero que está expuesta al riesgo de cambios en el valor razonable o en los flujos de efectivo futuros, y que es causado por una variable específica de riesgo. La variable de riesgo puede ser, por ejemplo, una tasa de interés, un tipo de cambio, un precio de materia prima, un índice bursátil, entre otros.</w:t>
      </w:r>
    </w:p>
    <w:p w14:paraId="5298110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Para que una partida pueda ser designada como partida cubierta, debe cumplir con ciertos requisitos establecidos en la presente sección, incluyendo que la exposición al riesgo debe ser identificable, debe ser capaz de medirse confiablemente y se debe poder documentar. Además, la relación de cobertura entre la partida cubierta y el instrumento de cobertura debe ser efectiva y debe cumplir con los criterios de efectividad de la presente sección.</w:t>
      </w:r>
    </w:p>
    <w:p w14:paraId="52981101" w14:textId="77777777" w:rsidR="008748C1" w:rsidRDefault="00000000">
      <w:pPr>
        <w:keepNext/>
        <w:spacing w:before="240" w:after="120" w:line="240" w:lineRule="auto"/>
        <w:ind w:left="850"/>
        <w:jc w:val="both"/>
        <w:outlineLvl w:val="5"/>
        <w:rPr>
          <w:rFonts w:ascii="Arial" w:eastAsia="Times New Roman" w:hAnsi="Arial" w:cs="Arial"/>
          <w:b/>
          <w:szCs w:val="24"/>
          <w:lang w:eastAsia="es-ES"/>
        </w:rPr>
      </w:pPr>
      <w:r>
        <w:rPr>
          <w:rFonts w:eastAsia="Times New Roman" w:cs="Arial"/>
          <w:b/>
          <w:szCs w:val="24"/>
          <w:lang w:eastAsia="es-ES"/>
        </w:rPr>
        <w:t>Requisitos para la designación de partidas cubiertas:</w:t>
      </w:r>
    </w:p>
    <w:p w14:paraId="5298110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partida cubierta puede ser:</w:t>
      </w:r>
    </w:p>
    <w:p w14:paraId="52981103" w14:textId="77777777" w:rsidR="008748C1" w:rsidRDefault="00000000">
      <w:pPr>
        <w:numPr>
          <w:ilvl w:val="0"/>
          <w:numId w:val="89"/>
        </w:numPr>
        <w:spacing w:before="20" w:after="20" w:line="240" w:lineRule="auto"/>
        <w:jc w:val="both"/>
        <w:rPr>
          <w:rFonts w:eastAsia="Calibri" w:cs="Times New Roman"/>
          <w:szCs w:val="24"/>
          <w:lang w:eastAsia="es-ES"/>
        </w:rPr>
      </w:pPr>
      <w:r>
        <w:rPr>
          <w:rFonts w:eastAsia="Calibri" w:cs="Times New Roman"/>
          <w:szCs w:val="24"/>
          <w:lang w:eastAsia="es-ES"/>
        </w:rPr>
        <w:t>una única partida; o</w:t>
      </w:r>
    </w:p>
    <w:p w14:paraId="52981104" w14:textId="77777777" w:rsidR="008748C1" w:rsidRDefault="00000000">
      <w:pPr>
        <w:numPr>
          <w:ilvl w:val="0"/>
          <w:numId w:val="89"/>
        </w:numPr>
        <w:spacing w:before="20" w:after="20" w:line="240" w:lineRule="auto"/>
        <w:jc w:val="both"/>
        <w:rPr>
          <w:rFonts w:eastAsia="Calibri" w:cs="Times New Roman"/>
          <w:szCs w:val="24"/>
          <w:lang w:eastAsia="es-ES"/>
        </w:rPr>
      </w:pPr>
      <w:r>
        <w:rPr>
          <w:rFonts w:eastAsia="Calibri" w:cs="Times New Roman"/>
          <w:szCs w:val="24"/>
          <w:lang w:eastAsia="es-ES"/>
        </w:rPr>
        <w:lastRenderedPageBreak/>
        <w:t>un grupo de partidas (incluyendo un grupo de partidas que constituye una posición neta</w:t>
      </w:r>
      <w:proofErr w:type="gramStart"/>
      <w:r>
        <w:rPr>
          <w:rFonts w:eastAsia="Calibri" w:cs="Times New Roman"/>
          <w:szCs w:val="24"/>
          <w:lang w:eastAsia="es-ES"/>
        </w:rPr>
        <w:t>),  es</w:t>
      </w:r>
      <w:proofErr w:type="gramEnd"/>
      <w:r>
        <w:rPr>
          <w:rFonts w:eastAsia="Calibri" w:cs="Times New Roman"/>
          <w:szCs w:val="24"/>
          <w:lang w:eastAsia="es-ES"/>
        </w:rPr>
        <w:t xml:space="preserve"> una partida cubierta elegible solo si cumplen los siguientes requisitos:</w:t>
      </w:r>
    </w:p>
    <w:p w14:paraId="52981105" w14:textId="77777777" w:rsidR="008748C1" w:rsidRDefault="00000000">
      <w:pPr>
        <w:numPr>
          <w:ilvl w:val="0"/>
          <w:numId w:val="90"/>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está formado por partidas (incluyendo los componentes de las partidas) que son, individualmente, partidas cubiertas elegibles;</w:t>
      </w:r>
    </w:p>
    <w:p w14:paraId="52981106" w14:textId="77777777" w:rsidR="008748C1" w:rsidRDefault="00000000">
      <w:pPr>
        <w:numPr>
          <w:ilvl w:val="0"/>
          <w:numId w:val="90"/>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las partidas en el grupo se gestionan agrupadas sobre una base de conjunto a efectos de la gestión de riesgos; y</w:t>
      </w:r>
    </w:p>
    <w:p w14:paraId="52981107" w14:textId="77777777" w:rsidR="008748C1" w:rsidRDefault="00000000">
      <w:pPr>
        <w:numPr>
          <w:ilvl w:val="0"/>
          <w:numId w:val="90"/>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 xml:space="preserve">en el caso de una cobertura de flujos de efectivo de un grupo de partidas cuyas variabilidades en los flujos de efectivo no se espera que sean aproximadamente proporcionales a la variabilidad global en los flujos de efectivo del grupo, de forma que surjan posiciones de riesgo compensadas: </w:t>
      </w:r>
    </w:p>
    <w:p w14:paraId="52981108" w14:textId="77777777" w:rsidR="008748C1" w:rsidRDefault="00000000">
      <w:pPr>
        <w:numPr>
          <w:ilvl w:val="1"/>
          <w:numId w:val="90"/>
        </w:numPr>
        <w:spacing w:before="20" w:after="20" w:line="240" w:lineRule="auto"/>
        <w:ind w:left="2126" w:hanging="425"/>
        <w:rPr>
          <w:rFonts w:eastAsia="Times New Roman" w:cs="Times New Roman"/>
          <w:szCs w:val="24"/>
          <w:lang w:eastAsia="es-ES"/>
        </w:rPr>
      </w:pPr>
      <w:r>
        <w:rPr>
          <w:rFonts w:eastAsia="Times New Roman" w:cs="Times New Roman"/>
          <w:szCs w:val="24"/>
          <w:lang w:eastAsia="es-ES"/>
        </w:rPr>
        <w:t>es una cobertura del riesgo de tipo de cambio de la moneda extranjera; y</w:t>
      </w:r>
    </w:p>
    <w:p w14:paraId="52981109" w14:textId="77777777" w:rsidR="008748C1" w:rsidRDefault="00000000">
      <w:pPr>
        <w:numPr>
          <w:ilvl w:val="1"/>
          <w:numId w:val="90"/>
        </w:numPr>
        <w:spacing w:before="20" w:after="20" w:line="240" w:lineRule="auto"/>
        <w:ind w:left="2126" w:hanging="425"/>
        <w:rPr>
          <w:rFonts w:eastAsia="Times New Roman" w:cs="Times New Roman"/>
          <w:szCs w:val="24"/>
          <w:lang w:eastAsia="es-ES"/>
        </w:rPr>
      </w:pPr>
      <w:r>
        <w:rPr>
          <w:rFonts w:eastAsia="Times New Roman" w:cs="Times New Roman"/>
          <w:szCs w:val="24"/>
          <w:lang w:eastAsia="es-ES"/>
        </w:rPr>
        <w:t xml:space="preserve">la designación de esa posición neta especifica el periodo de presentación en el cual las transacciones previstas se espera que afecten al resultado del periodo, así como su naturaleza y volumen. </w:t>
      </w:r>
    </w:p>
    <w:p w14:paraId="5298110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Una partida cubierta puede también ser un componente de esta partida o grupo de partidas.</w:t>
      </w:r>
    </w:p>
    <w:p w14:paraId="5298110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Asimismo:</w:t>
      </w:r>
    </w:p>
    <w:p w14:paraId="5298110C" w14:textId="77777777" w:rsidR="008748C1" w:rsidRDefault="00000000">
      <w:pPr>
        <w:numPr>
          <w:ilvl w:val="0"/>
          <w:numId w:val="91"/>
        </w:numPr>
        <w:spacing w:before="20" w:after="20" w:line="240" w:lineRule="auto"/>
        <w:jc w:val="both"/>
        <w:rPr>
          <w:rFonts w:eastAsia="Calibri" w:cs="Times New Roman"/>
          <w:szCs w:val="24"/>
          <w:lang w:eastAsia="es-ES"/>
        </w:rPr>
      </w:pPr>
      <w:r>
        <w:rPr>
          <w:rFonts w:eastAsia="Calibri" w:cs="Times New Roman"/>
          <w:szCs w:val="24"/>
          <w:lang w:eastAsia="es-ES"/>
        </w:rPr>
        <w:t>La partida cubierta debe ser medible con fiabilidad.</w:t>
      </w:r>
    </w:p>
    <w:p w14:paraId="5298110D" w14:textId="77777777" w:rsidR="008748C1" w:rsidRDefault="00000000">
      <w:pPr>
        <w:numPr>
          <w:ilvl w:val="0"/>
          <w:numId w:val="91"/>
        </w:numPr>
        <w:spacing w:before="20" w:after="20" w:line="240" w:lineRule="auto"/>
        <w:jc w:val="both"/>
        <w:rPr>
          <w:rFonts w:eastAsia="Calibri" w:cs="Times New Roman"/>
          <w:szCs w:val="24"/>
          <w:lang w:eastAsia="es-ES"/>
        </w:rPr>
      </w:pPr>
      <w:r>
        <w:rPr>
          <w:rFonts w:eastAsia="Calibri" w:cs="Times New Roman"/>
          <w:szCs w:val="24"/>
          <w:lang w:eastAsia="es-ES"/>
        </w:rPr>
        <w:t>Si una partida cubierta es una transacción prevista (o un componente de esta), dicha transacción debe ser altamente probable.</w:t>
      </w:r>
    </w:p>
    <w:p w14:paraId="5298110E" w14:textId="77777777" w:rsidR="008748C1" w:rsidRDefault="00000000">
      <w:pPr>
        <w:numPr>
          <w:ilvl w:val="0"/>
          <w:numId w:val="91"/>
        </w:numPr>
        <w:spacing w:before="20" w:after="20" w:line="240" w:lineRule="auto"/>
        <w:jc w:val="both"/>
        <w:rPr>
          <w:rFonts w:eastAsia="Calibri" w:cs="Times New Roman"/>
          <w:szCs w:val="24"/>
          <w:lang w:eastAsia="es-ES"/>
        </w:rPr>
      </w:pPr>
      <w:r>
        <w:rPr>
          <w:rFonts w:eastAsia="Calibri" w:cs="Times New Roman"/>
          <w:szCs w:val="24"/>
          <w:lang w:eastAsia="es-ES"/>
        </w:rPr>
        <w:t>Una exposición agregada formada por una combinación de una exposición que podría cumplir los requisitos de una partida cubierta y un derivado puede ser designada como una partida cubierta. Esto incluye una transacción prevista de una exposición agregada si dicha exposición agregada es altamente probable y, una vez que ha ocurrido, y deja por ello de ser prevista, es elegible como una partida cubierta.</w:t>
      </w:r>
    </w:p>
    <w:p w14:paraId="5298110F" w14:textId="77777777" w:rsidR="008748C1" w:rsidRDefault="00000000">
      <w:pPr>
        <w:numPr>
          <w:ilvl w:val="0"/>
          <w:numId w:val="91"/>
        </w:numPr>
        <w:spacing w:before="20" w:after="20" w:line="240" w:lineRule="auto"/>
        <w:jc w:val="both"/>
        <w:rPr>
          <w:rFonts w:eastAsia="Calibri" w:cs="Times New Roman"/>
          <w:szCs w:val="24"/>
          <w:lang w:eastAsia="es-ES"/>
        </w:rPr>
      </w:pPr>
      <w:r>
        <w:rPr>
          <w:rFonts w:eastAsia="Calibri" w:cs="Times New Roman"/>
          <w:szCs w:val="24"/>
          <w:lang w:eastAsia="es-ES"/>
        </w:rPr>
        <w:t xml:space="preserve">Para los propósitos de la contabilidad de coberturas, solo podrán ser designados como partidas cubiertas, los activos, pasivos, compromisos en firme o las transacciones previstas altamente probables que impliquen a una parte externa a la empresa que informa. </w:t>
      </w:r>
    </w:p>
    <w:p w14:paraId="52981110"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29" w:name="_Toc145670221"/>
      <w:bookmarkStart w:id="330" w:name="_Toc170226237"/>
      <w:r>
        <w:rPr>
          <w:rFonts w:eastAsia="Times New Roman" w:cs="Arial"/>
          <w:b/>
          <w:bCs/>
          <w:szCs w:val="24"/>
          <w:lang w:eastAsia="es-ES"/>
        </w:rPr>
        <w:t>Designación de partidas cubierta</w:t>
      </w:r>
      <w:bookmarkEnd w:id="329"/>
      <w:r>
        <w:rPr>
          <w:rFonts w:eastAsia="Times New Roman" w:cs="Arial"/>
          <w:b/>
          <w:bCs/>
          <w:szCs w:val="24"/>
          <w:lang w:eastAsia="es-ES"/>
        </w:rPr>
        <w:t>s</w:t>
      </w:r>
      <w:bookmarkEnd w:id="330"/>
    </w:p>
    <w:p w14:paraId="5298111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En una relación de cobertura, una empresa puede designar una partida en su totalidad o un componente de esta como la partida cubierta. La totalidad de la partida comprende todos los cambios en los flujos de efectivo o en el valor razonable de dicha partida. Un componente de la partida comprende menos que la totalidad del cambio en el valor razonable o de la variabilidad de los flujos de efectivo de dicha partida. En ese caso, una empresa puede designar solo los siguientes tipos de componentes (incluyendo combinaciones) como partidas cubiertas:</w:t>
      </w:r>
    </w:p>
    <w:p w14:paraId="52981112" w14:textId="77777777" w:rsidR="008748C1" w:rsidRDefault="00000000">
      <w:pPr>
        <w:numPr>
          <w:ilvl w:val="0"/>
          <w:numId w:val="92"/>
        </w:numPr>
        <w:spacing w:before="20" w:after="20" w:line="240" w:lineRule="auto"/>
        <w:jc w:val="both"/>
        <w:rPr>
          <w:rFonts w:eastAsia="Calibri" w:cs="Times New Roman"/>
          <w:szCs w:val="24"/>
          <w:lang w:eastAsia="es-ES"/>
        </w:rPr>
      </w:pPr>
      <w:r>
        <w:rPr>
          <w:rFonts w:eastAsia="Calibri" w:cs="Times New Roman"/>
          <w:szCs w:val="24"/>
          <w:lang w:eastAsia="es-ES"/>
        </w:rPr>
        <w:t>Solo cambios en los flujos de efectivo o en el valor razonable de una partida atribuibles a un riesgo o riesgos específicos (componente de riesgo), siempre que, sobre la base de una evaluación dentro del contexto de la estructura de mercado concreta, el componente de riesgo sea identificable por separado y medible con fiabilidad. Los componentes de riesgo incluyen la designación de solo los cambios en los flujos de efectivo o en el valor razonable de una partida cubierta que estén por encima o por debajo de un precio especificado u otra variable (un riesgo unilateral).</w:t>
      </w:r>
    </w:p>
    <w:p w14:paraId="52981113" w14:textId="77777777" w:rsidR="008748C1" w:rsidRDefault="00000000">
      <w:pPr>
        <w:numPr>
          <w:ilvl w:val="0"/>
          <w:numId w:val="92"/>
        </w:numPr>
        <w:spacing w:before="20" w:after="20" w:line="240" w:lineRule="auto"/>
        <w:jc w:val="both"/>
        <w:rPr>
          <w:rFonts w:eastAsia="Calibri" w:cs="Times New Roman"/>
          <w:szCs w:val="24"/>
          <w:lang w:eastAsia="es-ES"/>
        </w:rPr>
      </w:pPr>
      <w:r>
        <w:rPr>
          <w:rFonts w:eastAsia="Calibri" w:cs="Times New Roman"/>
          <w:szCs w:val="24"/>
          <w:lang w:eastAsia="es-ES"/>
        </w:rPr>
        <w:t>Uno o más flujos de efectivo contractuales seleccionados.</w:t>
      </w:r>
    </w:p>
    <w:p w14:paraId="52981114" w14:textId="77777777" w:rsidR="008748C1" w:rsidRDefault="00000000">
      <w:pPr>
        <w:numPr>
          <w:ilvl w:val="0"/>
          <w:numId w:val="92"/>
        </w:numPr>
        <w:spacing w:before="20" w:after="20" w:line="240" w:lineRule="auto"/>
        <w:jc w:val="both"/>
        <w:rPr>
          <w:rFonts w:eastAsia="Calibri" w:cs="Times New Roman"/>
          <w:szCs w:val="24"/>
          <w:lang w:eastAsia="es-ES"/>
        </w:rPr>
      </w:pPr>
      <w:r>
        <w:rPr>
          <w:rFonts w:eastAsia="Calibri" w:cs="Times New Roman"/>
          <w:szCs w:val="24"/>
          <w:lang w:eastAsia="es-ES"/>
        </w:rPr>
        <w:t xml:space="preserve">Los componentes de un importe nominal, es decir, una parte específica del importe de una partida. </w:t>
      </w:r>
    </w:p>
    <w:p w14:paraId="52981115" w14:textId="77777777" w:rsidR="008748C1" w:rsidRDefault="008748C1">
      <w:pPr>
        <w:spacing w:before="20" w:after="20" w:line="240" w:lineRule="auto"/>
        <w:jc w:val="both"/>
        <w:rPr>
          <w:rFonts w:eastAsia="Calibri" w:cs="Times New Roman"/>
          <w:szCs w:val="24"/>
          <w:lang w:eastAsia="es-ES"/>
        </w:rPr>
      </w:pPr>
    </w:p>
    <w:p w14:paraId="52981116"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31" w:name="_Toc145670222"/>
      <w:bookmarkStart w:id="332" w:name="_Toc170226238"/>
      <w:r>
        <w:rPr>
          <w:rFonts w:eastAsia="Times New Roman" w:cs="Arial"/>
          <w:b/>
          <w:bCs/>
          <w:szCs w:val="24"/>
          <w:lang w:eastAsia="es-ES"/>
        </w:rPr>
        <w:lastRenderedPageBreak/>
        <w:t>Contabilidad de instrumentos financieros derivados con fines de cobertura</w:t>
      </w:r>
      <w:bookmarkEnd w:id="331"/>
      <w:bookmarkEnd w:id="332"/>
    </w:p>
    <w:p w14:paraId="5298111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 medición inicial de un instrumento financiero derivado con fines de cobertura se realizará a su valor razonable. Posteriormente, los cambios en el valor razonable de dicho derivado afectarán los resultados del ejercicio o el patrimonio, según el tipo de cobertura contable que se aplique. </w:t>
      </w:r>
    </w:p>
    <w:p w14:paraId="52981118"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33" w:name="_Toc145670223"/>
      <w:bookmarkStart w:id="334" w:name="_Toc170226239"/>
      <w:r>
        <w:rPr>
          <w:rFonts w:eastAsia="Times New Roman" w:cs="Arial"/>
          <w:b/>
          <w:bCs/>
          <w:szCs w:val="24"/>
          <w:lang w:eastAsia="es-ES"/>
        </w:rPr>
        <w:t>Criterios requeridos para una contabilidad de coberturas</w:t>
      </w:r>
      <w:bookmarkEnd w:id="333"/>
      <w:bookmarkEnd w:id="334"/>
    </w:p>
    <w:p w14:paraId="5298111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Una relación de cobertura cumple los requisitos para una contabilidad de coberturas solo si se cumplen todas las condiciones siguientes:</w:t>
      </w:r>
    </w:p>
    <w:p w14:paraId="5298111A" w14:textId="77777777" w:rsidR="008748C1" w:rsidRDefault="00000000">
      <w:pPr>
        <w:numPr>
          <w:ilvl w:val="0"/>
          <w:numId w:val="93"/>
        </w:numPr>
        <w:spacing w:before="20" w:after="20" w:line="240" w:lineRule="auto"/>
        <w:jc w:val="both"/>
        <w:rPr>
          <w:rFonts w:eastAsia="Calibri" w:cs="Times New Roman"/>
          <w:szCs w:val="24"/>
          <w:lang w:eastAsia="es-ES"/>
        </w:rPr>
      </w:pPr>
      <w:r>
        <w:rPr>
          <w:rFonts w:eastAsia="Calibri" w:cs="Times New Roman"/>
          <w:szCs w:val="24"/>
          <w:lang w:eastAsia="es-ES"/>
        </w:rPr>
        <w:t>La relación de cobertura consta solo de instrumentos de cobertura y partidas cubiertas elegibles.</w:t>
      </w:r>
    </w:p>
    <w:p w14:paraId="5298111B" w14:textId="77777777" w:rsidR="008748C1" w:rsidRDefault="00000000">
      <w:pPr>
        <w:numPr>
          <w:ilvl w:val="0"/>
          <w:numId w:val="93"/>
        </w:numPr>
        <w:spacing w:before="20" w:after="20" w:line="240" w:lineRule="auto"/>
        <w:jc w:val="both"/>
        <w:rPr>
          <w:rFonts w:eastAsia="Calibri" w:cs="Times New Roman"/>
          <w:szCs w:val="24"/>
          <w:lang w:eastAsia="es-ES"/>
        </w:rPr>
      </w:pPr>
      <w:r>
        <w:rPr>
          <w:rFonts w:eastAsia="Calibri" w:cs="Times New Roman"/>
          <w:szCs w:val="24"/>
          <w:lang w:eastAsia="es-ES"/>
        </w:rPr>
        <w:t>Al inicio de la relación de cobertura, debe existir una designación y una documentación formal de la relación de cobertura y del objetivo y estrategia de gestión de riesgos de la empresa para emprender la cobertura. Esa documentación incluirá:</w:t>
      </w:r>
    </w:p>
    <w:p w14:paraId="5298111C"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Objetivo de la cobertura.</w:t>
      </w:r>
    </w:p>
    <w:p w14:paraId="5298111D"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Estrategia de la cobertura aprobada por el Comité correspondiente.</w:t>
      </w:r>
    </w:p>
    <w:p w14:paraId="5298111E"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Identificación y términos del instrumento de cobertura.</w:t>
      </w:r>
    </w:p>
    <w:p w14:paraId="5298111F"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Fecha de designación de la relación de cobertura.</w:t>
      </w:r>
    </w:p>
    <w:p w14:paraId="52981120"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Duración de la cobertura.</w:t>
      </w:r>
    </w:p>
    <w:p w14:paraId="52981121"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Identificación y términos de la partida cubierta.</w:t>
      </w:r>
    </w:p>
    <w:p w14:paraId="52981122"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Naturaleza del riesgo que está siendo cubierto.</w:t>
      </w:r>
    </w:p>
    <w:p w14:paraId="52981123"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Análisis de que el riesgo de crédito no sea significativo en la relación de la cobertura.</w:t>
      </w:r>
    </w:p>
    <w:p w14:paraId="52981124"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Para coberturas sobre un compromiso en firme no reconocido, se debe justificar de que esta transacción sea altamente probable y establecer la fecha que se prevé realizar.</w:t>
      </w:r>
    </w:p>
    <w:p w14:paraId="52981125"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Forma en que la empresa evaluará si la relación de cobertura cumple los requerimientos de eficacia de la cobertura, incluyendo su análisis de las fuentes de ineficacia de la cobertura y cómo determinará la razón de cobertura.</w:t>
      </w:r>
    </w:p>
    <w:p w14:paraId="52981126"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Metodología empleada en la prueba prospectiva, especificando, de ser el caso, los factores de riesgo excluidos de la medición.</w:t>
      </w:r>
    </w:p>
    <w:p w14:paraId="52981127" w14:textId="77777777" w:rsidR="008748C1" w:rsidRDefault="00000000">
      <w:pPr>
        <w:numPr>
          <w:ilvl w:val="0"/>
          <w:numId w:val="9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 xml:space="preserve">Resultados y conclusiones de la prueba de eficacia prospectiva al inicio de la cobertura (incluye determinación </w:t>
      </w:r>
      <w:proofErr w:type="gramStart"/>
      <w:r>
        <w:rPr>
          <w:rFonts w:eastAsia="Times New Roman" w:cs="Times New Roman"/>
          <w:szCs w:val="24"/>
          <w:lang w:eastAsia="es-ES"/>
        </w:rPr>
        <w:t>del ratio</w:t>
      </w:r>
      <w:proofErr w:type="gramEnd"/>
      <w:r>
        <w:rPr>
          <w:rFonts w:eastAsia="Times New Roman" w:cs="Times New Roman"/>
          <w:szCs w:val="24"/>
          <w:lang w:eastAsia="es-ES"/>
        </w:rPr>
        <w:t xml:space="preserve"> de cobertura).</w:t>
      </w:r>
    </w:p>
    <w:p w14:paraId="52981128"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Dentro de un plazo máximo de tres (3) días útiles posteriores a la negociación del instrumento financiero derivado designado y registrado con fines de cobertura, el área de negociación, u otra de similares funciones, deberá documentar la relación de cobertura y el objetivo y la estrategia de gestión. Esta documentación deberá mantenerse a disposición de la Superintendencia. </w:t>
      </w:r>
    </w:p>
    <w:p w14:paraId="5298112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En caso esta Superintendencia considere insatisfactoria la documentación de la estrategia o encuentre debilidades en las metodologías empleadas en las pruebas que hagan peligrar su eficacia, podrá requerir de inmediato la disolución de la estrategia de cobertura y el registro simultáneo del instrumento financiero derivado como con fines de negociación.</w:t>
      </w:r>
    </w:p>
    <w:p w14:paraId="5298112A" w14:textId="77777777" w:rsidR="008748C1" w:rsidRDefault="00000000">
      <w:pPr>
        <w:keepNext/>
        <w:spacing w:before="240" w:after="120" w:line="240" w:lineRule="auto"/>
        <w:ind w:left="850"/>
        <w:jc w:val="both"/>
        <w:outlineLvl w:val="5"/>
        <w:rPr>
          <w:rFonts w:eastAsia="Times New Roman" w:cs="Arial"/>
          <w:b/>
          <w:szCs w:val="24"/>
          <w:lang w:eastAsia="es-ES"/>
        </w:rPr>
      </w:pPr>
      <w:r>
        <w:rPr>
          <w:rFonts w:eastAsia="Times New Roman" w:cs="Arial"/>
          <w:b/>
          <w:szCs w:val="24"/>
          <w:lang w:eastAsia="es-ES"/>
        </w:rPr>
        <w:t>La relación de cobertura cumple con los requisitos de eficacia señalados en esta sección.</w:t>
      </w:r>
    </w:p>
    <w:p w14:paraId="5298112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documentación indicada debe contener la evaluación de los requisitos de eficacia de manera recurrente, en donde, como mínimo, la periodicidad deba coincidir con la presentación de los estados financieros a esta Superintendencia o cuando suceda un hecho significativo en el mercado o en la contraparte (ya sea del instrumento cubierto como del instrumento de cobertura).</w:t>
      </w:r>
    </w:p>
    <w:p w14:paraId="5298112C"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35" w:name="_Toc145670224"/>
      <w:bookmarkStart w:id="336" w:name="_Toc170226240"/>
      <w:r>
        <w:rPr>
          <w:rFonts w:eastAsia="Times New Roman" w:cs="Arial"/>
          <w:b/>
          <w:bCs/>
          <w:szCs w:val="24"/>
          <w:lang w:eastAsia="es-ES"/>
        </w:rPr>
        <w:lastRenderedPageBreak/>
        <w:t>Eficacia de una relación de cobertura</w:t>
      </w:r>
      <w:bookmarkEnd w:id="335"/>
      <w:bookmarkEnd w:id="336"/>
    </w:p>
    <w:p w14:paraId="5298112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eficacia de la cobertura es la medida en que los cambios en el valor razonable o los flujos de efectivo del instrumento de cobertura compensa los cambios en el valor razonable o en los flujos de efectivo de la partida cubierta. Mientras que, la ineficacia de cobertura es la medida en que los cambios en el valor razonable o flujos de efectivo del instrumento de cobertura son mayores o menores que los de la partida cubierta.</w:t>
      </w:r>
    </w:p>
    <w:p w14:paraId="5298112E"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Las empresas deben hacer el análisis al inicio de la eficacia de la relación de cobertura, si cumple los requerimientos de eficacia de la cobertura establecido en el siguiente literal i). Dicha evaluación se relaciona con las expectativas sobre la eficacia de la cobertura, efectuándose de manera prospectiva. Asimismo, las empresas realizarán la evaluación de estos requerimientos de eficacia mensualmente; o se efectuará en el momento de un cambio significativo en las circunstancias que afectan a los requerimientos de la eficacia de la cobertura; lo que ocurra primero.  Para la evaluación de eficacia prospectiva, las empresas utilizarán una metodología que identifique las características relevantes y factores de riesgo de la relación de cobertura incluyendo las fuentes de ineficacia de la cobertura. Dependiendo de esos factores, la metodología puede consistir en una evaluación cuantitativa o cualitativa.      </w:t>
      </w:r>
    </w:p>
    <w:p w14:paraId="5298112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existen cambios en las circunstancias que afectan a la eficacia de la cobertura, las empresas pueden modificar la metodología para evaluar si la relación de cobertura cumple los requerimientos de la eficacia de cobertura. La documentación de la relación de cobertura se debe actualizar por cualquier cambio en la metodología y debe estar a disposición de esta Superintendencia. </w:t>
      </w:r>
    </w:p>
    <w:p w14:paraId="5298113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Además, la Superintendencia puede solicitar a las empresas información complementaria para el análisis de eficacia mencionado en el párrafo anterior en la medida que las pruebas prospectivas no sean suficientes para validar los requerimientos de eficacia de la cobertura, u otras circunstancias que esta Superintendencia estime pertinente. </w:t>
      </w:r>
    </w:p>
    <w:p w14:paraId="52981131" w14:textId="77777777" w:rsidR="008748C1" w:rsidRDefault="00000000">
      <w:pPr>
        <w:keepNext/>
        <w:spacing w:before="240" w:after="120" w:line="240" w:lineRule="auto"/>
        <w:ind w:left="850"/>
        <w:jc w:val="both"/>
        <w:outlineLvl w:val="5"/>
        <w:rPr>
          <w:rFonts w:ascii="Arial" w:eastAsia="Times New Roman" w:hAnsi="Arial" w:cs="Arial"/>
          <w:b/>
          <w:szCs w:val="24"/>
          <w:lang w:eastAsia="es-ES"/>
        </w:rPr>
      </w:pPr>
      <w:r>
        <w:rPr>
          <w:rFonts w:eastAsia="Times New Roman" w:cs="Arial"/>
          <w:b/>
          <w:szCs w:val="24"/>
          <w:lang w:eastAsia="es-ES"/>
        </w:rPr>
        <w:t>Requerimientos de eficacia de cobertura a una cobertura de una posición neta</w:t>
      </w:r>
    </w:p>
    <w:p w14:paraId="5298113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Cuando una empresa cumple los requerimientos de la eficacia de cobertura establecido en la siguiente sección i) “Requisitos de eficacia de una relación de cobertura” al cubrir una posición neta, considerará los cambios de valor en las partidas de la posición neta que tienen un efecto similar que el instrumento de cobertura en combinación con el cambio en el valor razonable sobre el instrumento de cobertura.</w:t>
      </w:r>
    </w:p>
    <w:p w14:paraId="52981133"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37" w:name="_Toc170226241"/>
      <w:bookmarkStart w:id="338" w:name="_Toc145670225"/>
      <w:r>
        <w:rPr>
          <w:rFonts w:eastAsia="Times New Roman" w:cs="Arial"/>
          <w:b/>
          <w:bCs/>
          <w:szCs w:val="24"/>
          <w:lang w:eastAsia="es-ES"/>
        </w:rPr>
        <w:t>Requisitos de eficacia de una relación de cobertura</w:t>
      </w:r>
      <w:bookmarkEnd w:id="337"/>
      <w:bookmarkEnd w:id="338"/>
    </w:p>
    <w:p w14:paraId="5298113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La relación de cobertura debe cumplir todos los requerimientos de eficacia de la cobertura siguientes:</w:t>
      </w:r>
    </w:p>
    <w:p w14:paraId="52981135" w14:textId="77777777" w:rsidR="008748C1" w:rsidRDefault="00000000">
      <w:pPr>
        <w:numPr>
          <w:ilvl w:val="0"/>
          <w:numId w:val="95"/>
        </w:numPr>
        <w:spacing w:before="20" w:after="20" w:line="240" w:lineRule="auto"/>
        <w:jc w:val="both"/>
        <w:rPr>
          <w:rFonts w:eastAsia="Calibri" w:cs="Times New Roman"/>
          <w:szCs w:val="24"/>
          <w:lang w:eastAsia="es-ES"/>
        </w:rPr>
      </w:pPr>
      <w:r>
        <w:rPr>
          <w:rFonts w:eastAsia="Calibri" w:cs="Times New Roman"/>
          <w:szCs w:val="24"/>
          <w:lang w:eastAsia="es-ES"/>
        </w:rPr>
        <w:t xml:space="preserve">Debe existir una relación económica entre la partida cubierta y el instrumento de cobertura. </w:t>
      </w:r>
    </w:p>
    <w:p w14:paraId="52981136"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t>El instrumento de cobertura y la partida cubierta deben tener valores que se mueven, generalmente, en la dirección opuesta debido al mismo riesgo, que es el riesgo cubierto. Por ello, debe haber una expectativa de que el valor del instrumento de cobertura y el valor de la partida cubierta cambiará de forma sistemática en respuesta a movimientos en el mismo subyacente o subyacentes que están económicamente relacionados de tal forma que responden de forma similar al riesgo que está siendo cubierto.</w:t>
      </w:r>
    </w:p>
    <w:p w14:paraId="52981137"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t>Si los subyacentes no son los mismos, pero están relacionados económicamente, puede haber situaciones en las que los valores del instrumento de cobertura y de la partida cubierta se muevan en la misma dirección. Ello aún es congruente con una relación económica entre el instrumento de cobertura y la partida cubierta si los valores del instrumento de cobertura y de la partida cubierta aún se espera que normalmente se muevan en dirección opuesta cuando se muevan los subyacentes.</w:t>
      </w:r>
    </w:p>
    <w:p w14:paraId="52981138" w14:textId="77777777" w:rsidR="008748C1" w:rsidRDefault="00000000">
      <w:pPr>
        <w:spacing w:before="60" w:after="60" w:line="240" w:lineRule="auto"/>
        <w:ind w:left="1276"/>
        <w:jc w:val="both"/>
        <w:rPr>
          <w:rFonts w:eastAsia="Times New Roman" w:cs="Times New Roman"/>
          <w:lang w:eastAsia="es-ES"/>
        </w:rPr>
      </w:pPr>
      <w:r>
        <w:rPr>
          <w:rFonts w:eastAsia="Times New Roman" w:cs="Times New Roman"/>
          <w:lang w:eastAsia="es-ES"/>
        </w:rPr>
        <w:lastRenderedPageBreak/>
        <w:t>Se debe realizar un análisis del comportamiento posible de la relación de cobertura durante su duración para establecer si puede esperarse que esta relación cumpla el objetivo de gestión de riesgos. Con la sola existencia de una correlación estadística entre dos variables no se puede concluir que existe una relación económica.</w:t>
      </w:r>
    </w:p>
    <w:p w14:paraId="52981139" w14:textId="77777777" w:rsidR="008748C1" w:rsidRDefault="00000000">
      <w:pPr>
        <w:numPr>
          <w:ilvl w:val="0"/>
          <w:numId w:val="95"/>
        </w:numPr>
        <w:spacing w:before="20" w:after="20" w:line="240" w:lineRule="auto"/>
        <w:jc w:val="both"/>
        <w:rPr>
          <w:rFonts w:eastAsia="Calibri" w:cs="Times New Roman"/>
          <w:szCs w:val="24"/>
          <w:lang w:eastAsia="es-ES"/>
        </w:rPr>
      </w:pPr>
      <w:r>
        <w:rPr>
          <w:rFonts w:eastAsia="Calibri" w:cs="Times New Roman"/>
          <w:szCs w:val="24"/>
          <w:lang w:eastAsia="es-ES"/>
        </w:rPr>
        <w:t>El efecto del riesgo crediticio no debe predominar sobre los cambios de valor que proceden de esa relación económica.</w:t>
      </w:r>
    </w:p>
    <w:p w14:paraId="5298113A" w14:textId="77777777" w:rsidR="008748C1" w:rsidRDefault="00000000">
      <w:pPr>
        <w:autoSpaceDE w:val="0"/>
        <w:autoSpaceDN w:val="0"/>
        <w:adjustRightInd w:val="0"/>
        <w:spacing w:after="120" w:line="240" w:lineRule="auto"/>
        <w:ind w:left="1276"/>
        <w:jc w:val="both"/>
        <w:rPr>
          <w:rFonts w:eastAsia="Arial Narrow" w:cs="Arial Narrow"/>
          <w:szCs w:val="24"/>
          <w:lang w:eastAsia="es-ES"/>
        </w:rPr>
      </w:pPr>
      <w:r>
        <w:rPr>
          <w:rFonts w:eastAsia="Arial Narrow" w:cs="Arial Narrow"/>
          <w:szCs w:val="24"/>
          <w:lang w:eastAsia="es-ES"/>
        </w:rPr>
        <w:t xml:space="preserve">Puesto que la eficacia de la cobertura se determina por la relación económica entre esas partidas y también por el efecto del riesgo crediticio sobre el valor del instrumento de cobertura y la partida cubierta, el efecto el riesgo crediticio no debe frustrar o neutralizar el efecto de los cambios en los subyacentes sobre el valor del instrumento de cobertura o la partida cubierta. </w:t>
      </w:r>
    </w:p>
    <w:p w14:paraId="5298113B" w14:textId="77777777" w:rsidR="008748C1" w:rsidRDefault="00000000">
      <w:pPr>
        <w:numPr>
          <w:ilvl w:val="0"/>
          <w:numId w:val="95"/>
        </w:numPr>
        <w:spacing w:before="20" w:after="20" w:line="240" w:lineRule="auto"/>
        <w:jc w:val="both"/>
        <w:rPr>
          <w:rFonts w:eastAsia="Calibri" w:cs="Times New Roman"/>
          <w:szCs w:val="24"/>
          <w:lang w:eastAsia="es-ES"/>
        </w:rPr>
      </w:pPr>
      <w:proofErr w:type="gramStart"/>
      <w:r>
        <w:rPr>
          <w:rFonts w:eastAsia="Calibri" w:cs="Times New Roman"/>
          <w:szCs w:val="24"/>
          <w:lang w:eastAsia="es-ES"/>
        </w:rPr>
        <w:t>El ratio</w:t>
      </w:r>
      <w:proofErr w:type="gramEnd"/>
      <w:r>
        <w:rPr>
          <w:rFonts w:eastAsia="Calibri" w:cs="Times New Roman"/>
          <w:szCs w:val="24"/>
          <w:lang w:eastAsia="es-ES"/>
        </w:rPr>
        <w:t xml:space="preserve"> de cobertura de la relación de cobertura debe ser la misma que la procedente de la cantidad de la partida cubierta que la empresa realmente cubre y la cantidad del instrumento de cobertura que la empresa realmente utiliza para cubrir dicha cantidad de la partida cubierta. </w:t>
      </w:r>
    </w:p>
    <w:p w14:paraId="5298113C"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39" w:name="_Toc161817799"/>
      <w:bookmarkStart w:id="340" w:name="_Toc161814611"/>
      <w:bookmarkStart w:id="341" w:name="_Toc170226242"/>
      <w:bookmarkStart w:id="342" w:name="_Toc145670226"/>
      <w:bookmarkEnd w:id="339"/>
      <w:bookmarkEnd w:id="340"/>
      <w:r>
        <w:rPr>
          <w:rFonts w:eastAsia="Times New Roman" w:cs="Arial"/>
          <w:b/>
          <w:bCs/>
          <w:szCs w:val="24"/>
          <w:lang w:eastAsia="es-ES"/>
        </w:rPr>
        <w:t>Contabilización de las relaciones de cobertura que cumplen los requisitos fijados</w:t>
      </w:r>
      <w:bookmarkEnd w:id="341"/>
      <w:bookmarkEnd w:id="342"/>
      <w:r>
        <w:rPr>
          <w:rFonts w:eastAsia="Times New Roman" w:cs="Arial"/>
          <w:b/>
          <w:bCs/>
          <w:szCs w:val="24"/>
          <w:lang w:eastAsia="es-ES"/>
        </w:rPr>
        <w:t xml:space="preserve"> </w:t>
      </w:r>
    </w:p>
    <w:p w14:paraId="5298113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Existen tres tipos de relaciones de cobertura contable: </w:t>
      </w:r>
    </w:p>
    <w:p w14:paraId="5298113E" w14:textId="77777777" w:rsidR="008748C1" w:rsidRDefault="00000000">
      <w:pPr>
        <w:numPr>
          <w:ilvl w:val="0"/>
          <w:numId w:val="96"/>
        </w:numPr>
        <w:spacing w:before="20" w:after="20" w:line="240" w:lineRule="auto"/>
        <w:jc w:val="both"/>
        <w:rPr>
          <w:rFonts w:eastAsia="Calibri" w:cs="Times New Roman"/>
          <w:szCs w:val="24"/>
          <w:lang w:eastAsia="es-ES"/>
        </w:rPr>
      </w:pPr>
      <w:r>
        <w:rPr>
          <w:rFonts w:eastAsia="Calibri" w:cs="Times New Roman"/>
          <w:szCs w:val="24"/>
          <w:lang w:eastAsia="es-ES"/>
        </w:rPr>
        <w:t xml:space="preserve">Cobertura del valor razonable: es una cobertura de la exposición a los cambios en el valor razonable de activos o pasivos reconocidos o de compromisos en firme no reconocidos, o de un componente de estas partidas, que puede atribuirse a un riesgo concreto y puede afectar al resultado del periodo. </w:t>
      </w:r>
    </w:p>
    <w:p w14:paraId="5298113F" w14:textId="77777777" w:rsidR="008748C1" w:rsidRDefault="00000000">
      <w:pPr>
        <w:numPr>
          <w:ilvl w:val="0"/>
          <w:numId w:val="96"/>
        </w:numPr>
        <w:spacing w:before="20" w:after="20" w:line="240" w:lineRule="auto"/>
        <w:jc w:val="both"/>
        <w:rPr>
          <w:rFonts w:eastAsia="Calibri" w:cs="Times New Roman"/>
          <w:szCs w:val="24"/>
          <w:lang w:eastAsia="es-ES"/>
        </w:rPr>
      </w:pPr>
      <w:r>
        <w:rPr>
          <w:rFonts w:eastAsia="Calibri" w:cs="Times New Roman"/>
          <w:szCs w:val="24"/>
          <w:lang w:eastAsia="es-ES"/>
        </w:rPr>
        <w:t xml:space="preserve">Cobertura de flujos de efectivo: es una cobertura de la exposición a la variación de los flujos de efectivo que se atribuye a un riesgo concreto asociado con un activo o pasivo reconocido o un componente de estos (tal como la totalidad o algunos de los pagos futuros de interés de una deuda a interés variable), o a una transacción prevista altamente probable, y que puede afectar al resultado del periodo. </w:t>
      </w:r>
    </w:p>
    <w:p w14:paraId="52981140" w14:textId="77777777" w:rsidR="008748C1" w:rsidRDefault="00000000">
      <w:pPr>
        <w:numPr>
          <w:ilvl w:val="0"/>
          <w:numId w:val="96"/>
        </w:numPr>
        <w:spacing w:before="20" w:after="20" w:line="240" w:lineRule="auto"/>
        <w:jc w:val="both"/>
        <w:rPr>
          <w:rFonts w:eastAsia="Calibri" w:cs="Times New Roman"/>
          <w:szCs w:val="24"/>
          <w:lang w:eastAsia="es-ES"/>
        </w:rPr>
      </w:pPr>
      <w:r>
        <w:rPr>
          <w:rFonts w:eastAsia="Calibri" w:cs="Times New Roman"/>
          <w:szCs w:val="24"/>
          <w:lang w:eastAsia="es-ES"/>
        </w:rPr>
        <w:t>Cobertura de la inversión neta en un negocio en el extranjero: tal como se define en la NIC 21 “Efectos de las variaciones en las tasas de cambio de la moneda extranjera”.</w:t>
      </w:r>
    </w:p>
    <w:p w14:paraId="52981141" w14:textId="77777777" w:rsidR="008748C1" w:rsidRDefault="008748C1">
      <w:pPr>
        <w:spacing w:before="20" w:after="20" w:line="240" w:lineRule="auto"/>
        <w:jc w:val="both"/>
        <w:rPr>
          <w:rFonts w:eastAsia="Calibri" w:cs="Times New Roman"/>
          <w:szCs w:val="24"/>
          <w:lang w:eastAsia="es-ES"/>
        </w:rPr>
      </w:pPr>
    </w:p>
    <w:p w14:paraId="52981142"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43" w:name="_Toc145670227"/>
      <w:bookmarkStart w:id="344" w:name="_Toc170226243"/>
      <w:r>
        <w:rPr>
          <w:rFonts w:eastAsia="Times New Roman" w:cs="Arial"/>
          <w:b/>
          <w:szCs w:val="24"/>
          <w:lang w:eastAsia="es-ES"/>
        </w:rPr>
        <w:t>Coberturas de valor razonable</w:t>
      </w:r>
      <w:bookmarkEnd w:id="343"/>
      <w:bookmarkEnd w:id="344"/>
    </w:p>
    <w:p w14:paraId="5298114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la medida en que una cobertura del valor razonable cumple con los criterios requeridos, la relación de cobertura se contabilizará de la forma siguiente: </w:t>
      </w:r>
    </w:p>
    <w:p w14:paraId="52981144" w14:textId="77777777" w:rsidR="008748C1" w:rsidRDefault="00000000">
      <w:pPr>
        <w:numPr>
          <w:ilvl w:val="0"/>
          <w:numId w:val="97"/>
        </w:numPr>
        <w:spacing w:before="20" w:after="20" w:line="240" w:lineRule="auto"/>
        <w:jc w:val="both"/>
        <w:rPr>
          <w:rFonts w:eastAsia="Calibri" w:cs="Times New Roman"/>
          <w:szCs w:val="24"/>
          <w:lang w:eastAsia="es-ES"/>
        </w:rPr>
      </w:pPr>
      <w:r>
        <w:rPr>
          <w:rFonts w:eastAsia="Calibri" w:cs="Times New Roman"/>
          <w:szCs w:val="24"/>
          <w:lang w:eastAsia="es-ES"/>
        </w:rPr>
        <w:t xml:space="preserve">La ganancia o pérdida sobre el instrumento de cobertura se reconocerá en el resultado del periodo (u otro resultado integral, si el instrumento de cobertura cubre un instrumento de patrimonio para el cual una empresa ha optado por presentar los cambios en el valor razonable en otro resultado integral. </w:t>
      </w:r>
    </w:p>
    <w:p w14:paraId="52981145" w14:textId="77777777" w:rsidR="008748C1" w:rsidRDefault="00000000">
      <w:pPr>
        <w:numPr>
          <w:ilvl w:val="0"/>
          <w:numId w:val="97"/>
        </w:numPr>
        <w:spacing w:before="20" w:after="20" w:line="240" w:lineRule="auto"/>
        <w:jc w:val="both"/>
        <w:rPr>
          <w:rFonts w:eastAsia="Calibri" w:cs="Times New Roman"/>
          <w:szCs w:val="24"/>
          <w:lang w:eastAsia="es-ES"/>
        </w:rPr>
      </w:pPr>
      <w:r>
        <w:rPr>
          <w:rFonts w:eastAsia="Calibri" w:cs="Times New Roman"/>
          <w:szCs w:val="24"/>
          <w:lang w:eastAsia="es-ES"/>
        </w:rPr>
        <w:t>La ganancia o pérdida por cobertura de la partida cubierta ajustará el importe en libros de la partida cubierta (si procede) y se reconocerá en el resultado del periodo. Si la partida cubierta es un activo financiero (o un componente de éste) que se mide a valor razonable con cambios en otro resultado integral, la ganancia o pérdida de cobertura sobre la partida cubierta se reconocerá en el resultado del periodo. Sin embargo, si la partida cubierta es un instrumento de patrimonio para el cual una empresa ha optado por presentar los cambios en el valor razonable en otro resultado integral, dichos importes se mantendrán en el otro resultado integral. Cuando una partida cubierta es un compromiso en firme no reconocido (o un componente de éste), el cambio acumulado en el valor razonable de la partida cubierta posterior a su designación se reconocerá como un activo o un pasivo con la ganancia o pérdida correspondiente reconocida en el resultado del periodo.</w:t>
      </w:r>
    </w:p>
    <w:p w14:paraId="52981146" w14:textId="77777777" w:rsidR="008748C1" w:rsidRDefault="00000000">
      <w:pPr>
        <w:numPr>
          <w:ilvl w:val="0"/>
          <w:numId w:val="97"/>
        </w:numPr>
        <w:spacing w:before="20" w:after="20" w:line="240" w:lineRule="auto"/>
        <w:jc w:val="both"/>
        <w:rPr>
          <w:rFonts w:eastAsia="Calibri" w:cs="Times New Roman"/>
          <w:szCs w:val="24"/>
          <w:lang w:eastAsia="es-ES"/>
        </w:rPr>
      </w:pPr>
      <w:r>
        <w:rPr>
          <w:rFonts w:eastAsia="Calibri" w:cs="Times New Roman"/>
          <w:szCs w:val="24"/>
          <w:lang w:eastAsia="es-ES"/>
        </w:rPr>
        <w:lastRenderedPageBreak/>
        <w:t>Cuando la partida cubierta es un compromiso en firme (o un componente de éste) para adquirir un activo o asumir un pasivo, el importe en libros inicial del activo o pasivo resultante del compromiso en firme, se ajustará para incluir el cambio acumulado en el valor razonable de la partida cubierta que fue reconocido en el estado de situación financiera.</w:t>
      </w:r>
    </w:p>
    <w:p w14:paraId="52981147" w14:textId="77777777" w:rsidR="008748C1" w:rsidRDefault="00000000">
      <w:pPr>
        <w:numPr>
          <w:ilvl w:val="0"/>
          <w:numId w:val="97"/>
        </w:numPr>
        <w:spacing w:before="20" w:after="20" w:line="240" w:lineRule="auto"/>
        <w:jc w:val="both"/>
        <w:rPr>
          <w:rFonts w:eastAsia="Calibri" w:cs="Times New Roman"/>
          <w:szCs w:val="24"/>
          <w:lang w:eastAsia="es-ES"/>
        </w:rPr>
      </w:pPr>
      <w:r>
        <w:rPr>
          <w:rFonts w:eastAsia="Calibri" w:cs="Times New Roman"/>
          <w:szCs w:val="24"/>
          <w:lang w:eastAsia="es-ES"/>
        </w:rPr>
        <w:t xml:space="preserve">Cualquier ajuste que proceda del literal b) se amortizará a través el resultado del </w:t>
      </w:r>
      <w:r>
        <w:rPr>
          <w:rFonts w:eastAsia="Calibri" w:cs="Arial"/>
          <w:szCs w:val="24"/>
          <w:lang w:eastAsia="es-ES"/>
        </w:rPr>
        <w:t>periodo</w:t>
      </w:r>
      <w:r>
        <w:rPr>
          <w:rFonts w:eastAsia="Calibri" w:cs="Times New Roman"/>
          <w:szCs w:val="24"/>
          <w:lang w:eastAsia="es-ES"/>
        </w:rPr>
        <w:t xml:space="preserve"> si la partida cubierta es un instrumento financiero (o un componente de éste) medido al costo amortizado. La amortización puede empezar tan pronto como exista un ajuste, y comenzará no después del momento en que la partida cubierta deje de ser ajustada por las ganancias y pérdidas de cobertura. La amortización se basará en una tasa de interés efectiva, recalculada en la fecha que comience la amortización. En el caso de un activo financiero (o un componente de éste) que sea una partida cubierta y que se mida a valor razonable con cambios en otro resultado integral, la amortización se aplica de la misma forma, pero al importe que representa la ganancia o pérdida acumulada anteriormente reconocida de acuerdo con el literal b), en lugar de ajustando el importe en libros.</w:t>
      </w:r>
    </w:p>
    <w:p w14:paraId="52981148" w14:textId="77777777" w:rsidR="008748C1" w:rsidRDefault="00000000">
      <w:pPr>
        <w:numPr>
          <w:ilvl w:val="0"/>
          <w:numId w:val="97"/>
        </w:numPr>
        <w:spacing w:before="20" w:after="20" w:line="240" w:lineRule="auto"/>
        <w:jc w:val="both"/>
        <w:rPr>
          <w:rFonts w:eastAsia="Calibri" w:cs="Times New Roman"/>
          <w:szCs w:val="24"/>
          <w:lang w:eastAsia="es-ES"/>
        </w:rPr>
      </w:pPr>
      <w:r>
        <w:rPr>
          <w:rFonts w:eastAsia="Calibri" w:cs="Times New Roman"/>
          <w:szCs w:val="24"/>
          <w:lang w:eastAsia="es-ES"/>
        </w:rPr>
        <w:t xml:space="preserve">Si la partida cubierta es un instrumento de patrimonio para el cual una empresa ha elegido presentar cambios en el valor razonable en otro resultado integral, la exposición cubierta a la que se refiere el literal b) debe afectar a otro resultado integral. En ese caso, y solo en ese caso, la ineficacia de cobertura reconocida se presenta en otro resultado integral. </w:t>
      </w:r>
    </w:p>
    <w:p w14:paraId="52981149" w14:textId="77777777" w:rsidR="008748C1" w:rsidRDefault="00000000">
      <w:pPr>
        <w:numPr>
          <w:ilvl w:val="0"/>
          <w:numId w:val="97"/>
        </w:numPr>
        <w:spacing w:before="20" w:after="20" w:line="240" w:lineRule="auto"/>
        <w:jc w:val="both"/>
        <w:rPr>
          <w:rFonts w:eastAsia="Calibri" w:cs="Times New Roman"/>
          <w:szCs w:val="24"/>
          <w:lang w:eastAsia="es-ES"/>
        </w:rPr>
      </w:pPr>
      <w:r>
        <w:rPr>
          <w:rFonts w:eastAsia="Calibri" w:cs="Times New Roman"/>
          <w:szCs w:val="24"/>
          <w:lang w:eastAsia="es-ES"/>
        </w:rPr>
        <w:t>Una cobertura del riesgo de tipo de cambio de la moneda extranjera de un compromiso en firme puede ser contabilizada como una cobertura del valor razonable o como una de flujos de efectivo</w:t>
      </w:r>
    </w:p>
    <w:p w14:paraId="5298114A"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45" w:name="_Toc145670228"/>
      <w:bookmarkStart w:id="346" w:name="_Toc170226244"/>
      <w:r>
        <w:rPr>
          <w:rFonts w:eastAsia="Times New Roman" w:cs="Arial"/>
          <w:b/>
          <w:szCs w:val="24"/>
          <w:lang w:eastAsia="es-ES"/>
        </w:rPr>
        <w:t>Coberturas de flujo de efectivo</w:t>
      </w:r>
      <w:bookmarkEnd w:id="345"/>
      <w:bookmarkEnd w:id="346"/>
    </w:p>
    <w:p w14:paraId="5298114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la medida en que una cobertura de flujos de efectivo cumpla con los criterios requeridos, la relación de cobertura se contabilizará de la forma siguiente: </w:t>
      </w:r>
    </w:p>
    <w:p w14:paraId="5298114C" w14:textId="77777777" w:rsidR="008748C1" w:rsidRDefault="00000000">
      <w:pPr>
        <w:numPr>
          <w:ilvl w:val="0"/>
          <w:numId w:val="98"/>
        </w:numPr>
        <w:spacing w:before="20" w:after="20" w:line="240" w:lineRule="auto"/>
        <w:jc w:val="both"/>
        <w:rPr>
          <w:rFonts w:eastAsia="Calibri" w:cs="Times New Roman"/>
          <w:szCs w:val="24"/>
          <w:lang w:eastAsia="es-ES"/>
        </w:rPr>
      </w:pPr>
      <w:r>
        <w:rPr>
          <w:rFonts w:eastAsia="Calibri" w:cs="Times New Roman"/>
          <w:szCs w:val="24"/>
          <w:lang w:eastAsia="es-ES"/>
        </w:rPr>
        <w:t xml:space="preserve">El componente separado de patrimonio asociado con la partida cubierta (reserva de cobertura de flujos de efectivo) se ajustará para que sea el menor de (en términos absolutos): </w:t>
      </w:r>
    </w:p>
    <w:p w14:paraId="5298114D" w14:textId="77777777" w:rsidR="008748C1" w:rsidRDefault="00000000">
      <w:pPr>
        <w:numPr>
          <w:ilvl w:val="0"/>
          <w:numId w:val="99"/>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el resultado acumulado del instrumento de cobertura desde el inicio de la cobertura;</w:t>
      </w:r>
    </w:p>
    <w:p w14:paraId="5298114E" w14:textId="77777777" w:rsidR="008748C1" w:rsidRDefault="00000000">
      <w:pPr>
        <w:numPr>
          <w:ilvl w:val="0"/>
          <w:numId w:val="99"/>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el cambio acumulado en el valor razonable (valor actual) de la partida cubierta (es decir, el valor presente del cambio acumulado en los flujos de efectivo futuros esperados cubiertos) desde el inicio de la cobertura. </w:t>
      </w:r>
    </w:p>
    <w:p w14:paraId="5298114F" w14:textId="77777777" w:rsidR="008748C1" w:rsidRDefault="00000000">
      <w:pPr>
        <w:numPr>
          <w:ilvl w:val="0"/>
          <w:numId w:val="98"/>
        </w:numPr>
        <w:spacing w:before="20" w:after="20" w:line="240" w:lineRule="auto"/>
        <w:jc w:val="both"/>
        <w:rPr>
          <w:rFonts w:eastAsia="Calibri" w:cs="Times New Roman"/>
          <w:szCs w:val="24"/>
          <w:lang w:eastAsia="es-ES"/>
        </w:rPr>
      </w:pPr>
      <w:r>
        <w:rPr>
          <w:rFonts w:eastAsia="Calibri" w:cs="Times New Roman"/>
          <w:szCs w:val="24"/>
          <w:lang w:eastAsia="es-ES"/>
        </w:rPr>
        <w:t xml:space="preserve">La parte de la ganancia o pérdida sobre el instrumento de cobertura que se haya determinado como cobertura efectiva se reconocerá en otro resultado integral. </w:t>
      </w:r>
    </w:p>
    <w:p w14:paraId="52981150" w14:textId="77777777" w:rsidR="008748C1" w:rsidRDefault="00000000">
      <w:pPr>
        <w:numPr>
          <w:ilvl w:val="0"/>
          <w:numId w:val="98"/>
        </w:numPr>
        <w:spacing w:before="20" w:after="20" w:line="240" w:lineRule="auto"/>
        <w:jc w:val="both"/>
        <w:rPr>
          <w:rFonts w:eastAsia="Calibri" w:cs="Times New Roman"/>
          <w:szCs w:val="24"/>
          <w:lang w:eastAsia="es-ES"/>
        </w:rPr>
      </w:pPr>
      <w:r>
        <w:rPr>
          <w:rFonts w:eastAsia="Calibri" w:cs="Times New Roman"/>
          <w:szCs w:val="24"/>
          <w:lang w:eastAsia="es-ES"/>
        </w:rPr>
        <w:t xml:space="preserve">Cualquier ganancia o pérdida restante en el instrumento de cobertura es ineficacia de cobertura que se reconocerá en el resultado del periodo. </w:t>
      </w:r>
    </w:p>
    <w:p w14:paraId="52981151" w14:textId="77777777" w:rsidR="008748C1" w:rsidRDefault="00000000">
      <w:pPr>
        <w:numPr>
          <w:ilvl w:val="0"/>
          <w:numId w:val="98"/>
        </w:numPr>
        <w:spacing w:before="20" w:after="20" w:line="240" w:lineRule="auto"/>
        <w:jc w:val="both"/>
        <w:rPr>
          <w:rFonts w:eastAsia="Arial Narrow" w:cs="Arial Narrow"/>
          <w:szCs w:val="24"/>
          <w:lang w:eastAsia="es-ES"/>
        </w:rPr>
      </w:pPr>
      <w:r>
        <w:rPr>
          <w:rFonts w:eastAsia="Calibri" w:cs="Times New Roman"/>
          <w:szCs w:val="24"/>
          <w:lang w:eastAsia="es-ES"/>
        </w:rPr>
        <w:t>El importe que se ha acumulado en la reserva de cobertura de flujo de efectivo se contabilizará de</w:t>
      </w:r>
      <w:r>
        <w:rPr>
          <w:rFonts w:eastAsia="Arial Narrow" w:cs="Arial Narrow"/>
          <w:szCs w:val="24"/>
          <w:lang w:eastAsia="es-ES"/>
        </w:rPr>
        <w:t xml:space="preserve"> la forma siguiente: </w:t>
      </w:r>
    </w:p>
    <w:p w14:paraId="52981152" w14:textId="77777777" w:rsidR="008748C1" w:rsidRDefault="00000000">
      <w:pPr>
        <w:numPr>
          <w:ilvl w:val="0"/>
          <w:numId w:val="100"/>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Si una transacción prevista cubierta posteriormente da lugar al reconocimiento de un activo no financiero o un pasivo no financiero, o una transacción prevista cubierta para un activo no financiero o un pasivo no financiero pasa a ser un compromiso en firme para el cual se aplica la contabilidad de cobertura del valor razonable, la empresa eliminará ese importe de la reserva de cobertura de flujos de efectivo y lo incluirá directamente en el costo inicial u otro importe del activo o del pasivo. Esto no es un ajuste por reclasificación y, por lo tanto, no afecta al otro resultado integral. </w:t>
      </w:r>
    </w:p>
    <w:p w14:paraId="52981153" w14:textId="77777777" w:rsidR="008748C1" w:rsidRDefault="00000000">
      <w:pPr>
        <w:numPr>
          <w:ilvl w:val="0"/>
          <w:numId w:val="100"/>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Para coberturas de flujo de efectivo distintas de las cubiertas por (i), ese importe se reclasificará de la reserva de cobertura de flujos de efectivo al resultado del periodo como un ajuste por reclasificación en el mismo periodo o periodos durante los cuales los flujos de efectivo futuros esperados cubiertos afecten al resultado del periodo (por ejemplo, en los </w:t>
      </w:r>
      <w:r>
        <w:rPr>
          <w:rFonts w:eastAsia="Times New Roman" w:cs="Times New Roman"/>
          <w:szCs w:val="24"/>
          <w:lang w:eastAsia="es-ES"/>
        </w:rPr>
        <w:lastRenderedPageBreak/>
        <w:t xml:space="preserve">periodos en que el ingreso por intereses o gasto por intereses se reconoce o cuando tiene lugar una venta prevista). </w:t>
      </w:r>
    </w:p>
    <w:p w14:paraId="52981154" w14:textId="77777777" w:rsidR="008748C1" w:rsidRDefault="00000000">
      <w:pPr>
        <w:numPr>
          <w:ilvl w:val="0"/>
          <w:numId w:val="100"/>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Sin embargo, si ese importe es una pérdida y una empresa espera que toda o parte de esta no se recupere en uno o más periodos futuros, se reclasificará inmediatamente al resultado del periodo el importe que no se espera recuperar como un ajuste por reclasificación. </w:t>
      </w:r>
    </w:p>
    <w:p w14:paraId="52981155"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47" w:name="_Toc170226245"/>
      <w:bookmarkStart w:id="348" w:name="_Toc145670229"/>
      <w:r>
        <w:rPr>
          <w:rFonts w:eastAsia="Times New Roman" w:cs="Arial"/>
          <w:b/>
          <w:szCs w:val="24"/>
          <w:lang w:eastAsia="es-ES"/>
        </w:rPr>
        <w:t>Coberturas de una inversión neta en negocio en el extranjero</w:t>
      </w:r>
      <w:bookmarkEnd w:id="347"/>
      <w:bookmarkEnd w:id="348"/>
    </w:p>
    <w:p w14:paraId="5298115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Las coberturas de una inversión neta en un negocio en el extranjero, incluyendo la cobertura de una partida monetaria que se contabilice como parte de una inversión neta, se contabilizarán de manera similar a las coberturas de flujo de efectivo: </w:t>
      </w:r>
    </w:p>
    <w:p w14:paraId="52981157" w14:textId="77777777" w:rsidR="008748C1" w:rsidRDefault="00000000">
      <w:pPr>
        <w:numPr>
          <w:ilvl w:val="0"/>
          <w:numId w:val="101"/>
        </w:numPr>
        <w:spacing w:before="20" w:after="20" w:line="240" w:lineRule="auto"/>
        <w:jc w:val="both"/>
        <w:rPr>
          <w:rFonts w:eastAsia="Calibri" w:cs="Times New Roman"/>
          <w:szCs w:val="24"/>
          <w:lang w:eastAsia="es-ES"/>
        </w:rPr>
      </w:pPr>
      <w:r>
        <w:rPr>
          <w:rFonts w:eastAsia="Calibri" w:cs="Times New Roman"/>
          <w:szCs w:val="24"/>
          <w:lang w:eastAsia="es-ES"/>
        </w:rPr>
        <w:t xml:space="preserve">la parte de la ganancia o pérdida en el instrumento de cobertura que se considera que es una cobertura efectiva se reconocerá en otro resultado integral; y </w:t>
      </w:r>
    </w:p>
    <w:p w14:paraId="52981158" w14:textId="77777777" w:rsidR="008748C1" w:rsidRDefault="00000000">
      <w:pPr>
        <w:numPr>
          <w:ilvl w:val="0"/>
          <w:numId w:val="101"/>
        </w:numPr>
        <w:spacing w:before="20" w:after="20" w:line="240" w:lineRule="auto"/>
        <w:jc w:val="both"/>
        <w:rPr>
          <w:rFonts w:eastAsia="Calibri" w:cs="Times New Roman"/>
          <w:szCs w:val="24"/>
          <w:lang w:eastAsia="es-ES"/>
        </w:rPr>
      </w:pPr>
      <w:r>
        <w:rPr>
          <w:rFonts w:eastAsia="Calibri" w:cs="Times New Roman"/>
          <w:szCs w:val="24"/>
          <w:lang w:eastAsia="es-ES"/>
        </w:rPr>
        <w:t>la parte ineficaz se reconocerá en el resultado del periodo.</w:t>
      </w:r>
    </w:p>
    <w:p w14:paraId="52981159"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49" w:name="_Toc164102771"/>
      <w:bookmarkStart w:id="350" w:name="_Toc164102999"/>
      <w:bookmarkStart w:id="351" w:name="_Toc164103225"/>
      <w:bookmarkStart w:id="352" w:name="_Toc161817804"/>
      <w:bookmarkStart w:id="353" w:name="_Toc164103451"/>
      <w:bookmarkStart w:id="354" w:name="_Toc161814616"/>
      <w:bookmarkStart w:id="355" w:name="_Toc145670230"/>
      <w:bookmarkStart w:id="356" w:name="_Toc170226246"/>
      <w:bookmarkEnd w:id="349"/>
      <w:bookmarkEnd w:id="350"/>
      <w:bookmarkEnd w:id="351"/>
      <w:bookmarkEnd w:id="352"/>
      <w:bookmarkEnd w:id="353"/>
      <w:bookmarkEnd w:id="354"/>
      <w:r>
        <w:rPr>
          <w:rFonts w:eastAsia="Times New Roman" w:cs="Arial"/>
          <w:b/>
          <w:bCs/>
          <w:szCs w:val="24"/>
          <w:lang w:eastAsia="es-ES"/>
        </w:rPr>
        <w:t>Criterios para el monitoreo del rebalanceo (reequilibrio) de la cobertura</w:t>
      </w:r>
      <w:bookmarkEnd w:id="355"/>
      <w:bookmarkEnd w:id="356"/>
      <w:r>
        <w:rPr>
          <w:rFonts w:eastAsia="Times New Roman" w:cs="Arial"/>
          <w:b/>
          <w:bCs/>
          <w:szCs w:val="24"/>
          <w:lang w:eastAsia="es-ES"/>
        </w:rPr>
        <w:t xml:space="preserve">  </w:t>
      </w:r>
    </w:p>
    <w:p w14:paraId="5298115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una relación de cobertura cesa de cumplir con los requerimientos de eficacia de cobertura referentes </w:t>
      </w:r>
      <w:proofErr w:type="gramStart"/>
      <w:r>
        <w:rPr>
          <w:rFonts w:eastAsia="Times New Roman" w:cs="Times New Roman"/>
          <w:lang w:eastAsia="es-ES"/>
        </w:rPr>
        <w:t>al ratio</w:t>
      </w:r>
      <w:proofErr w:type="gramEnd"/>
      <w:r>
        <w:rPr>
          <w:rFonts w:eastAsia="Times New Roman" w:cs="Times New Roman"/>
          <w:lang w:eastAsia="es-ES"/>
        </w:rPr>
        <w:t xml:space="preserve"> de cobertura, pero los objetivos de gestión de riesgos designados para dicha relación de cobertura de riesgo se mantienen, una empresa puede ajustar </w:t>
      </w:r>
      <w:proofErr w:type="gramStart"/>
      <w:r>
        <w:rPr>
          <w:rFonts w:eastAsia="Times New Roman" w:cs="Times New Roman"/>
          <w:lang w:eastAsia="es-ES"/>
        </w:rPr>
        <w:t>el ratio</w:t>
      </w:r>
      <w:proofErr w:type="gramEnd"/>
      <w:r>
        <w:rPr>
          <w:rFonts w:eastAsia="Times New Roman" w:cs="Times New Roman"/>
          <w:lang w:eastAsia="es-ES"/>
        </w:rPr>
        <w:t xml:space="preserve"> de cobertura de la mencionada relación de cobertura, de tal manera que cumpla nuevamente con los criterios de eficacia de cobertura.</w:t>
      </w:r>
    </w:p>
    <w:p w14:paraId="5298115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El rebalanceo se refiere a los ajustes a las cantidades de la partida cubierta o el instrumento de cobertura designados en una relación de cobertura existente, con el propósito de mantener </w:t>
      </w:r>
      <w:proofErr w:type="gramStart"/>
      <w:r>
        <w:rPr>
          <w:rFonts w:eastAsia="Times New Roman" w:cs="Times New Roman"/>
          <w:lang w:eastAsia="es-ES"/>
        </w:rPr>
        <w:t>el ratio</w:t>
      </w:r>
      <w:proofErr w:type="gramEnd"/>
      <w:r>
        <w:rPr>
          <w:rFonts w:eastAsia="Times New Roman" w:cs="Times New Roman"/>
          <w:lang w:eastAsia="es-ES"/>
        </w:rPr>
        <w:t xml:space="preserve"> de cobertura que cumpla con los requerimientos de eficacia de cobertura. </w:t>
      </w:r>
    </w:p>
    <w:p w14:paraId="5298115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El rebalanceo permitirá la continuación de una relación de cobertura en situaciones en las cuales la relación entre el instrumento de cobertura y la partida cubierta cambia de un modo que puede compensarse mediante el ajuste </w:t>
      </w:r>
      <w:proofErr w:type="gramStart"/>
      <w:r>
        <w:rPr>
          <w:rFonts w:eastAsia="Times New Roman" w:cs="Times New Roman"/>
          <w:lang w:eastAsia="es-ES"/>
        </w:rPr>
        <w:t>del ratio</w:t>
      </w:r>
      <w:proofErr w:type="gramEnd"/>
      <w:r>
        <w:rPr>
          <w:rFonts w:eastAsia="Times New Roman" w:cs="Times New Roman"/>
          <w:lang w:eastAsia="es-ES"/>
        </w:rPr>
        <w:t xml:space="preserve"> de cobertura.</w:t>
      </w:r>
    </w:p>
    <w:p w14:paraId="5298115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El rebalanceo solo es posible en las siguientes circunstancias:</w:t>
      </w:r>
    </w:p>
    <w:p w14:paraId="5298115E" w14:textId="77777777" w:rsidR="008748C1" w:rsidRDefault="00000000">
      <w:pPr>
        <w:numPr>
          <w:ilvl w:val="0"/>
          <w:numId w:val="102"/>
        </w:numPr>
        <w:spacing w:before="20" w:after="20" w:line="240" w:lineRule="auto"/>
        <w:jc w:val="both"/>
        <w:rPr>
          <w:rFonts w:eastAsia="Calibri" w:cs="Times New Roman"/>
          <w:szCs w:val="24"/>
          <w:lang w:eastAsia="es-ES"/>
        </w:rPr>
      </w:pPr>
      <w:r>
        <w:rPr>
          <w:rFonts w:eastAsia="Calibri" w:cs="Times New Roman"/>
          <w:szCs w:val="24"/>
          <w:lang w:eastAsia="es-ES"/>
        </w:rPr>
        <w:t xml:space="preserve">Si una relación de cobertura deja de cumplir el requerimiento de eficacia relativo al ratio de cobertura, pero el objetivo de gestión de riesgo para esa relación se mantiene invariable, la empresa ajustará </w:t>
      </w:r>
      <w:proofErr w:type="gramStart"/>
      <w:r>
        <w:rPr>
          <w:rFonts w:eastAsia="Calibri" w:cs="Times New Roman"/>
          <w:szCs w:val="24"/>
          <w:lang w:eastAsia="es-ES"/>
        </w:rPr>
        <w:t>el ratio</w:t>
      </w:r>
      <w:proofErr w:type="gramEnd"/>
      <w:r>
        <w:rPr>
          <w:rFonts w:eastAsia="Calibri" w:cs="Times New Roman"/>
          <w:szCs w:val="24"/>
          <w:lang w:eastAsia="es-ES"/>
        </w:rPr>
        <w:t xml:space="preserve"> de cobertura de la relación de cobertura de forma que cumpla de nuevo los criterios requeridos.</w:t>
      </w:r>
    </w:p>
    <w:p w14:paraId="5298115F" w14:textId="77777777" w:rsidR="008748C1" w:rsidRDefault="00000000">
      <w:pPr>
        <w:numPr>
          <w:ilvl w:val="0"/>
          <w:numId w:val="102"/>
        </w:numPr>
        <w:spacing w:before="20" w:after="20" w:line="240" w:lineRule="auto"/>
        <w:jc w:val="both"/>
        <w:rPr>
          <w:rFonts w:eastAsia="Calibri" w:cs="Times New Roman"/>
          <w:szCs w:val="24"/>
          <w:lang w:eastAsia="es-ES"/>
        </w:rPr>
      </w:pPr>
      <w:r>
        <w:rPr>
          <w:rFonts w:eastAsia="Calibri" w:cs="Times New Roman"/>
          <w:szCs w:val="24"/>
          <w:lang w:eastAsia="es-ES"/>
        </w:rPr>
        <w:t xml:space="preserve">En el momento del rebalanceo, la ineficacia de cobertura de la relación de cobertura se determina y reconoce de forma inmediata antes de ajustar la relación de cobertura.  </w:t>
      </w:r>
    </w:p>
    <w:p w14:paraId="52981160" w14:textId="77777777" w:rsidR="008748C1" w:rsidRDefault="00000000">
      <w:pPr>
        <w:numPr>
          <w:ilvl w:val="0"/>
          <w:numId w:val="102"/>
        </w:numPr>
        <w:spacing w:before="20" w:after="20" w:line="240" w:lineRule="auto"/>
        <w:jc w:val="both"/>
        <w:rPr>
          <w:rFonts w:eastAsia="Calibri" w:cs="Times New Roman"/>
          <w:szCs w:val="24"/>
          <w:lang w:eastAsia="es-ES"/>
        </w:rPr>
      </w:pPr>
      <w:r>
        <w:rPr>
          <w:rFonts w:eastAsia="Calibri" w:cs="Times New Roman"/>
          <w:szCs w:val="24"/>
          <w:lang w:eastAsia="es-ES"/>
        </w:rPr>
        <w:t xml:space="preserve">El rebalanceo solo cubre ajustes en las cantidades designadas de la partida cubierta o del instrumento de cobertura, a efectos de mantener </w:t>
      </w:r>
      <w:proofErr w:type="gramStart"/>
      <w:r>
        <w:rPr>
          <w:rFonts w:eastAsia="Calibri" w:cs="Times New Roman"/>
          <w:szCs w:val="24"/>
          <w:lang w:eastAsia="es-ES"/>
        </w:rPr>
        <w:t>un ratio</w:t>
      </w:r>
      <w:proofErr w:type="gramEnd"/>
      <w:r>
        <w:rPr>
          <w:rFonts w:eastAsia="Calibri" w:cs="Times New Roman"/>
          <w:szCs w:val="24"/>
          <w:lang w:eastAsia="es-ES"/>
        </w:rPr>
        <w:t xml:space="preserve"> de cobertura que cumpla con los requerimientos de la evaluación de la eficacia.</w:t>
      </w:r>
    </w:p>
    <w:p w14:paraId="5298116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la empresa efectúa el rebalanceo de la relación de cobertura, deberá contar con la documentación sustento que justifique el reequilibrio en las cantidades designadas; y en caso se requiera, tenerla a disposición de la Superintendencia. Como mínimo, la empresa deberá de contar con: i) la documentación inicial sobre la cobertura (objetivo y estrategia de gestión de riesgo, detalles del instrumento de cobertura, partida cubierta y naturaleza del riesgo cubierto, así como la evaluación y cálculos de la eficacia inicial de la cobertura), </w:t>
      </w:r>
      <w:proofErr w:type="spellStart"/>
      <w:r>
        <w:rPr>
          <w:rFonts w:eastAsia="Times New Roman" w:cs="Times New Roman"/>
          <w:lang w:eastAsia="es-ES"/>
        </w:rPr>
        <w:t>ii</w:t>
      </w:r>
      <w:proofErr w:type="spellEnd"/>
      <w:r>
        <w:rPr>
          <w:rFonts w:eastAsia="Times New Roman" w:cs="Times New Roman"/>
          <w:lang w:eastAsia="es-ES"/>
        </w:rPr>
        <w:t xml:space="preserve">) cálculo y registro del ajuste efectuado </w:t>
      </w:r>
      <w:proofErr w:type="gramStart"/>
      <w:r>
        <w:rPr>
          <w:rFonts w:eastAsia="Times New Roman" w:cs="Times New Roman"/>
          <w:lang w:eastAsia="es-ES"/>
        </w:rPr>
        <w:t>al ratio</w:t>
      </w:r>
      <w:proofErr w:type="gramEnd"/>
      <w:r>
        <w:rPr>
          <w:rFonts w:eastAsia="Times New Roman" w:cs="Times New Roman"/>
          <w:lang w:eastAsia="es-ES"/>
        </w:rPr>
        <w:t xml:space="preserve"> de cobertura y </w:t>
      </w:r>
      <w:proofErr w:type="spellStart"/>
      <w:r>
        <w:rPr>
          <w:rFonts w:eastAsia="Times New Roman" w:cs="Times New Roman"/>
          <w:lang w:eastAsia="es-ES"/>
        </w:rPr>
        <w:t>iii</w:t>
      </w:r>
      <w:proofErr w:type="spellEnd"/>
      <w:r>
        <w:rPr>
          <w:rFonts w:eastAsia="Times New Roman" w:cs="Times New Roman"/>
          <w:lang w:eastAsia="es-ES"/>
        </w:rPr>
        <w:t xml:space="preserve">) exposición de motivos de como el ajuste efectuado aún cumple con el objetivo y la estrategia de gestión de riesgos </w:t>
      </w:r>
      <w:bookmarkStart w:id="357" w:name="_Int_enr9ODdf"/>
      <w:bookmarkStart w:id="358" w:name="_Int_fdlEeu9z"/>
      <w:bookmarkEnd w:id="357"/>
      <w:bookmarkEnd w:id="358"/>
    </w:p>
    <w:p w14:paraId="52981162"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59" w:name="_Toc145670231"/>
      <w:bookmarkStart w:id="360" w:name="_Toc170226247"/>
      <w:r>
        <w:rPr>
          <w:rFonts w:eastAsia="Times New Roman" w:cs="Arial"/>
          <w:b/>
          <w:bCs/>
          <w:szCs w:val="24"/>
          <w:lang w:eastAsia="es-ES"/>
        </w:rPr>
        <w:t>Discontinuidad de la contabilidad de cobertura</w:t>
      </w:r>
      <w:bookmarkEnd w:id="359"/>
      <w:bookmarkEnd w:id="360"/>
    </w:p>
    <w:p w14:paraId="52981163" w14:textId="77777777" w:rsidR="008748C1" w:rsidRDefault="00000000">
      <w:pPr>
        <w:numPr>
          <w:ilvl w:val="0"/>
          <w:numId w:val="103"/>
        </w:numPr>
        <w:spacing w:before="20" w:after="20" w:line="240" w:lineRule="auto"/>
        <w:jc w:val="both"/>
        <w:rPr>
          <w:rFonts w:eastAsia="Calibri" w:cs="Times New Roman"/>
          <w:szCs w:val="24"/>
          <w:lang w:eastAsia="es-ES"/>
        </w:rPr>
      </w:pPr>
      <w:r>
        <w:rPr>
          <w:rFonts w:eastAsia="Calibri" w:cs="Times New Roman"/>
          <w:szCs w:val="24"/>
          <w:lang w:eastAsia="es-ES"/>
        </w:rPr>
        <w:t xml:space="preserve">No se puede discontinuar voluntariamente la relación de cobertura cuando el objetivo de la gestión del riesgo sigue siendo todavía el mismo. Siempre que se mantenga la relación económica entre </w:t>
      </w:r>
      <w:r>
        <w:rPr>
          <w:rFonts w:eastAsia="Calibri" w:cs="Times New Roman"/>
          <w:szCs w:val="24"/>
          <w:lang w:eastAsia="es-ES"/>
        </w:rPr>
        <w:lastRenderedPageBreak/>
        <w:t xml:space="preserve">la partida cubierta y el instrumento de cobertura, no se cancelará la contabilidad de cobertura hasta que el instrumento expire, se venda, se resuelva o se ejerza.  </w:t>
      </w:r>
    </w:p>
    <w:p w14:paraId="52981164" w14:textId="77777777" w:rsidR="008748C1" w:rsidRDefault="00000000">
      <w:pPr>
        <w:numPr>
          <w:ilvl w:val="0"/>
          <w:numId w:val="103"/>
        </w:numPr>
        <w:spacing w:before="20" w:after="20" w:line="240" w:lineRule="auto"/>
        <w:jc w:val="both"/>
        <w:rPr>
          <w:rFonts w:eastAsia="Calibri" w:cs="Times New Roman"/>
          <w:szCs w:val="24"/>
          <w:lang w:eastAsia="es-ES"/>
        </w:rPr>
      </w:pPr>
      <w:r>
        <w:rPr>
          <w:rFonts w:eastAsia="Calibri" w:cs="Times New Roman"/>
          <w:szCs w:val="24"/>
          <w:lang w:eastAsia="es-ES"/>
        </w:rPr>
        <w:t>Una empresa discontinuará la contabilidad de coberturas de forma prospectiva solo cuando la relación de cobertura (o una parte de ella) deje de cumplir los criterios requeridos, después de tener en cuenta cualquier tipo de reequilibrio. A este efecto, la sustitución o la renovación sucesiva de un instrumento de cobertura por otro no es una expiración o resolución si dicha sustitución o renovación es parte del objetivo de gestión de riesgos documentado de la empresa y es congruente con este. Además, a estos efectos, no existirá expiración o resolución del instrumento de cobertura si:</w:t>
      </w:r>
    </w:p>
    <w:p w14:paraId="52981165" w14:textId="77777777" w:rsidR="008748C1" w:rsidRDefault="00000000">
      <w:pPr>
        <w:numPr>
          <w:ilvl w:val="0"/>
          <w:numId w:val="10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Como consecuencia de leyes, regulaciones o la introducción de estas, las partes del instrumento de cobertura acuerdan que una o más partes compensadoras sustituyan su contraparte original para pasar a ser la nueva contraparte de cada una de las partes.</w:t>
      </w:r>
    </w:p>
    <w:p w14:paraId="52981166" w14:textId="77777777" w:rsidR="008748C1" w:rsidRDefault="00000000">
      <w:pPr>
        <w:numPr>
          <w:ilvl w:val="0"/>
          <w:numId w:val="104"/>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Otros cambios, si los hubiera, en el instrumento de cobertura se limitan a los que sea necesario para efectuar esta sustitución de la contraparte. Estos cambios se limitan a los que sean congruentes con los términos que se esperarían si el instrumento fuera compensado originalmente con la contraparte compensadora. Estos cambios incluyen modificaciones en los requerimientos de garantías colaterales, derechos de compensación de saldos de cuentas a cobrar y pagar, y cargos impuestos.</w:t>
      </w:r>
    </w:p>
    <w:p w14:paraId="52981167" w14:textId="77777777" w:rsidR="008748C1" w:rsidRDefault="00000000">
      <w:pPr>
        <w:numPr>
          <w:ilvl w:val="0"/>
          <w:numId w:val="103"/>
        </w:numPr>
        <w:spacing w:before="20" w:after="20" w:line="240" w:lineRule="auto"/>
        <w:jc w:val="both"/>
        <w:rPr>
          <w:rFonts w:eastAsia="Calibri" w:cs="Times New Roman"/>
          <w:szCs w:val="24"/>
          <w:lang w:eastAsia="es-ES"/>
        </w:rPr>
      </w:pPr>
      <w:r>
        <w:rPr>
          <w:rFonts w:eastAsia="Calibri" w:cs="Times New Roman"/>
          <w:szCs w:val="24"/>
          <w:lang w:eastAsia="es-ES"/>
        </w:rPr>
        <w:t>La discontinuación de la contabilidad de coberturas puede afectar a la relación de cobertura en su totalidad o solo a una parte de ésta (en cuyo caso la contabilidad de coberturas continúa para la relación de cobertura restante).</w:t>
      </w:r>
    </w:p>
    <w:p w14:paraId="52981168" w14:textId="77777777" w:rsidR="008748C1" w:rsidRDefault="00000000">
      <w:pPr>
        <w:numPr>
          <w:ilvl w:val="0"/>
          <w:numId w:val="103"/>
        </w:numPr>
        <w:spacing w:before="20" w:after="20" w:line="240" w:lineRule="auto"/>
        <w:jc w:val="both"/>
        <w:rPr>
          <w:rFonts w:eastAsia="Calibri" w:cs="Times New Roman"/>
          <w:szCs w:val="24"/>
          <w:lang w:eastAsia="es-ES"/>
        </w:rPr>
      </w:pPr>
      <w:r>
        <w:rPr>
          <w:rFonts w:eastAsia="Calibri" w:cs="Times New Roman"/>
          <w:szCs w:val="24"/>
          <w:lang w:eastAsia="es-ES"/>
        </w:rPr>
        <w:t>Una empresa aplicará el criterio mencionado en el literal d) de la sección de “Coberturas de Valor razonable” cuando discontinúe la contabilidad de coberturas para una cobertura del valor razonable en la que la partida cubierta es (o es un componente de) un instrumento financiero medido al costo amortizado.</w:t>
      </w:r>
    </w:p>
    <w:p w14:paraId="52981169" w14:textId="77777777" w:rsidR="008748C1" w:rsidRDefault="00000000">
      <w:pPr>
        <w:numPr>
          <w:ilvl w:val="0"/>
          <w:numId w:val="103"/>
        </w:numPr>
        <w:spacing w:before="20" w:after="20" w:line="240" w:lineRule="auto"/>
        <w:jc w:val="both"/>
        <w:rPr>
          <w:rFonts w:eastAsia="Calibri" w:cs="Times New Roman"/>
          <w:szCs w:val="24"/>
          <w:lang w:eastAsia="es-ES"/>
        </w:rPr>
      </w:pPr>
      <w:r>
        <w:rPr>
          <w:rFonts w:eastAsia="Calibri" w:cs="Times New Roman"/>
          <w:szCs w:val="24"/>
          <w:lang w:eastAsia="es-ES"/>
        </w:rPr>
        <w:t>Cuando se discontinúe la contabilidad de coberturas de flujos de efectivo, el importe que haya sido acumulado en la reserva de cobertura de flujos de efectivo se contabilizará de la siguiente forma:</w:t>
      </w:r>
    </w:p>
    <w:p w14:paraId="5298116A" w14:textId="77777777" w:rsidR="008748C1" w:rsidRDefault="00000000">
      <w:pPr>
        <w:numPr>
          <w:ilvl w:val="0"/>
          <w:numId w:val="105"/>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Si se espera que los flujos de efectivo futuros cubiertos todavía ocurran, ese importe se mantendrá en la reserva de cobertura de flujos de efectivo hasta que ocurran los flujos de efectivo futuros o hasta que se aplique el apartado </w:t>
      </w:r>
      <w:proofErr w:type="spellStart"/>
      <w:r>
        <w:rPr>
          <w:rFonts w:eastAsia="Times New Roman" w:cs="Times New Roman"/>
          <w:szCs w:val="24"/>
          <w:lang w:eastAsia="es-ES"/>
        </w:rPr>
        <w:t>iii</w:t>
      </w:r>
      <w:proofErr w:type="spellEnd"/>
      <w:r>
        <w:rPr>
          <w:rFonts w:eastAsia="Times New Roman" w:cs="Times New Roman"/>
          <w:szCs w:val="24"/>
          <w:lang w:eastAsia="es-ES"/>
        </w:rPr>
        <w:t>) del literal d) de la sección de “Coberturas de flujo de efectivo”. Cuando ocurran los flujos de efectivo futuros, se aplicará el literal d) de la sección de “Coberturas de flujo de efectivo”.</w:t>
      </w:r>
    </w:p>
    <w:p w14:paraId="5298116B" w14:textId="77777777" w:rsidR="008748C1" w:rsidRDefault="00000000">
      <w:pPr>
        <w:numPr>
          <w:ilvl w:val="0"/>
          <w:numId w:val="105"/>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Si se deja de esperar que los flujos de efectivo futuros cubiertos ocurran, ese importe se reclasificará inmediatamente de la reserva de cobertura de flujos de efectivo al resultado del periodo como un ajuste por reclasificación.</w:t>
      </w:r>
    </w:p>
    <w:p w14:paraId="5298116C" w14:textId="77777777" w:rsidR="008748C1" w:rsidRDefault="008748C1">
      <w:pPr>
        <w:tabs>
          <w:tab w:val="left" w:pos="1701"/>
        </w:tabs>
        <w:spacing w:before="30" w:after="30" w:line="240" w:lineRule="auto"/>
        <w:jc w:val="both"/>
        <w:rPr>
          <w:rFonts w:eastAsia="Times New Roman" w:cs="Times New Roman"/>
          <w:szCs w:val="24"/>
          <w:lang w:eastAsia="es-ES"/>
        </w:rPr>
      </w:pPr>
    </w:p>
    <w:p w14:paraId="5298116D"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61" w:name="_Toc145670232"/>
      <w:bookmarkStart w:id="362" w:name="_Toc170226248"/>
      <w:r>
        <w:rPr>
          <w:rFonts w:eastAsia="Times New Roman" w:cs="Arial"/>
          <w:b/>
          <w:bCs/>
          <w:szCs w:val="24"/>
          <w:lang w:eastAsia="es-ES"/>
        </w:rPr>
        <w:t>Cobertura de un grupo de partidas</w:t>
      </w:r>
      <w:bookmarkEnd w:id="361"/>
      <w:bookmarkEnd w:id="362"/>
    </w:p>
    <w:p w14:paraId="5298116E"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63" w:name="_Toc170226249"/>
      <w:r>
        <w:rPr>
          <w:rFonts w:eastAsia="Times New Roman" w:cs="Arial"/>
          <w:b/>
          <w:szCs w:val="24"/>
          <w:lang w:eastAsia="es-ES"/>
        </w:rPr>
        <w:t>Elegibilidad de un conjunto de partidas como la partida cubierta</w:t>
      </w:r>
      <w:bookmarkEnd w:id="363"/>
    </w:p>
    <w:p w14:paraId="5298116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 conjunto de partidas (incluyendo un grupo de partidas que constituyen una posición neta) es una partida cubierta elegible solo si:</w:t>
      </w:r>
    </w:p>
    <w:p w14:paraId="52981170" w14:textId="77777777" w:rsidR="008748C1" w:rsidRDefault="00000000">
      <w:pPr>
        <w:numPr>
          <w:ilvl w:val="0"/>
          <w:numId w:val="106"/>
        </w:numPr>
        <w:spacing w:before="20" w:after="20" w:line="240" w:lineRule="auto"/>
        <w:jc w:val="both"/>
        <w:rPr>
          <w:rFonts w:eastAsia="Calibri" w:cs="Times New Roman"/>
          <w:szCs w:val="24"/>
          <w:lang w:eastAsia="es-ES"/>
        </w:rPr>
      </w:pPr>
      <w:r>
        <w:rPr>
          <w:rFonts w:eastAsia="Calibri" w:cs="Times New Roman"/>
          <w:szCs w:val="24"/>
          <w:lang w:eastAsia="es-ES"/>
        </w:rPr>
        <w:t>consiste en partidas (incluyendo componentes de partidas) que son, individualmente, partidas cubiertas elegibles;</w:t>
      </w:r>
    </w:p>
    <w:p w14:paraId="52981171" w14:textId="77777777" w:rsidR="008748C1" w:rsidRDefault="00000000">
      <w:pPr>
        <w:numPr>
          <w:ilvl w:val="0"/>
          <w:numId w:val="106"/>
        </w:numPr>
        <w:spacing w:before="20" w:after="20" w:line="240" w:lineRule="auto"/>
        <w:jc w:val="both"/>
        <w:rPr>
          <w:rFonts w:eastAsia="Calibri" w:cs="Times New Roman"/>
          <w:szCs w:val="24"/>
          <w:lang w:eastAsia="es-ES"/>
        </w:rPr>
      </w:pPr>
      <w:r>
        <w:rPr>
          <w:rFonts w:eastAsia="Calibri" w:cs="Times New Roman"/>
          <w:szCs w:val="24"/>
          <w:lang w:eastAsia="es-ES"/>
        </w:rPr>
        <w:t xml:space="preserve">las partidas en el grupo son gestionadas de forma conjunta como un grupo para fines de gestión de riesgos; y </w:t>
      </w:r>
    </w:p>
    <w:p w14:paraId="52981172" w14:textId="77777777" w:rsidR="008748C1" w:rsidRDefault="00000000">
      <w:pPr>
        <w:numPr>
          <w:ilvl w:val="0"/>
          <w:numId w:val="106"/>
        </w:numPr>
        <w:spacing w:before="20" w:after="20" w:line="240" w:lineRule="auto"/>
        <w:jc w:val="both"/>
        <w:rPr>
          <w:rFonts w:eastAsia="Calibri" w:cs="Times New Roman"/>
          <w:szCs w:val="24"/>
          <w:lang w:eastAsia="es-ES"/>
        </w:rPr>
      </w:pPr>
      <w:r>
        <w:rPr>
          <w:rFonts w:eastAsia="Calibri" w:cs="Times New Roman"/>
          <w:szCs w:val="24"/>
          <w:lang w:eastAsia="es-ES"/>
        </w:rPr>
        <w:lastRenderedPageBreak/>
        <w:t>en el caso de la cobertura de flujo de efectivo de un grupo de partidas cuya variabilidad en sus flujos de cajas no se espera que sea aproximadamente proporcional a la variabilidad conjunta en los flujos de caja del grupo, de tal manera que se compensen posiciones de riesgo:</w:t>
      </w:r>
    </w:p>
    <w:p w14:paraId="52981173" w14:textId="77777777" w:rsidR="008748C1" w:rsidRDefault="00000000">
      <w:pPr>
        <w:numPr>
          <w:ilvl w:val="0"/>
          <w:numId w:val="107"/>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es una cobertura de riesgo de moneda extranjera; y</w:t>
      </w:r>
    </w:p>
    <w:p w14:paraId="52981174" w14:textId="77777777" w:rsidR="008748C1" w:rsidRDefault="00000000">
      <w:pPr>
        <w:numPr>
          <w:ilvl w:val="0"/>
          <w:numId w:val="107"/>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la designación de dicha posición neta especifica el período de reporte en el cual se espera que las transacciones previstas afecten ganancias o pérdidas, así como su naturaleza y volumen. </w:t>
      </w:r>
    </w:p>
    <w:p w14:paraId="52981175"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64" w:name="_Toc170226250"/>
      <w:r>
        <w:rPr>
          <w:rFonts w:eastAsia="Times New Roman" w:cs="Arial"/>
          <w:b/>
          <w:szCs w:val="24"/>
          <w:lang w:eastAsia="es-ES"/>
        </w:rPr>
        <w:t>Elegibilidad para la contabilidad de coberturas y designación de una posición neta</w:t>
      </w:r>
      <w:bookmarkEnd w:id="364"/>
    </w:p>
    <w:p w14:paraId="52981176"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Una posición neta es elegible para la contabilidad de coberturas solo si una empresa se cubre en términos netos a efectos de la gestión de riesgos. Por ello, una empresa no puede aplicar la contabilidad de coberturas en términos netos solo para lograr un resultado de contabilización concreto si eso no reflejara su enfoque de gestión de riesgos. La posición neta de cobertura debe formar parte de una estrategia establecida de gestión de riesgos. </w:t>
      </w:r>
    </w:p>
    <w:p w14:paraId="5298117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Cuando se designa un grupo de partidas que constituyen una posición neta como una partida cubierta, una entidad designará el grupo en conjunto de partidas que incluye las partidas que puedan formar la posición neta. No se permite que una entidad designe un importe teórico no especificado de una posición neta. En su lugar, debe designar un importe bruto de compras y un importe bruto de ventas que juntos dan lugar a la posición neta cubierta. Una entidad designará posiciones brutas que dan lugar a la posición neta, de forma que la entidad sea capaz de cumplir con los requerimientos de la contabilidad de coberturas para las relaciones de cobertura que cumplen los requisitos fijados.</w:t>
      </w:r>
    </w:p>
    <w:p w14:paraId="52981178"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65" w:name="_Toc170226251"/>
      <w:r>
        <w:rPr>
          <w:rFonts w:eastAsia="Times New Roman" w:cs="Arial"/>
          <w:b/>
          <w:szCs w:val="24"/>
          <w:lang w:eastAsia="es-ES"/>
        </w:rPr>
        <w:t>Designación de un componente de un monto nominal</w:t>
      </w:r>
      <w:bookmarkEnd w:id="365"/>
    </w:p>
    <w:p w14:paraId="52981179"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Un componente que es una proporción de un grupo elegible de partidas es una partida cubierta elegible si es que la designación es consistente con el objetivo de gestión de riesgo de la empresa. </w:t>
      </w:r>
    </w:p>
    <w:p w14:paraId="5298117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 componente de nivel de un grupo global de partidas (por ejemplo, un nivel inferior) es elegible para la contabilidad de coberturas sólo si:</w:t>
      </w:r>
    </w:p>
    <w:p w14:paraId="5298117B" w14:textId="77777777" w:rsidR="008748C1" w:rsidRDefault="00000000">
      <w:pPr>
        <w:numPr>
          <w:ilvl w:val="0"/>
          <w:numId w:val="108"/>
        </w:numPr>
        <w:spacing w:before="20" w:after="20" w:line="240" w:lineRule="auto"/>
        <w:jc w:val="both"/>
        <w:rPr>
          <w:rFonts w:eastAsia="Calibri" w:cs="Times New Roman"/>
          <w:szCs w:val="24"/>
          <w:lang w:eastAsia="es-ES"/>
        </w:rPr>
      </w:pPr>
      <w:r>
        <w:rPr>
          <w:rFonts w:eastAsia="Calibri" w:cs="Times New Roman"/>
          <w:szCs w:val="24"/>
          <w:lang w:eastAsia="es-ES"/>
        </w:rPr>
        <w:t>es identificable por separado y medido con fiabilidad;</w:t>
      </w:r>
    </w:p>
    <w:p w14:paraId="5298117C" w14:textId="77777777" w:rsidR="008748C1" w:rsidRDefault="00000000">
      <w:pPr>
        <w:numPr>
          <w:ilvl w:val="0"/>
          <w:numId w:val="108"/>
        </w:numPr>
        <w:spacing w:before="20" w:after="20" w:line="240" w:lineRule="auto"/>
        <w:jc w:val="both"/>
        <w:rPr>
          <w:rFonts w:eastAsia="Calibri" w:cs="Times New Roman"/>
          <w:szCs w:val="24"/>
          <w:lang w:eastAsia="es-ES"/>
        </w:rPr>
      </w:pPr>
      <w:r>
        <w:rPr>
          <w:rFonts w:eastAsia="Calibri" w:cs="Times New Roman"/>
          <w:szCs w:val="24"/>
          <w:lang w:eastAsia="es-ES"/>
        </w:rPr>
        <w:t>el objetivo de la gestión de riesgo es cubrir un componente del nivel;</w:t>
      </w:r>
    </w:p>
    <w:p w14:paraId="5298117D" w14:textId="77777777" w:rsidR="008748C1" w:rsidRDefault="00000000">
      <w:pPr>
        <w:numPr>
          <w:ilvl w:val="0"/>
          <w:numId w:val="108"/>
        </w:numPr>
        <w:spacing w:before="20" w:after="20" w:line="240" w:lineRule="auto"/>
        <w:jc w:val="both"/>
        <w:rPr>
          <w:rFonts w:eastAsia="Calibri" w:cs="Times New Roman"/>
          <w:szCs w:val="24"/>
          <w:lang w:eastAsia="es-ES"/>
        </w:rPr>
      </w:pPr>
      <w:r>
        <w:rPr>
          <w:rFonts w:eastAsia="Calibri" w:cs="Times New Roman"/>
          <w:szCs w:val="24"/>
          <w:lang w:eastAsia="es-ES"/>
        </w:rPr>
        <w:t xml:space="preserve">las partidas en el grupo global en el que se identifica al nivel están expuestas al mismo riesgo cubierto (de tal manera que la medición del nivel cubierto no está significativamente afectada por partidas concretas del grupo global que forman parte del nivel cubierto). </w:t>
      </w:r>
    </w:p>
    <w:p w14:paraId="5298117E" w14:textId="77777777" w:rsidR="008748C1" w:rsidRDefault="00000000">
      <w:pPr>
        <w:numPr>
          <w:ilvl w:val="0"/>
          <w:numId w:val="108"/>
        </w:numPr>
        <w:spacing w:before="20" w:after="20" w:line="240" w:lineRule="auto"/>
        <w:jc w:val="both"/>
        <w:rPr>
          <w:rFonts w:eastAsia="Calibri" w:cs="Times New Roman"/>
          <w:szCs w:val="24"/>
          <w:lang w:eastAsia="es-ES"/>
        </w:rPr>
      </w:pPr>
      <w:r>
        <w:rPr>
          <w:rFonts w:eastAsia="Calibri" w:cs="Times New Roman"/>
          <w:szCs w:val="24"/>
          <w:lang w:eastAsia="es-ES"/>
        </w:rPr>
        <w:t>para una cobertura de partidas existentes (por ejemplo, un compromiso no reconocido de una empresa o un activo reconocido) una empresa puede identificar y hacer seguimiento al grupo global de partidas del que se define el nivel cubierto (de tal manera que la empresa pueda cumplir con los requisitos para la cobertura para relaciones de cobertura que cumplen los requisitos fijados); y</w:t>
      </w:r>
    </w:p>
    <w:p w14:paraId="5298117F" w14:textId="77777777" w:rsidR="008748C1" w:rsidRDefault="00000000">
      <w:pPr>
        <w:numPr>
          <w:ilvl w:val="0"/>
          <w:numId w:val="108"/>
        </w:numPr>
        <w:spacing w:before="20" w:after="20" w:line="240" w:lineRule="auto"/>
        <w:jc w:val="both"/>
        <w:rPr>
          <w:rFonts w:eastAsia="Calibri" w:cs="Times New Roman"/>
          <w:szCs w:val="24"/>
          <w:lang w:eastAsia="es-ES"/>
        </w:rPr>
      </w:pPr>
      <w:r>
        <w:rPr>
          <w:rFonts w:eastAsia="Calibri" w:cs="Times New Roman"/>
          <w:szCs w:val="24"/>
          <w:lang w:eastAsia="es-ES"/>
        </w:rPr>
        <w:t>cualquier partida en el grupo que contiene opciones de prepago cumple los requisitos para componentes de un monto nominal.</w:t>
      </w:r>
    </w:p>
    <w:p w14:paraId="52981180"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66" w:name="_Toc170226252"/>
      <w:r>
        <w:rPr>
          <w:rFonts w:eastAsia="Times New Roman" w:cs="Arial"/>
          <w:b/>
          <w:szCs w:val="24"/>
          <w:lang w:eastAsia="es-ES"/>
        </w:rPr>
        <w:t>Presentación</w:t>
      </w:r>
      <w:bookmarkEnd w:id="366"/>
    </w:p>
    <w:p w14:paraId="5298118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Para la cobertura de un grupo de partidas con posiciones de riesgo que se compensan (por ejemplo, en la cobertura de una posición neta) cuyo riesgo cubierto afecta diferentes líneas en el estado de ganancias y pérdidas y otro resultado integral, cualquier ganancia o pérdida por cobertura en dicho estado debe ser presentada en una línea separada de aquella afectada por las partidas cubiertas. Por lo tanto, en dicho estado el monto en la línea de la partida que se refiere a la partida cubierta por sí misma (por ejemplo, ingreso o gastos por ventas) se mantiene </w:t>
      </w:r>
      <w:proofErr w:type="spellStart"/>
      <w:r>
        <w:rPr>
          <w:rFonts w:eastAsia="Times New Roman" w:cs="Times New Roman"/>
          <w:lang w:eastAsia="es-ES"/>
        </w:rPr>
        <w:t>inafecto</w:t>
      </w:r>
      <w:proofErr w:type="spellEnd"/>
      <w:r>
        <w:rPr>
          <w:rFonts w:eastAsia="Times New Roman" w:cs="Times New Roman"/>
          <w:lang w:eastAsia="es-ES"/>
        </w:rPr>
        <w:t xml:space="preserve">. </w:t>
      </w:r>
    </w:p>
    <w:p w14:paraId="5298118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lastRenderedPageBreak/>
        <w:t>Para activos y pasivos que están cubiertos de forma conjunta como un grupo en una cobertura de valor razonable, la ganancia o pérdida en el estado de situación financiera en los activos y pasivos individuales debe ser reconocida como un ajuste al importe en libros de las respectivas partidas individuales que conforman el grupo.</w:t>
      </w:r>
    </w:p>
    <w:p w14:paraId="52981183"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67" w:name="_Toc170226253"/>
      <w:r>
        <w:rPr>
          <w:rFonts w:eastAsia="Times New Roman" w:cs="Arial"/>
          <w:b/>
          <w:szCs w:val="24"/>
          <w:lang w:eastAsia="es-ES"/>
        </w:rPr>
        <w:t>Designación como partida cubierta de posiciones netas nulas</w:t>
      </w:r>
      <w:bookmarkEnd w:id="367"/>
    </w:p>
    <w:p w14:paraId="5298118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Cuando la partida cubierta es un grupo que es una posición neta nula (es decir, las partidas cubiertas compensan en su totalidad el riesgo que es gestionado sobre la base del grupo), se permite a la empresa que la designe en una relación de cobertura que no incluye un instrumento de cobertura, si se cumple que:</w:t>
      </w:r>
    </w:p>
    <w:p w14:paraId="52981185" w14:textId="77777777" w:rsidR="008748C1" w:rsidRDefault="00000000">
      <w:pPr>
        <w:numPr>
          <w:ilvl w:val="0"/>
          <w:numId w:val="109"/>
        </w:numPr>
        <w:spacing w:before="20" w:after="20" w:line="240" w:lineRule="auto"/>
        <w:jc w:val="both"/>
        <w:rPr>
          <w:rFonts w:eastAsia="Calibri" w:cs="Times New Roman"/>
          <w:szCs w:val="24"/>
          <w:lang w:eastAsia="es-ES"/>
        </w:rPr>
      </w:pPr>
      <w:r>
        <w:rPr>
          <w:rFonts w:eastAsia="Calibri" w:cs="Times New Roman"/>
          <w:szCs w:val="24"/>
          <w:lang w:eastAsia="es-ES"/>
        </w:rPr>
        <w:t>la cobertura es parte de una estrategia renovable de cobertura neta de riesgo, mediante la cual la empresa cubre de forma rutinaria nuevas posiciones del mismo tipo a medida que pasa el tiempo (por ejemplo, según avanzan las transacciones hacia el horizonte temporal que cubre la empresa);</w:t>
      </w:r>
    </w:p>
    <w:p w14:paraId="52981186" w14:textId="77777777" w:rsidR="008748C1" w:rsidRDefault="00000000">
      <w:pPr>
        <w:numPr>
          <w:ilvl w:val="0"/>
          <w:numId w:val="109"/>
        </w:numPr>
        <w:spacing w:before="20" w:after="20" w:line="240" w:lineRule="auto"/>
        <w:jc w:val="both"/>
        <w:rPr>
          <w:rFonts w:eastAsia="Calibri" w:cs="Times New Roman"/>
          <w:szCs w:val="24"/>
          <w:lang w:eastAsia="es-ES"/>
        </w:rPr>
      </w:pPr>
      <w:r>
        <w:rPr>
          <w:rFonts w:eastAsia="Calibri" w:cs="Times New Roman"/>
          <w:szCs w:val="24"/>
          <w:lang w:eastAsia="es-ES"/>
        </w:rPr>
        <w:t>la posición neta cubierta cambia de tamaño a lo largo de la vida de la estrategia de cobertura del riesgo neto periódico y la empresa emplea instrumentos de cobertura elegibles para cubrir el riesgo neto (es decir, cuando las posiciones netas no son cero);</w:t>
      </w:r>
    </w:p>
    <w:p w14:paraId="52981187" w14:textId="77777777" w:rsidR="008748C1" w:rsidRDefault="00000000">
      <w:pPr>
        <w:numPr>
          <w:ilvl w:val="0"/>
          <w:numId w:val="109"/>
        </w:numPr>
        <w:spacing w:before="20" w:after="20" w:line="240" w:lineRule="auto"/>
        <w:jc w:val="both"/>
        <w:rPr>
          <w:rFonts w:eastAsia="Calibri" w:cs="Times New Roman"/>
          <w:szCs w:val="24"/>
          <w:lang w:eastAsia="es-ES"/>
        </w:rPr>
      </w:pPr>
      <w:r>
        <w:rPr>
          <w:rFonts w:eastAsia="Calibri" w:cs="Times New Roman"/>
          <w:szCs w:val="24"/>
          <w:lang w:eastAsia="es-ES"/>
        </w:rPr>
        <w:t>la contabilidad de cobertura es normalmente aplicada a dichas posiciones netas cuando la posición neta no es cero y es cubierta con instrumentos de cobertura elegibles y</w:t>
      </w:r>
    </w:p>
    <w:p w14:paraId="52981188" w14:textId="77777777" w:rsidR="008748C1" w:rsidRDefault="00000000">
      <w:pPr>
        <w:numPr>
          <w:ilvl w:val="0"/>
          <w:numId w:val="109"/>
        </w:numPr>
        <w:spacing w:before="20" w:after="20" w:line="240" w:lineRule="auto"/>
        <w:jc w:val="both"/>
        <w:rPr>
          <w:rFonts w:eastAsia="Calibri" w:cs="Times New Roman"/>
          <w:szCs w:val="24"/>
          <w:lang w:eastAsia="es-ES"/>
        </w:rPr>
      </w:pPr>
      <w:r>
        <w:rPr>
          <w:rFonts w:eastAsia="Calibri" w:cs="Times New Roman"/>
          <w:szCs w:val="24"/>
          <w:lang w:eastAsia="es-ES"/>
        </w:rPr>
        <w:t>No aplicar la contabilidad de cobertura a la posición neta nula daría lugar a resultados contables incoherentes, dado que la contabilidad no reconocería las posiciones de riesgo que se compensan que, de otro modo, se reconocerían en una cobertura de una posición neta.</w:t>
      </w:r>
    </w:p>
    <w:p w14:paraId="52981189" w14:textId="77777777" w:rsidR="008748C1" w:rsidRDefault="00000000">
      <w:pPr>
        <w:keepNext/>
        <w:spacing w:before="240" w:after="120" w:line="240" w:lineRule="auto"/>
        <w:ind w:left="850"/>
        <w:jc w:val="both"/>
        <w:outlineLvl w:val="5"/>
        <w:rPr>
          <w:rFonts w:ascii="Arial" w:eastAsia="Times New Roman" w:hAnsi="Arial" w:cs="Arial"/>
          <w:b/>
          <w:szCs w:val="24"/>
          <w:lang w:eastAsia="es-ES"/>
        </w:rPr>
      </w:pPr>
      <w:r>
        <w:rPr>
          <w:rFonts w:eastAsia="Times New Roman" w:cs="Arial"/>
          <w:b/>
          <w:szCs w:val="24"/>
          <w:lang w:eastAsia="es-ES"/>
        </w:rPr>
        <w:t>Coberturas que constituyen una posición neta</w:t>
      </w:r>
    </w:p>
    <w:p w14:paraId="5298118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Cuando una empresa cubre un grupo de partidas con posiciones de riesgo compensadas (es decir, una posición neta), la elegibilidad para la contabilidad de coberturas depende del tipo de cobertura. Si la cobertura es una cobertura del valor razonable, entonces la posición neta puede ser elegible para una partida cubierta. Sin embargo, si la cobertura es una cobertura de flujo de efectivo, entonces la posición neta solo puede ser elegible como una partida cubierta si es una cobertura del riesgo de tipo de cambio de la moneda extranjera y la designación de esa posición neta especifica el periodo de presentación en el cual se espera que las transacciones previstas afecten al resultado del periodo y también especifica su naturaleza y volumen.</w:t>
      </w:r>
    </w:p>
    <w:p w14:paraId="5298118B" w14:textId="77777777" w:rsidR="008748C1" w:rsidRDefault="00000000">
      <w:pPr>
        <w:keepNext/>
        <w:spacing w:before="240" w:after="120" w:line="240" w:lineRule="auto"/>
        <w:ind w:left="850"/>
        <w:jc w:val="both"/>
        <w:outlineLvl w:val="5"/>
        <w:rPr>
          <w:rFonts w:ascii="Arial" w:eastAsia="Times New Roman" w:hAnsi="Arial" w:cs="Arial"/>
          <w:b/>
          <w:szCs w:val="24"/>
          <w:lang w:eastAsia="es-ES"/>
        </w:rPr>
      </w:pPr>
      <w:r>
        <w:rPr>
          <w:rFonts w:eastAsia="Times New Roman" w:cs="Arial"/>
          <w:b/>
          <w:szCs w:val="24"/>
          <w:lang w:eastAsia="es-ES"/>
        </w:rPr>
        <w:t>Coberturas de flujo de efectivo de una posición neta</w:t>
      </w:r>
    </w:p>
    <w:p w14:paraId="5298118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Para una cobertura de flujos de efectivo de una posición neta, los importes determinados de acuerdo con lo indicado en la contabilidad de instrumentos financieros derivados de flujo de efectivo (sección Coberturas de flujo de efectivo) incluirán los cambios en el valor en las partidas de la posición neta que tienen un efecto similar que el instrumento de cobertura en combinación con el cambio en el valor razonable sobre el instrumento de cobertura. Sin embargo, los cambios en el valor de las partidas en la posición neta que tienen un efecto similar que el instrumento de cobertura se reconoce solo una vez que se hayan reconocido las transacciones con las que se relacionan, tal como cuando una venta prevista se reconoce como ingreso de actividades ordinarias.</w:t>
      </w:r>
    </w:p>
    <w:p w14:paraId="5298118D"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68" w:name="_Toc170226254"/>
      <w:bookmarkStart w:id="369" w:name="_Toc145670233"/>
      <w:r>
        <w:rPr>
          <w:rFonts w:eastAsia="Times New Roman" w:cs="Arial"/>
          <w:b/>
          <w:bCs/>
          <w:szCs w:val="24"/>
          <w:lang w:eastAsia="es-ES"/>
        </w:rPr>
        <w:t>Contabilización del valor temporal de las opciones</w:t>
      </w:r>
      <w:bookmarkEnd w:id="368"/>
      <w:bookmarkEnd w:id="369"/>
    </w:p>
    <w:p w14:paraId="5298118E"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Cuando una empresa separa el valor intrínseco y el valor temporal de un contrato de opciones y designa como instrumento de cobertura solo el cambio en el valor intrínseco de la opción contabilizará el valor temporal de la opción de la forma siguiente: </w:t>
      </w:r>
    </w:p>
    <w:p w14:paraId="5298118F" w14:textId="77777777" w:rsidR="008748C1" w:rsidRDefault="00000000">
      <w:pPr>
        <w:numPr>
          <w:ilvl w:val="0"/>
          <w:numId w:val="110"/>
        </w:numPr>
        <w:spacing w:before="20" w:after="20" w:line="240" w:lineRule="auto"/>
        <w:jc w:val="both"/>
        <w:rPr>
          <w:rFonts w:eastAsia="Calibri" w:cs="Times New Roman"/>
          <w:szCs w:val="24"/>
          <w:lang w:eastAsia="es-ES"/>
        </w:rPr>
      </w:pPr>
      <w:r>
        <w:rPr>
          <w:rFonts w:eastAsia="Calibri" w:cs="Times New Roman"/>
          <w:szCs w:val="24"/>
          <w:lang w:eastAsia="es-ES"/>
        </w:rPr>
        <w:lastRenderedPageBreak/>
        <w:t xml:space="preserve">Una empresa diferenciará el valor temporal de las opciones por el tipo de partida cubierta que cubre la opción: </w:t>
      </w:r>
    </w:p>
    <w:p w14:paraId="52981190" w14:textId="77777777" w:rsidR="008748C1" w:rsidRDefault="00000000">
      <w:pPr>
        <w:numPr>
          <w:ilvl w:val="0"/>
          <w:numId w:val="111"/>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una partida cubierta relacionada con una transacción; o </w:t>
      </w:r>
    </w:p>
    <w:p w14:paraId="52981191" w14:textId="77777777" w:rsidR="008748C1" w:rsidRDefault="00000000">
      <w:pPr>
        <w:numPr>
          <w:ilvl w:val="0"/>
          <w:numId w:val="111"/>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una partida cubierta relacionada con un periodo de tiempo; </w:t>
      </w:r>
    </w:p>
    <w:p w14:paraId="52981192" w14:textId="77777777" w:rsidR="008748C1" w:rsidRDefault="00000000">
      <w:pPr>
        <w:numPr>
          <w:ilvl w:val="0"/>
          <w:numId w:val="110"/>
        </w:numPr>
        <w:spacing w:before="20" w:after="20" w:line="240" w:lineRule="auto"/>
        <w:jc w:val="both"/>
        <w:rPr>
          <w:rFonts w:eastAsia="Calibri" w:cs="Times New Roman"/>
          <w:szCs w:val="24"/>
          <w:lang w:eastAsia="es-ES"/>
        </w:rPr>
      </w:pPr>
      <w:r>
        <w:rPr>
          <w:rFonts w:eastAsia="Calibri" w:cs="Times New Roman"/>
          <w:szCs w:val="24"/>
          <w:lang w:eastAsia="es-ES"/>
        </w:rPr>
        <w:t xml:space="preserve">El cambio en el valor razonable del valor temporal de una opción que cubre una partida cubierta relacionada con una transacción se reconocerá en otro resultado integral en la medida en que se relacione con la partida cubierta y se acumulará en un componente separado de patrimonio. El cambio acumulado en el valor razonable que surge del valor temporal de la opción que se ha acumulado en un componente separado de patrimonio (el “importe”) se contabilizará de la forma siguiente: </w:t>
      </w:r>
    </w:p>
    <w:p w14:paraId="52981193" w14:textId="77777777" w:rsidR="008748C1" w:rsidRDefault="00000000">
      <w:pPr>
        <w:numPr>
          <w:ilvl w:val="0"/>
          <w:numId w:val="112"/>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Si la partida cubierta posteriormente da lugar al reconocimiento de un activo no financiero o un pasivo no financiero, o un compromiso en firme para un activo no financiero o un pasivo no financiero para el cual se aplica la contabilidad de cobertura del valor razonable, la empresa eliminará el importe del componente separado de patrimonio y lo incluirá directamente en el costo inicial u otro importe en libros del activo o del pasivo. Esto no es un ajuste por reclasificación y, por lo tanto, no afecta al otro resultado integral. </w:t>
      </w:r>
    </w:p>
    <w:p w14:paraId="52981194" w14:textId="77777777" w:rsidR="008748C1" w:rsidRDefault="00000000">
      <w:pPr>
        <w:numPr>
          <w:ilvl w:val="0"/>
          <w:numId w:val="112"/>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Para relaciones de cobertura distintas de las cubiertas por (i), el importe se reclasificará del componente separado de patrimonio al resultado del periodo como un ajuste por reclasificación en el mismo periodo o periodos durante los cuales los flujos de efectivo futuros esperados cubiertos afectan al resultado del periodo (por ejemplo, cuando tiene lugar una venta prevista). </w:t>
      </w:r>
    </w:p>
    <w:p w14:paraId="52981195" w14:textId="77777777" w:rsidR="008748C1" w:rsidRDefault="00000000">
      <w:pPr>
        <w:numPr>
          <w:ilvl w:val="0"/>
          <w:numId w:val="112"/>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Sin embargo, si todo o una parte de ese importe no se espera que se recupere en uno o más periodos futuros, el importe que no se espera recuperar se reclasificará de forma inmediata al resultado del periodo como un ajuste por reclasificación. </w:t>
      </w:r>
    </w:p>
    <w:p w14:paraId="52981196" w14:textId="77777777" w:rsidR="008748C1" w:rsidRDefault="00000000">
      <w:pPr>
        <w:numPr>
          <w:ilvl w:val="0"/>
          <w:numId w:val="110"/>
        </w:numPr>
        <w:spacing w:before="20" w:after="20" w:line="240" w:lineRule="auto"/>
        <w:jc w:val="both"/>
        <w:rPr>
          <w:rFonts w:eastAsia="Times New Roman" w:cs="Times New Roman"/>
          <w:szCs w:val="24"/>
          <w:lang w:eastAsia="es-ES"/>
        </w:rPr>
      </w:pPr>
      <w:r>
        <w:rPr>
          <w:rFonts w:eastAsia="Calibri" w:cs="Times New Roman"/>
          <w:szCs w:val="24"/>
          <w:lang w:eastAsia="es-ES"/>
        </w:rPr>
        <w:t>El cambio en el valor razonable del valor temporal de una opción que cubre una partida cubierta relacionada con un periodo de tiempo se reconocerá en otro resultado integral en la medida en que se relacione con la partida cubierta y se acumulará en un componente separado de patrimonio. El valor temporal en la fecha de designación de la opción como un instrumento de cobertura, en la medida en que se relaciona con la partida cubierta, se amortizará de forma sistemática y racional a lo largo del periodo durante el cual el ajuste de cobertura para el valor intrínseco de la opción podría afectar al resultado del periodo (u otro resultado integral, si la partida cubierta es un instrumento de patrimonio para el cual una empresa ha optado por presentar los cambios en el valor razonable en otro resultado integral). Por ello, en cada periodo de presentación, el importe de amortización se reclasificará del componente separado de patrimonio al resultado del periodo como un ajuste de reclasificación. Sin embargo, si la contabilidad de coberturas se discontinúa para la relación de cobertura que incluye el cambio en el valor intrínseco de la opción como el instrumento de cobertura, el importe neto (incluyendo la amortización acumulada) que ha sido acumulado en el componente separado de patrimonio se reclasificará de forma inmediata al resultado del periodo como un ajuste de reclasificación.</w:t>
      </w:r>
    </w:p>
    <w:p w14:paraId="5298119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Una opción puede considerarse como relacionada con un periodo de tiempo porque su valor temporal representa un cargo para proporcionar protección para el tenedor de la opción a lo largo de un periodo de tiempo. Sin embargo, el aspecto relevante a efectos de evaluar si una opción cubre una transacción o una partida cubierta relacionada con un periodo de tiempo son las características de esa partida cubierta, incluyendo la forma y el momento en que afecta al resultado del periodo. Por ello, una empresa evaluará el tipo de partida cubierta sobre la base de la naturaleza de la partida cubierta (independientemente de si la relación de cobertura es una cobertura de flujo de efectivo o una cobertura de valor razonable): </w:t>
      </w:r>
    </w:p>
    <w:p w14:paraId="52981198" w14:textId="77777777" w:rsidR="008748C1" w:rsidRDefault="00000000">
      <w:pPr>
        <w:numPr>
          <w:ilvl w:val="0"/>
          <w:numId w:val="113"/>
        </w:numPr>
        <w:spacing w:before="20" w:after="20" w:line="240" w:lineRule="auto"/>
        <w:jc w:val="both"/>
        <w:rPr>
          <w:rFonts w:eastAsia="Calibri" w:cs="Times New Roman"/>
          <w:szCs w:val="24"/>
          <w:lang w:eastAsia="es-ES"/>
        </w:rPr>
      </w:pPr>
      <w:r>
        <w:rPr>
          <w:rFonts w:eastAsia="Calibri" w:cs="Times New Roman"/>
          <w:szCs w:val="24"/>
          <w:lang w:eastAsia="es-ES"/>
        </w:rPr>
        <w:lastRenderedPageBreak/>
        <w:t xml:space="preserve">El valor temporal de una opción se relaciona con una partida cubierta relacionada con una transacción, si la naturaleza de la partida cubierta es una transacción para la cual el valor temporal tiene el carácter de costos de esa transacción. Como consecuencia de incluir el valor temporal de la opción en la medición inicial de la partida cubierta concreta, el valor temporal afecta al resultado del periodo al mismo tiempo que a la partida cubierta. </w:t>
      </w:r>
    </w:p>
    <w:p w14:paraId="52981199" w14:textId="77777777" w:rsidR="008748C1" w:rsidRDefault="00000000">
      <w:pPr>
        <w:numPr>
          <w:ilvl w:val="0"/>
          <w:numId w:val="113"/>
        </w:numPr>
        <w:spacing w:before="20" w:after="20" w:line="240" w:lineRule="auto"/>
        <w:jc w:val="both"/>
        <w:rPr>
          <w:rFonts w:eastAsia="Calibri" w:cs="Times New Roman"/>
          <w:szCs w:val="24"/>
          <w:lang w:eastAsia="es-ES"/>
        </w:rPr>
      </w:pPr>
      <w:r>
        <w:rPr>
          <w:rFonts w:eastAsia="Calibri" w:cs="Times New Roman"/>
          <w:szCs w:val="24"/>
          <w:lang w:eastAsia="es-ES"/>
        </w:rPr>
        <w:t>El valor temporal de una opción relativa a una partida cubierta relacionada con un periodo de tiempo, si la naturaleza de la partida cubierta es tal que el valor temporal tiene el carácter de costo para la obtención de protección contra un riesgo a lo largo de un periodo de tiempo concreto, pero la partida cubierta no da lugar a una transacción que involucra la idea de un costo de transacción de acuerdo con el literal anterior. En ese caso, el valor temporal de la opción se asignaría al resultado del periodo (es decir, amortizada sobre una base sistemática y racional) a lo largo del periodo de protección del riesgo.</w:t>
      </w:r>
    </w:p>
    <w:p w14:paraId="5298119A"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Las características de la partida cubierta, incluyendo la forma y momento en que la partida cubierta afecta al resultado del periodo, también afectan al periodo a lo largo del cual el valor temporal de una opción que cubre una partida cubierta relacionada con un periodo de tiempo se amortiza, lo cual es congruente con el periodo a lo largo del cual el valor intrínseco de la opción puede afectar al resultado del periodo de acuerdo con la contabilidad de coberturas. </w:t>
      </w:r>
    </w:p>
    <w:p w14:paraId="5298119B"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70" w:name="_Toc170226255"/>
      <w:r>
        <w:rPr>
          <w:rFonts w:eastAsia="Times New Roman" w:cs="Arial"/>
          <w:b/>
          <w:bCs/>
          <w:szCs w:val="24"/>
          <w:lang w:eastAsia="es-ES"/>
        </w:rPr>
        <w:t xml:space="preserve">Contabilización del elemento al término (forward) en los contratos a término (contrato forward) </w:t>
      </w:r>
    </w:p>
    <w:p w14:paraId="5298119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Cuando una empresa separa el elemento a término (forward) y el elemento al contado (spot) de un contrato a término (contrato forward) y designa como el instrumento de cobertura solo el cambio en el valor del elemento al contado del contrato a término, o cuando una empresa separa el diferencial de la tasa de cambio de la moneda extranjera de un instrumento financiero y lo excluye de la designación de ese instrumento financiero como el instrumento de cobertura, la empresa puede aplicar los lineamientos expuestos en la Sección de Contabilización del valor temporal de las Opciones, al elemento a término del contrato a término o al diferencial de la tasa de cambio de la moneda extranjera de la misma forma que se aplica al valor temporal de una opción.</w:t>
      </w:r>
      <w:bookmarkEnd w:id="370"/>
      <w:r>
        <w:rPr>
          <w:rFonts w:eastAsia="Times New Roman" w:cs="Times New Roman"/>
          <w:lang w:eastAsia="es-ES"/>
        </w:rPr>
        <w:t xml:space="preserve"> </w:t>
      </w:r>
    </w:p>
    <w:p w14:paraId="5298119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Un contrato a término puede considerarse relacionado con un periodo de tiempo porque su elemento a término representa cargos para un periodo de tiempo (que es el plazo de vencimiento para el cual se determina). Sin embargo, el aspecto relevante a efectos de evaluar si un instrumento de cobertura cubre una transacción o una partida cubierta relacionada con un periodo de tiempo son las características de esa partida cubierta incluyendo la forma y el momento en que afecta al resultado del periodo. Por ello, la empresa evaluará el tipo de partida cubierta sobre la base de la naturaleza de la partida cubierta (independientemente de si la relación de cobertura es una cobertura de flujo de efectivo o una cobertura de valor razonable): </w:t>
      </w:r>
    </w:p>
    <w:p w14:paraId="5298119E" w14:textId="77777777" w:rsidR="008748C1" w:rsidRDefault="00000000">
      <w:pPr>
        <w:numPr>
          <w:ilvl w:val="0"/>
          <w:numId w:val="114"/>
        </w:numPr>
        <w:spacing w:before="20" w:after="20" w:line="240" w:lineRule="auto"/>
        <w:jc w:val="both"/>
        <w:rPr>
          <w:rFonts w:eastAsia="Calibri" w:cs="Times New Roman"/>
          <w:szCs w:val="24"/>
          <w:lang w:eastAsia="es-ES"/>
        </w:rPr>
      </w:pPr>
      <w:r>
        <w:rPr>
          <w:rFonts w:eastAsia="Calibri" w:cs="Times New Roman"/>
          <w:szCs w:val="24"/>
          <w:lang w:eastAsia="es-ES"/>
        </w:rPr>
        <w:t xml:space="preserve">El elemento a término de un contrato a término se relaciona con una partida cubierta relacionada con una transacción, si la naturaleza de la partida cubierta es una transacción para la cual el elemento a término tiene el carácter de costos de esa transacción. Como una consecuencia de incluir el elemento a término en la medición inicial de la partida cubierta concreta, el elemento a término afecta al resultado del periodo al mismo tiempo que a la partida cubierta. </w:t>
      </w:r>
    </w:p>
    <w:p w14:paraId="5298119F" w14:textId="77777777" w:rsidR="008748C1" w:rsidRDefault="00000000">
      <w:pPr>
        <w:numPr>
          <w:ilvl w:val="0"/>
          <w:numId w:val="114"/>
        </w:numPr>
        <w:spacing w:before="20" w:after="20" w:line="240" w:lineRule="auto"/>
        <w:jc w:val="both"/>
        <w:rPr>
          <w:rFonts w:eastAsia="Calibri" w:cs="Times New Roman"/>
          <w:szCs w:val="24"/>
          <w:lang w:eastAsia="es-ES"/>
        </w:rPr>
      </w:pPr>
      <w:r>
        <w:rPr>
          <w:rFonts w:eastAsia="Calibri" w:cs="Times New Roman"/>
          <w:szCs w:val="24"/>
          <w:lang w:eastAsia="es-ES"/>
        </w:rPr>
        <w:t xml:space="preserve">El elemento a término de un contrato a término se relaciona con una partida cubierta relacionada con un periodo de tiempo, si la naturaleza de la partida cubierta es tal que el elemento a término tiene el carácter de costo para la obtención de protección contra un riesgo a lo largo de un periodo de tiempo concreto; pero la partida cubierta no da lugar a una transacción que involucra un costo de transacción de acuerdo literal a). Por ejemplo, si se cubre una partida cubierta en un periodo de tiempo definido contra cambios en el valor razonable, utilizando un contrato a término por el período correspondiente, el elemento a término del contrato a término se distribuiría al resultado </w:t>
      </w:r>
      <w:r>
        <w:rPr>
          <w:rFonts w:eastAsia="Calibri" w:cs="Times New Roman"/>
          <w:szCs w:val="24"/>
          <w:lang w:eastAsia="es-ES"/>
        </w:rPr>
        <w:lastRenderedPageBreak/>
        <w:t>del periodo (es decir, amortizado sobre una base sistemática y racional) a lo largo del periodo definido.</w:t>
      </w:r>
    </w:p>
    <w:p w14:paraId="529811A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Las características de la partida cubierta, incluyendo la forma y momento en que la partida cubierta afecta al resultado del periodo, también afectan al periodo a lo largo del cual el elemento a término del contrato que cubre una partida cubierta relacionada con un periodo de tiempo se amortiza, lo cual es el periodo a lo largo del cual el elemento a término está relacionado. </w:t>
      </w:r>
    </w:p>
    <w:p w14:paraId="529811A1"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 contabilización del elemento a término de un contrato a término también se aplicará si, en la fecha en la cual el contrato a término se designa como un instrumento de cobertura, el elemento a término es cero. En ese caso, una entidad reconocerá los cambios en el valor razonable atribuibles al elemento a término en otro resultado integral, aun cuando el cambio acumulado en el valor razonable atribuible al elemento a término a lo largo del periodo total de la relación de cobertura sea cero. Por ello, si el elemento a término de un contrato a término se relaciona con: </w:t>
      </w:r>
    </w:p>
    <w:p w14:paraId="529811A2" w14:textId="77777777" w:rsidR="008748C1" w:rsidRDefault="00000000">
      <w:pPr>
        <w:numPr>
          <w:ilvl w:val="0"/>
          <w:numId w:val="115"/>
        </w:numPr>
        <w:spacing w:before="20" w:after="20" w:line="240" w:lineRule="auto"/>
        <w:jc w:val="both"/>
        <w:rPr>
          <w:rFonts w:eastAsia="Calibri" w:cs="Times New Roman"/>
          <w:szCs w:val="24"/>
          <w:lang w:eastAsia="es-ES"/>
        </w:rPr>
      </w:pPr>
      <w:r>
        <w:rPr>
          <w:rFonts w:eastAsia="Calibri" w:cs="Times New Roman"/>
          <w:szCs w:val="24"/>
          <w:lang w:eastAsia="es-ES"/>
        </w:rPr>
        <w:t xml:space="preserve">Una partida cubierta relacionada con una transacción, el importe con respecto al elemento a término al final de la relación de cobertura que ajusta la partida cubierta o que se reclasifica al resultado del periodo sería cero. </w:t>
      </w:r>
    </w:p>
    <w:p w14:paraId="529811A3" w14:textId="77777777" w:rsidR="008748C1" w:rsidRDefault="00000000">
      <w:pPr>
        <w:numPr>
          <w:ilvl w:val="0"/>
          <w:numId w:val="115"/>
        </w:numPr>
        <w:spacing w:before="20" w:after="20" w:line="240" w:lineRule="auto"/>
        <w:jc w:val="both"/>
        <w:rPr>
          <w:rFonts w:eastAsia="Calibri" w:cs="Times New Roman"/>
          <w:szCs w:val="24"/>
          <w:lang w:eastAsia="es-ES"/>
        </w:rPr>
      </w:pPr>
      <w:r>
        <w:rPr>
          <w:rFonts w:eastAsia="Calibri" w:cs="Times New Roman"/>
          <w:szCs w:val="24"/>
          <w:lang w:eastAsia="es-ES"/>
        </w:rPr>
        <w:t xml:space="preserve">Una partida cubierta relacionada con un periodo de tiempo, el importe por amortización relativo al elemento a término es cero. </w:t>
      </w:r>
    </w:p>
    <w:p w14:paraId="529811A4"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La contabilización del elemento a término de un contrato a término se aplica solo en la medida en que el elemento a término se relaciona con la partida cubierta (elemento a término alineado). El elemento a término de un contrato a término se relaciona con la partida cubierta, si las condiciones fundamentales del contrato a término (tales como el importe nominal, vida y subyacente) están alineadas con la partida cubierta. Por ello, si las condiciones fundamentales del contrato a término y la partida cubierta no están totalmente alineadas, una empresa determinará el elemento a término alineado, es decir, cuánto elemento a término incluido en el contrato a término (elemento a término real) se relaciona con la partida cubierta. Una empresa determinará el elemento a término alineado utilizando la valoración del contrato a término que tuviera las condiciones fundamentales que coinciden perfectamente con la partida cubierta. </w:t>
      </w:r>
    </w:p>
    <w:p w14:paraId="529811A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el elemento a término real y el elemento a término alineado difieren, una entidad determinará el importe que se acumula en un componente separado del patrimonio de la forma siguiente: </w:t>
      </w:r>
    </w:p>
    <w:p w14:paraId="529811A6" w14:textId="77777777" w:rsidR="008748C1" w:rsidRDefault="00000000">
      <w:pPr>
        <w:numPr>
          <w:ilvl w:val="0"/>
          <w:numId w:val="116"/>
        </w:numPr>
        <w:spacing w:before="20" w:after="20" w:line="240" w:lineRule="auto"/>
        <w:jc w:val="both"/>
        <w:rPr>
          <w:rFonts w:eastAsia="Calibri" w:cs="Times New Roman"/>
          <w:szCs w:val="24"/>
          <w:lang w:eastAsia="es-ES"/>
        </w:rPr>
      </w:pPr>
      <w:r>
        <w:rPr>
          <w:rFonts w:eastAsia="Calibri" w:cs="Times New Roman"/>
          <w:szCs w:val="24"/>
          <w:lang w:eastAsia="es-ES"/>
        </w:rPr>
        <w:t xml:space="preserve">Si al inicio de la relación de cobertura, el importe absoluto del elemento a término real es mayor que el elemento a término alineado, la empresa: </w:t>
      </w:r>
    </w:p>
    <w:p w14:paraId="529811A7" w14:textId="77777777" w:rsidR="008748C1" w:rsidRDefault="00000000">
      <w:pPr>
        <w:numPr>
          <w:ilvl w:val="0"/>
          <w:numId w:val="117"/>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determinará el importe que se acumula en un componente separado de patrimonio sobre la base del elemento a término alineado; y </w:t>
      </w:r>
    </w:p>
    <w:p w14:paraId="529811A8" w14:textId="77777777" w:rsidR="008748C1" w:rsidRDefault="00000000">
      <w:pPr>
        <w:numPr>
          <w:ilvl w:val="0"/>
          <w:numId w:val="117"/>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contabilizará las diferencias en los cambios en el valor razonable entre los dos elementos a término en el resultado del periodo. </w:t>
      </w:r>
    </w:p>
    <w:p w14:paraId="529811A9" w14:textId="77777777" w:rsidR="008748C1" w:rsidRDefault="00000000">
      <w:pPr>
        <w:numPr>
          <w:ilvl w:val="0"/>
          <w:numId w:val="116"/>
        </w:numPr>
        <w:spacing w:before="20" w:after="20" w:line="240" w:lineRule="auto"/>
        <w:jc w:val="both"/>
        <w:rPr>
          <w:rFonts w:eastAsia="Calibri" w:cs="Times New Roman"/>
          <w:szCs w:val="24"/>
          <w:lang w:eastAsia="es-ES"/>
        </w:rPr>
      </w:pPr>
      <w:r>
        <w:rPr>
          <w:rFonts w:eastAsia="Calibri" w:cs="Times New Roman"/>
          <w:szCs w:val="24"/>
          <w:lang w:eastAsia="es-ES"/>
        </w:rPr>
        <w:t xml:space="preserve">Si al comienzo de la relación de cobertura, el importe absoluto del elemento a término real es menor que el del elemento a término alineado, la empresa determinará el importe que se acumula en un componente separado de patrimonio por referencia al cambio acumulado en el valor razonable menor de: </w:t>
      </w:r>
    </w:p>
    <w:p w14:paraId="529811AA" w14:textId="77777777" w:rsidR="008748C1" w:rsidRDefault="00000000">
      <w:pPr>
        <w:numPr>
          <w:ilvl w:val="0"/>
          <w:numId w:val="118"/>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 xml:space="preserve">el importe absoluto del elemento a término real; y </w:t>
      </w:r>
    </w:p>
    <w:p w14:paraId="529811AB" w14:textId="77777777" w:rsidR="008748C1" w:rsidRDefault="00000000">
      <w:pPr>
        <w:numPr>
          <w:ilvl w:val="0"/>
          <w:numId w:val="118"/>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 xml:space="preserve">el importe absoluto del elemento a término alineado. </w:t>
      </w:r>
    </w:p>
    <w:p w14:paraId="529811A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Cualquier resto del cambio en el valor razonable del elemento a término real se reconocerá en el resultado del periodo. </w:t>
      </w:r>
    </w:p>
    <w:p w14:paraId="529811AD"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Cuando una empresa separa el diferencial de la tasa de cambio de la moneda extranjera del instrumento financiero y lo excluye de la designación de ese instrumento financiero como el instrumento de cobertura, se aplicarán los párrafos B6.5.34 a B6.5.38 de la guía de aplicación de la NIIF 9 al diferencial de la tasa cambio de la misma forma que se apliquen al elemento a término de un contrato a término.</w:t>
      </w:r>
    </w:p>
    <w:p w14:paraId="529811AE"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71" w:name="_Toc170226256"/>
      <w:bookmarkStart w:id="372" w:name="_Toc145670234"/>
      <w:r>
        <w:rPr>
          <w:rFonts w:eastAsia="Times New Roman" w:cs="Arial"/>
          <w:b/>
          <w:bCs/>
          <w:szCs w:val="24"/>
          <w:lang w:eastAsia="es-ES"/>
        </w:rPr>
        <w:lastRenderedPageBreak/>
        <w:t>Coberturas de valor razonable por riesgo de tasa de interés de un portafolio (</w:t>
      </w:r>
      <w:proofErr w:type="spellStart"/>
      <w:r>
        <w:rPr>
          <w:rFonts w:eastAsia="Times New Roman" w:cs="Arial"/>
          <w:b/>
          <w:bCs/>
          <w:szCs w:val="24"/>
          <w:lang w:eastAsia="es-ES"/>
        </w:rPr>
        <w:t>macro-coberturas</w:t>
      </w:r>
      <w:proofErr w:type="spellEnd"/>
      <w:r>
        <w:rPr>
          <w:rFonts w:eastAsia="Times New Roman" w:cs="Arial"/>
          <w:b/>
          <w:bCs/>
          <w:szCs w:val="24"/>
          <w:lang w:eastAsia="es-ES"/>
        </w:rPr>
        <w:t>)</w:t>
      </w:r>
      <w:bookmarkEnd w:id="371"/>
      <w:bookmarkEnd w:id="372"/>
    </w:p>
    <w:p w14:paraId="529811AF"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En caso se efectúen operaciones de Coberturas de Valor Razonable por Riesgo de Tasa de Interés de un Portafolio, (macro coberturas) si la Superintendencia no ha brindado disposiciones específicas para su tratamiento ni tampoco la NIIF 9, se podrá aplicar de forma supletoria la NIC 39 “Instrumentos Financieros: reconocimiento y medición”, para su tratamiento.  </w:t>
      </w:r>
    </w:p>
    <w:p w14:paraId="529811B0"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373" w:name="_Toc145670235"/>
      <w:bookmarkStart w:id="374" w:name="_Toc170226257"/>
      <w:r>
        <w:rPr>
          <w:rFonts w:eastAsia="Times New Roman" w:cs="Times New Roman"/>
          <w:b/>
          <w:bCs/>
          <w:szCs w:val="24"/>
          <w:lang w:eastAsia="es-ES"/>
        </w:rPr>
        <w:t>IDENTIFICACIÓN Y TRATAMIENTO DE DERIVADOS IMPLÍCITOS</w:t>
      </w:r>
      <w:bookmarkEnd w:id="373"/>
      <w:bookmarkEnd w:id="374"/>
    </w:p>
    <w:p w14:paraId="529811B1"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75" w:name="_Toc170226258"/>
      <w:bookmarkStart w:id="376" w:name="_Toc145670236"/>
      <w:r>
        <w:rPr>
          <w:rFonts w:eastAsia="Times New Roman" w:cs="Arial"/>
          <w:b/>
          <w:bCs/>
          <w:szCs w:val="24"/>
          <w:lang w:eastAsia="es-ES"/>
        </w:rPr>
        <w:t>Definición de derivado implícito</w:t>
      </w:r>
      <w:bookmarkEnd w:id="375"/>
      <w:bookmarkEnd w:id="376"/>
    </w:p>
    <w:p w14:paraId="529811B2"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Un derivado implícito es un componente de un instrumento financiero híbrido, en el que también se incluye un contrato anfitrión que no es un derivado –con el efecto de que algunos de los flujos de efectivo del instrumento combinado varíen de forma similar a un derivado sin anfitrión. Un derivado implícito provoca que algunos o todos los flujos de efectivo que de otra manera serían requeridos por el contrato se modifiquen de acuerdo con una tasa de interés especificada, el precio de un instrumento financiero, el de una materia prima cotizada, una tasa de cambio de moneda extranjera, un índice de precios o de tasas de interés, una calificación u otro índice de carácter crediticio, o en función de otra variable, que en el caso de no ser financiera no sea específica para una de las partes del contrato. Un derivado que se adjunte a un instrumento financiero pero que sea contractualmente transferible de forma independiente o tenga una contraparte distinta a la del instrumento, no es un derivado implícito sino un instrumento financiero separado.</w:t>
      </w:r>
    </w:p>
    <w:p w14:paraId="529811B3"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Se puede establecer relación de cobertura con derivados implícitos como instrumento de cobertura, si estos se contabilizan por separado.</w:t>
      </w:r>
    </w:p>
    <w:p w14:paraId="529811B4"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77" w:name="_Toc170226259"/>
      <w:bookmarkStart w:id="378" w:name="_Toc145670237"/>
      <w:r>
        <w:rPr>
          <w:rFonts w:eastAsia="Times New Roman" w:cs="Arial"/>
          <w:b/>
          <w:bCs/>
          <w:szCs w:val="24"/>
          <w:lang w:eastAsia="es-ES"/>
        </w:rPr>
        <w:t>Instrumento financiero híbrido con anfitriones de activos financieros</w:t>
      </w:r>
      <w:bookmarkEnd w:id="377"/>
      <w:bookmarkEnd w:id="378"/>
    </w:p>
    <w:p w14:paraId="529811B5"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un instrumento financiero híbrido contiene un anfitrión que sea clasificado como activo financiero, el derivado implícito no se separa y por lo tanto no podrá ser parte de una relación de cobertura. La empresa debe clasificar el instrumento financiero híbrido en alguna de las categorías de activos financieros. Para ello debe evaluar si el instrumento financiero híbrido, en su totalidad, cumple con las condiciones de la categoría contable correspondiente. </w:t>
      </w:r>
    </w:p>
    <w:p w14:paraId="529811B6"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79" w:name="_Toc145670238"/>
      <w:bookmarkStart w:id="380" w:name="_Toc170226260"/>
      <w:r>
        <w:rPr>
          <w:rFonts w:eastAsia="Times New Roman" w:cs="Arial"/>
          <w:b/>
          <w:bCs/>
          <w:szCs w:val="24"/>
          <w:lang w:eastAsia="es-ES"/>
        </w:rPr>
        <w:t>Otros instrumentos financieros híbridos</w:t>
      </w:r>
      <w:bookmarkEnd w:id="379"/>
      <w:bookmarkEnd w:id="380"/>
    </w:p>
    <w:p w14:paraId="529811B7"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 un instrumento financiero híbrido contiene un anfitrión que no es un activo que quede dentro del alcance de la NIIF 9, un derivado implícito deberá separarse del anfitrión y contabilizarse como un derivado según la NIIF 9 si, y solo si:</w:t>
      </w:r>
    </w:p>
    <w:p w14:paraId="529811B8" w14:textId="77777777" w:rsidR="008748C1" w:rsidRDefault="00000000">
      <w:pPr>
        <w:numPr>
          <w:ilvl w:val="0"/>
          <w:numId w:val="119"/>
        </w:numPr>
        <w:spacing w:before="20" w:after="20" w:line="240" w:lineRule="auto"/>
        <w:jc w:val="both"/>
        <w:rPr>
          <w:rFonts w:eastAsia="Calibri" w:cs="Times New Roman"/>
          <w:szCs w:val="24"/>
          <w:lang w:eastAsia="es-ES"/>
        </w:rPr>
      </w:pPr>
      <w:r>
        <w:rPr>
          <w:rFonts w:eastAsia="Calibri" w:cs="Times New Roman"/>
          <w:szCs w:val="24"/>
          <w:lang w:eastAsia="es-ES"/>
        </w:rPr>
        <w:t>las características económicas y los riesgos del derivado implícito no están relacionados estrechamente con los correspondientes al contrato anfitrión;</w:t>
      </w:r>
    </w:p>
    <w:p w14:paraId="529811B9" w14:textId="77777777" w:rsidR="008748C1" w:rsidRDefault="00000000">
      <w:pPr>
        <w:numPr>
          <w:ilvl w:val="0"/>
          <w:numId w:val="119"/>
        </w:numPr>
        <w:spacing w:before="20" w:after="20" w:line="240" w:lineRule="auto"/>
        <w:jc w:val="both"/>
        <w:rPr>
          <w:rFonts w:eastAsia="Calibri" w:cs="Times New Roman"/>
          <w:szCs w:val="24"/>
          <w:lang w:eastAsia="es-ES"/>
        </w:rPr>
      </w:pPr>
      <w:r>
        <w:rPr>
          <w:rFonts w:eastAsia="Calibri" w:cs="Times New Roman"/>
          <w:szCs w:val="24"/>
          <w:lang w:eastAsia="es-ES"/>
        </w:rPr>
        <w:t>un instrumento separado con las mismas condiciones del derivado implícito cumpliría con la definición de un derivado; y</w:t>
      </w:r>
    </w:p>
    <w:p w14:paraId="529811BA" w14:textId="77777777" w:rsidR="008748C1" w:rsidRDefault="00000000">
      <w:pPr>
        <w:numPr>
          <w:ilvl w:val="0"/>
          <w:numId w:val="119"/>
        </w:numPr>
        <w:spacing w:before="20" w:after="20" w:line="240" w:lineRule="auto"/>
        <w:jc w:val="both"/>
        <w:rPr>
          <w:rFonts w:eastAsia="Calibri" w:cs="Times New Roman"/>
          <w:szCs w:val="24"/>
          <w:lang w:eastAsia="es-ES"/>
        </w:rPr>
      </w:pPr>
      <w:r>
        <w:rPr>
          <w:rFonts w:eastAsia="Calibri" w:cs="Times New Roman"/>
          <w:szCs w:val="24"/>
          <w:lang w:eastAsia="es-ES"/>
        </w:rPr>
        <w:t>el contrato híbrido no se mide al valor razonable con cambios en el valor razonable reconocidos en el resultado del periodo. Un derivado que se encuentre implícito en un pasivo financiero medido al valor razonable con cambios en resultados no se separa.</w:t>
      </w:r>
    </w:p>
    <w:p w14:paraId="529811BB"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 xml:space="preserve">Si un derivado implícito se separa, el contrato anfitrión se contabilizará de acuerdo con la Norma adecuada. </w:t>
      </w:r>
    </w:p>
    <w:p w14:paraId="529811BC"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 un contrato contiene uno o más derivados implícitos y el anfitrión no es un activo dentro del alcance de la NIIF 9, una empresa puede designar el contrato híbrido en su totalidad como a valor razonable con cambios en resultados a menos que:</w:t>
      </w:r>
    </w:p>
    <w:p w14:paraId="529811BD" w14:textId="77777777" w:rsidR="008748C1" w:rsidRDefault="00000000">
      <w:pPr>
        <w:numPr>
          <w:ilvl w:val="0"/>
          <w:numId w:val="120"/>
        </w:numPr>
        <w:spacing w:before="20" w:after="20" w:line="240" w:lineRule="auto"/>
        <w:jc w:val="both"/>
        <w:rPr>
          <w:rFonts w:eastAsia="Calibri" w:cs="Times New Roman"/>
          <w:szCs w:val="24"/>
          <w:lang w:eastAsia="es-ES"/>
        </w:rPr>
      </w:pPr>
      <w:r>
        <w:rPr>
          <w:rFonts w:eastAsia="Calibri" w:cs="Times New Roman"/>
          <w:szCs w:val="24"/>
          <w:lang w:eastAsia="es-ES"/>
        </w:rPr>
        <w:lastRenderedPageBreak/>
        <w:t>el derivado o derivados implícitos no modifiquen de forma significativa los flujos de efectivo que, en otro caso, serían requeridos por el contrato; o</w:t>
      </w:r>
    </w:p>
    <w:p w14:paraId="529811BE" w14:textId="77777777" w:rsidR="008748C1" w:rsidRDefault="00000000">
      <w:pPr>
        <w:numPr>
          <w:ilvl w:val="0"/>
          <w:numId w:val="120"/>
        </w:numPr>
        <w:spacing w:before="20" w:after="20" w:line="240" w:lineRule="auto"/>
        <w:jc w:val="both"/>
        <w:rPr>
          <w:rFonts w:eastAsia="Calibri" w:cs="Times New Roman"/>
          <w:szCs w:val="24"/>
          <w:lang w:eastAsia="es-ES"/>
        </w:rPr>
      </w:pPr>
      <w:r>
        <w:rPr>
          <w:rFonts w:eastAsia="Calibri" w:cs="Times New Roman"/>
          <w:szCs w:val="24"/>
          <w:lang w:eastAsia="es-ES"/>
        </w:rPr>
        <w:t>resulte claro, con un pequeño análisis o sin él, que al considerar por primera vez un instrumento híbrido similar, está prohibida esa separación del derivado o derivados implícitos, tal como una opción de pago anticipada implícita en un préstamo que permita a su tenedor reembolsar por anticipado el préstamo por aproximadamente su costo amortizado.</w:t>
      </w:r>
    </w:p>
    <w:p w14:paraId="529811BF"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Si se requiere que una empresa separe un derivado implícito de su contrato anfitrión, pero no pudiese medir ese derivado implícito de forma separada, ya sea en la fecha de adquisición o al final de un periodo contable posterior sobre el que se informa, designará la totalidad del contrato híbrido como a valor razonable con cambios en resultados.</w:t>
      </w:r>
    </w:p>
    <w:p w14:paraId="529811C0" w14:textId="77777777" w:rsidR="008748C1" w:rsidRDefault="00000000">
      <w:pPr>
        <w:spacing w:before="60" w:after="60" w:line="240" w:lineRule="auto"/>
        <w:ind w:left="851"/>
        <w:jc w:val="both"/>
        <w:rPr>
          <w:rFonts w:eastAsia="Times New Roman" w:cs="Times New Roman"/>
          <w:lang w:eastAsia="es-ES"/>
        </w:rPr>
      </w:pPr>
      <w:r>
        <w:rPr>
          <w:rFonts w:eastAsia="Times New Roman" w:cs="Times New Roman"/>
          <w:lang w:eastAsia="es-ES"/>
        </w:rPr>
        <w:t>Si una empresa es incapaz de medir con fiabilidad el valor razonable de un derivado implícito sobre la base de sus plazos y condiciones, el valor razonable del derivado implícito será la diferencia entre el valor razonable del contrato híbrido y el valor razonable del contrato anfitrión. Si la empresa es incapaz de medir el valor razonable del derivado implícito utilizando el método descrito, el contrato híbrido se designará como al valor razonable con cambios en resultados.</w:t>
      </w:r>
    </w:p>
    <w:p w14:paraId="529811C1"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381" w:name="_Toc170226261"/>
      <w:bookmarkStart w:id="382" w:name="_Toc145670169"/>
      <w:r>
        <w:rPr>
          <w:rFonts w:eastAsia="Times New Roman" w:cs="Times New Roman"/>
          <w:b/>
          <w:bCs/>
          <w:szCs w:val="24"/>
          <w:lang w:eastAsia="es-ES"/>
        </w:rPr>
        <w:t>VALOR RAZONABLE – ACTIVOS Y PASIVOS FINANCIEROS</w:t>
      </w:r>
      <w:bookmarkEnd w:id="381"/>
      <w:bookmarkEnd w:id="382"/>
    </w:p>
    <w:p w14:paraId="529811C2"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83" w:name="_Toc170226262"/>
      <w:bookmarkStart w:id="384" w:name="_Toc145670170"/>
      <w:r>
        <w:rPr>
          <w:rFonts w:eastAsia="Times New Roman" w:cs="Arial"/>
          <w:b/>
          <w:bCs/>
          <w:szCs w:val="24"/>
          <w:lang w:eastAsia="es-ES"/>
        </w:rPr>
        <w:t>Definición de valor razonable</w:t>
      </w:r>
      <w:bookmarkEnd w:id="383"/>
      <w:bookmarkEnd w:id="384"/>
    </w:p>
    <w:p w14:paraId="529811C3"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 xml:space="preserve">El valor razonable es el precio que se recibiría por vender un activo o se pagaría por transferir un pasivo en una transacción ordenada entre participantes del mercado principal (o más ventajoso en ausencia de un mercado principal) en la fecha de la medición, y bajo las condiciones de mercado presentes independientemente de si ese precio es observable directamente o estimado utilizando otra técnica de </w:t>
      </w:r>
    </w:p>
    <w:p w14:paraId="529811C4"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valorización. El valor razonable es una medición basada en el mercado, no una medición específica de la entidad.</w:t>
      </w:r>
    </w:p>
    <w:p w14:paraId="529811C5"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 xml:space="preserve">Una medición a valor razonable supondrá que el activo o pasivo se intercambia en una transacción ordenada entre participantes del mercado para vender el activo o transferir el pasivo en la fecha de la medición en condiciones de mercado presentes. La medición a valor razonable supondrá que la transacción de venta del activo o transferencia del pasivo tiene lugar: </w:t>
      </w:r>
    </w:p>
    <w:p w14:paraId="529811C6" w14:textId="77777777" w:rsidR="008748C1" w:rsidRDefault="00000000">
      <w:pPr>
        <w:numPr>
          <w:ilvl w:val="0"/>
          <w:numId w:val="121"/>
        </w:numPr>
        <w:spacing w:before="20" w:after="20" w:line="240" w:lineRule="auto"/>
        <w:jc w:val="both"/>
        <w:rPr>
          <w:rFonts w:eastAsia="Calibri" w:cs="Times New Roman"/>
          <w:szCs w:val="24"/>
          <w:lang w:eastAsia="es-ES"/>
        </w:rPr>
      </w:pPr>
      <w:r>
        <w:rPr>
          <w:rFonts w:eastAsia="Calibri" w:cs="Times New Roman"/>
          <w:szCs w:val="24"/>
          <w:lang w:eastAsia="es-ES"/>
        </w:rPr>
        <w:t xml:space="preserve">En el mercado principal del activo o pasivo; o </w:t>
      </w:r>
    </w:p>
    <w:p w14:paraId="529811C7" w14:textId="77777777" w:rsidR="008748C1" w:rsidRDefault="00000000">
      <w:pPr>
        <w:numPr>
          <w:ilvl w:val="0"/>
          <w:numId w:val="121"/>
        </w:numPr>
        <w:spacing w:before="20" w:after="20" w:line="240" w:lineRule="auto"/>
        <w:jc w:val="both"/>
        <w:rPr>
          <w:rFonts w:eastAsia="Calibri" w:cs="Times New Roman"/>
          <w:szCs w:val="24"/>
          <w:lang w:eastAsia="es-ES"/>
        </w:rPr>
      </w:pPr>
      <w:r>
        <w:rPr>
          <w:rFonts w:eastAsia="Calibri" w:cs="Times New Roman"/>
          <w:szCs w:val="24"/>
          <w:lang w:eastAsia="es-ES"/>
        </w:rPr>
        <w:t>En ausencia de un mercado principal, en el mercado más ventajoso para el activo o pasivo.</w:t>
      </w:r>
    </w:p>
    <w:p w14:paraId="529811C8"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Los participantes de mercado son compradores y vendedores en el mercado principal (o más</w:t>
      </w:r>
    </w:p>
    <w:p w14:paraId="529811C9"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ventajoso) del activo o pasivo, que tienen todas las características siguientes:</w:t>
      </w:r>
    </w:p>
    <w:p w14:paraId="529811CA" w14:textId="77777777" w:rsidR="008748C1" w:rsidRDefault="00000000">
      <w:pPr>
        <w:numPr>
          <w:ilvl w:val="0"/>
          <w:numId w:val="122"/>
        </w:numPr>
        <w:spacing w:before="20" w:after="20" w:line="240" w:lineRule="auto"/>
        <w:jc w:val="both"/>
        <w:rPr>
          <w:rFonts w:eastAsia="Calibri" w:cs="Times New Roman"/>
          <w:szCs w:val="24"/>
          <w:lang w:eastAsia="es-ES"/>
        </w:rPr>
      </w:pPr>
      <w:r>
        <w:rPr>
          <w:rFonts w:eastAsia="Calibri" w:cs="Times New Roman"/>
          <w:szCs w:val="24"/>
          <w:lang w:eastAsia="es-ES"/>
        </w:rPr>
        <w:t xml:space="preserve">Son independientes unos de otros, es decir, no son partes relacionadas como se definen en la Norma Internacional de Contabilidad </w:t>
      </w:r>
      <w:proofErr w:type="spellStart"/>
      <w:r>
        <w:rPr>
          <w:rFonts w:eastAsia="Calibri" w:cs="Times New Roman"/>
          <w:szCs w:val="24"/>
          <w:lang w:eastAsia="es-ES"/>
        </w:rPr>
        <w:t>N°</w:t>
      </w:r>
      <w:proofErr w:type="spellEnd"/>
      <w:r>
        <w:rPr>
          <w:rFonts w:eastAsia="Calibri" w:cs="Times New Roman"/>
          <w:szCs w:val="24"/>
          <w:lang w:eastAsia="es-ES"/>
        </w:rPr>
        <w:t xml:space="preserve"> 24: “Información a revelar sobre partes relacionadas”, aunque el precio de una transacción entre partes relacionadas puede utilizarse como un dato de entrada para una medición del valor razonable si la empresa tiene evidencia de que la transacción se realizó en condiciones de mercado.</w:t>
      </w:r>
    </w:p>
    <w:p w14:paraId="529811CB" w14:textId="77777777" w:rsidR="008748C1" w:rsidRDefault="00000000">
      <w:pPr>
        <w:numPr>
          <w:ilvl w:val="0"/>
          <w:numId w:val="122"/>
        </w:numPr>
        <w:spacing w:before="20" w:after="20" w:line="240" w:lineRule="auto"/>
        <w:jc w:val="both"/>
        <w:rPr>
          <w:rFonts w:eastAsia="Calibri" w:cs="Times New Roman"/>
          <w:szCs w:val="24"/>
          <w:lang w:eastAsia="es-ES"/>
        </w:rPr>
      </w:pPr>
      <w:r>
        <w:rPr>
          <w:rFonts w:eastAsia="Calibri" w:cs="Times New Roman"/>
          <w:szCs w:val="24"/>
          <w:lang w:eastAsia="es-ES"/>
        </w:rPr>
        <w:t>Están debidamente informados, tienen una comprensión razonable del activo o pasivo, y utilizan en la transacción toda la información disponible, incluida la información que puede obtenerse empleando la debida diligencia usual y habitual.</w:t>
      </w:r>
    </w:p>
    <w:p w14:paraId="529811CC" w14:textId="77777777" w:rsidR="008748C1" w:rsidRDefault="00000000">
      <w:pPr>
        <w:numPr>
          <w:ilvl w:val="0"/>
          <w:numId w:val="122"/>
        </w:numPr>
        <w:spacing w:before="20" w:after="20" w:line="240" w:lineRule="auto"/>
        <w:jc w:val="both"/>
        <w:rPr>
          <w:rFonts w:eastAsia="Calibri" w:cs="Times New Roman"/>
          <w:szCs w:val="24"/>
          <w:lang w:eastAsia="es-ES"/>
        </w:rPr>
      </w:pPr>
      <w:r>
        <w:rPr>
          <w:rFonts w:eastAsia="Calibri" w:cs="Times New Roman"/>
          <w:szCs w:val="24"/>
          <w:lang w:eastAsia="es-ES"/>
        </w:rPr>
        <w:t>Son capaces de realizar una transacción para el activo o pasivo.</w:t>
      </w:r>
    </w:p>
    <w:p w14:paraId="529811CD" w14:textId="77777777" w:rsidR="008748C1" w:rsidRDefault="00000000">
      <w:pPr>
        <w:numPr>
          <w:ilvl w:val="0"/>
          <w:numId w:val="122"/>
        </w:numPr>
        <w:spacing w:before="20" w:after="20" w:line="240" w:lineRule="auto"/>
        <w:jc w:val="both"/>
        <w:rPr>
          <w:rFonts w:eastAsia="Calibri" w:cs="Times New Roman"/>
          <w:szCs w:val="24"/>
          <w:lang w:eastAsia="es-ES"/>
        </w:rPr>
      </w:pPr>
      <w:r>
        <w:rPr>
          <w:rFonts w:eastAsia="Calibri" w:cs="Times New Roman"/>
          <w:szCs w:val="24"/>
          <w:lang w:eastAsia="es-ES"/>
        </w:rPr>
        <w:t>Tienen voluntad de realizar una transacción con el activo o pasivo, es decir, están motivados, pero no forzados u obligados de otra forma a hacerlo.</w:t>
      </w:r>
    </w:p>
    <w:p w14:paraId="529811CE"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 xml:space="preserve">Si un activo o un pasivo medido a valor razonable tiene un precio comprador y un precio vendedor (por ejemplo, un dato de entrada procedente de un mercado de intermediación financiera), el precio dentro </w:t>
      </w:r>
      <w:r>
        <w:rPr>
          <w:rFonts w:eastAsia="Arial Narrow" w:cs="Arial Narrow"/>
          <w:szCs w:val="24"/>
          <w:lang w:eastAsia="es-ES"/>
        </w:rPr>
        <w:lastRenderedPageBreak/>
        <w:t>del diferencial de precios comprador-vendedor que sea el más representativo del valor razonable en esas circunstancias se utilizará para medir el valor razonable independientemente de dónde se clasifique el dato de entrada en la jerarquía del valor razonable. Se permite el uso de precios de comprador para posiciones de activo, y precios de vendedor para posiciones de pasivo.</w:t>
      </w:r>
    </w:p>
    <w:p w14:paraId="529811CF"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No se impide el uso de precios de mercado medios u otras convenciones para fijar precios que utilizan los participantes del mercado como un recurso práctico para las mediciones del valor razonable dentro de un diferencial de precios comprador-vendedor.</w:t>
      </w:r>
    </w:p>
    <w:p w14:paraId="529811D0"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85" w:name="_Toc170226263"/>
      <w:bookmarkStart w:id="386" w:name="_Toc145670171"/>
      <w:r>
        <w:rPr>
          <w:rFonts w:eastAsia="Times New Roman" w:cs="Arial"/>
          <w:b/>
          <w:bCs/>
          <w:szCs w:val="24"/>
          <w:lang w:eastAsia="es-ES"/>
        </w:rPr>
        <w:t>Jerarquía de valor razonable</w:t>
      </w:r>
      <w:bookmarkEnd w:id="385"/>
      <w:bookmarkEnd w:id="386"/>
      <w:r>
        <w:rPr>
          <w:rFonts w:eastAsia="Times New Roman" w:cs="Arial"/>
          <w:b/>
          <w:bCs/>
          <w:szCs w:val="24"/>
          <w:lang w:eastAsia="es-ES"/>
        </w:rPr>
        <w:t xml:space="preserve"> </w:t>
      </w:r>
    </w:p>
    <w:p w14:paraId="529811D1"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La jerarquía del valor razonable clasifica los datos de entrada utilizados para la determinación del valor razonable de un instrumento financiero en tres niveles, otorgando la mayor prioridad a los precios cotizados (sin ajustar) en mercados activos para activos o pasivos idénticos (datos de entrada de Nivel 1 y la menor prioridad a los datos de entrada no observables (datos de entrada de Nivel 3). Cuando exista un precio cotizado en un mercado activo, las empresas deberán utilizar dicho precio sin ajuste para medir el valor razonable. En los demás casos el valor razonable se obtendrá mediante la aplicación de técnicas de valoración.</w:t>
      </w:r>
    </w:p>
    <w:p w14:paraId="529811D2"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Las empresas utilizarán técnicas de valoración apropiadas a las circunstancias y sobre las cuales existan datos suficientes disponibles, en todos los casos dichas técnicas de valoración deberán maximizar el uso de datos de entrada observables relevantes y minimizar el uso de datos de entrada no observables. En ese sentido, se deberá identificar la jerarquía de valor razonable de los datos de entrada utilizados para cada valoración considerando tres niveles.</w:t>
      </w:r>
    </w:p>
    <w:p w14:paraId="529811D3" w14:textId="77777777" w:rsidR="008748C1" w:rsidRDefault="00000000">
      <w:pPr>
        <w:spacing w:before="60" w:after="60" w:line="240" w:lineRule="auto"/>
        <w:ind w:left="851"/>
        <w:jc w:val="both"/>
        <w:rPr>
          <w:rFonts w:eastAsia="Arial Narrow" w:cs="Arial Narrow"/>
          <w:szCs w:val="24"/>
          <w:lang w:eastAsia="es-ES"/>
        </w:rPr>
      </w:pPr>
      <w:r>
        <w:rPr>
          <w:rStyle w:val="normaltextrun"/>
        </w:rPr>
        <w:t>Las técnicas de valoración pueden llegar a utilizar datos de entrada clasificados en distintos niveles de jerarquía de valor razonable. En dichos casos, la medición del valor razonable se debe clasificar en su totalidad en el mismo nivel de jerarquía de valor razonable que el dato de entrada de nivel más bajo (conservador) que sea significativo para la medición completa. Las empresas deben especificar en sus manuales de políticas y procedimientos los modelos y criterios específicos utilizados para evaluar la relevancia de los datos de entrada utilizados para sus mediciones de valor razonable.</w:t>
      </w:r>
    </w:p>
    <w:p w14:paraId="529811D4"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87" w:name="_Toc170226264"/>
      <w:r>
        <w:rPr>
          <w:rFonts w:eastAsia="Times New Roman" w:cs="Arial"/>
          <w:b/>
          <w:szCs w:val="24"/>
          <w:lang w:eastAsia="es-ES"/>
        </w:rPr>
        <w:t>Datos de entrada de Nivel 1</w:t>
      </w:r>
      <w:bookmarkEnd w:id="387"/>
    </w:p>
    <w:p w14:paraId="529811D5"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Los datos de entrada de Nivel 1 son precios cotizados (sin ajustar) en mercados activos para activos o pasivos idénticos a los que la empresa puede acceder en la fecha de la medición.</w:t>
      </w:r>
    </w:p>
    <w:p w14:paraId="529811D6"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Un precio cotizado en un mercado activo proporciona la evidencia más fiable del valor razonable y se utilizará sin ajuste para medir el valor razonable siempre que estén disponibles.</w:t>
      </w:r>
    </w:p>
    <w:p w14:paraId="529811D7"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 xml:space="preserve">Un dato de entrada de Nivel 1 estará disponible para muchos </w:t>
      </w:r>
      <w:proofErr w:type="gramStart"/>
      <w:r>
        <w:rPr>
          <w:rFonts w:eastAsia="Arial Narrow" w:cs="Arial Narrow"/>
          <w:szCs w:val="24"/>
          <w:lang w:eastAsia="es-ES"/>
        </w:rPr>
        <w:t>activos financieros y pasivos financieros</w:t>
      </w:r>
      <w:proofErr w:type="gramEnd"/>
      <w:r>
        <w:rPr>
          <w:rFonts w:eastAsia="Arial Narrow" w:cs="Arial Narrow"/>
          <w:szCs w:val="24"/>
          <w:lang w:eastAsia="es-ES"/>
        </w:rPr>
        <w:t>, algunos de los cuales pueden ser intercambiados en mercados activos múltiples. Por ello, el énfasis dentro del Nivel 1 se pone en la determinación de los dos elementos siguientes:</w:t>
      </w:r>
    </w:p>
    <w:p w14:paraId="529811D8" w14:textId="77777777" w:rsidR="008748C1" w:rsidRDefault="00000000">
      <w:pPr>
        <w:numPr>
          <w:ilvl w:val="0"/>
          <w:numId w:val="123"/>
        </w:numPr>
        <w:spacing w:before="20" w:after="20" w:line="240" w:lineRule="auto"/>
        <w:jc w:val="both"/>
        <w:rPr>
          <w:rFonts w:eastAsia="Calibri" w:cs="Times New Roman"/>
          <w:szCs w:val="24"/>
          <w:lang w:eastAsia="es-ES"/>
        </w:rPr>
      </w:pPr>
      <w:r>
        <w:rPr>
          <w:rFonts w:eastAsia="Calibri" w:cs="Times New Roman"/>
          <w:szCs w:val="24"/>
          <w:lang w:eastAsia="es-ES"/>
        </w:rPr>
        <w:t>el mercado principal para el activo o pasivo o, en ausencia de un mercado principal, el mercado más ventajoso para el activo o el pasivo; y</w:t>
      </w:r>
    </w:p>
    <w:p w14:paraId="529811D9" w14:textId="77777777" w:rsidR="008748C1" w:rsidRDefault="00000000">
      <w:pPr>
        <w:numPr>
          <w:ilvl w:val="0"/>
          <w:numId w:val="123"/>
        </w:numPr>
        <w:spacing w:before="20" w:after="20" w:line="240" w:lineRule="auto"/>
        <w:jc w:val="both"/>
        <w:rPr>
          <w:rFonts w:eastAsia="Calibri" w:cs="Times New Roman"/>
          <w:szCs w:val="24"/>
          <w:lang w:eastAsia="es-ES"/>
        </w:rPr>
      </w:pPr>
      <w:r>
        <w:rPr>
          <w:rFonts w:eastAsia="Calibri" w:cs="Times New Roman"/>
          <w:szCs w:val="24"/>
          <w:lang w:eastAsia="es-ES"/>
        </w:rPr>
        <w:t>si la empresa puede realizar una transacción para el activo o pasivo al precio de ese mercado en la fecha de la medición.</w:t>
      </w:r>
    </w:p>
    <w:p w14:paraId="529811DA"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Una empresa no realizará un ajuste a un dato de entrada de Nivel 1 excepto en las siguientes circunstancias:</w:t>
      </w:r>
    </w:p>
    <w:p w14:paraId="529811DB" w14:textId="77777777" w:rsidR="008748C1" w:rsidRDefault="00000000">
      <w:pPr>
        <w:numPr>
          <w:ilvl w:val="0"/>
          <w:numId w:val="124"/>
        </w:numPr>
        <w:spacing w:before="20" w:after="20" w:line="240" w:lineRule="auto"/>
        <w:jc w:val="both"/>
        <w:rPr>
          <w:rFonts w:eastAsia="Calibri" w:cs="Times New Roman"/>
          <w:szCs w:val="24"/>
          <w:lang w:eastAsia="es-ES"/>
        </w:rPr>
      </w:pPr>
      <w:r>
        <w:rPr>
          <w:rFonts w:eastAsia="Calibri" w:cs="Times New Roman"/>
          <w:szCs w:val="24"/>
          <w:lang w:eastAsia="es-ES"/>
        </w:rPr>
        <w:t xml:space="preserve">Cuando una empresa mantiene un gran número de activos o pasivos similares (pero no idénticos) (por ejemplo, títulos valores de deuda) que se miden a valor razonable y está disponible un precio cotizado en un mercado activo, pero no fácilmente accesible para cada uno de esos activos o pasivos individualmente. En ese caso, como un recurso práctico, una empresa puede medir el valor razonable utilizando un método de fijación de precios alternativo que no se base </w:t>
      </w:r>
      <w:r>
        <w:rPr>
          <w:rFonts w:eastAsia="Calibri" w:cs="Times New Roman"/>
          <w:szCs w:val="24"/>
          <w:lang w:eastAsia="es-ES"/>
        </w:rPr>
        <w:lastRenderedPageBreak/>
        <w:t>exclusivamente en precios cotizados (por ejemplo, matriz de fijación de precios). Sin embargo, el uso de un método de fijación de precios alternativo da lugar a una medición del valor razonable clasificada dentro de un nivel más bajo de la jerarquía del valor razonable.</w:t>
      </w:r>
    </w:p>
    <w:p w14:paraId="529811DC" w14:textId="77777777" w:rsidR="008748C1" w:rsidRDefault="00000000">
      <w:pPr>
        <w:numPr>
          <w:ilvl w:val="0"/>
          <w:numId w:val="124"/>
        </w:numPr>
        <w:spacing w:before="20" w:after="20" w:line="240" w:lineRule="auto"/>
        <w:jc w:val="both"/>
        <w:rPr>
          <w:rFonts w:eastAsia="Calibri" w:cs="Times New Roman"/>
          <w:szCs w:val="24"/>
          <w:lang w:eastAsia="es-ES"/>
        </w:rPr>
      </w:pPr>
      <w:r>
        <w:rPr>
          <w:rFonts w:eastAsia="Calibri" w:cs="Times New Roman"/>
          <w:szCs w:val="24"/>
          <w:lang w:eastAsia="es-ES"/>
        </w:rPr>
        <w:t xml:space="preserve">Cuando un precio cotizado en un mercado activo no representa el valor razonable en la fecha de la medición. </w:t>
      </w:r>
    </w:p>
    <w:p w14:paraId="529811DD" w14:textId="77777777" w:rsidR="008748C1" w:rsidRDefault="00000000">
      <w:pPr>
        <w:numPr>
          <w:ilvl w:val="0"/>
          <w:numId w:val="124"/>
        </w:numPr>
        <w:spacing w:before="20" w:after="20" w:line="240" w:lineRule="auto"/>
        <w:jc w:val="both"/>
        <w:rPr>
          <w:rFonts w:eastAsia="Calibri" w:cs="Times New Roman"/>
          <w:szCs w:val="24"/>
          <w:lang w:eastAsia="es-ES"/>
        </w:rPr>
      </w:pPr>
      <w:r>
        <w:rPr>
          <w:rFonts w:eastAsia="Calibri" w:cs="Times New Roman"/>
          <w:szCs w:val="24"/>
          <w:lang w:eastAsia="es-ES"/>
        </w:rPr>
        <w:t>Al medir el valor razonable de un pasivo o de un instrumento de patrimonio propio de una empresa utilizando el precio cotizado para el elemento idéntico negociado como un activo en un mercado activo, y ese precio necesita ajustarse por factores específicos del elemento o del activo. Si no se requiere un ajuste al precio cotizado del activo, el resultado será una medición del valor razonable clasificada dentro del Nivel 1 de la jerarquía del valor razonable. Sin embargo, cualquier ajuste al precio cotizado del activo dará lugar a una medición del valor razonable clasificada dentro de un nivel más bajo de la jerarquía del valor razonable.</w:t>
      </w:r>
    </w:p>
    <w:p w14:paraId="529811DE"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Si una empresa mantiene una posición en un activo o pasivo único y el activo o pasivo se negocia en un mercado activo, el valor razonable del activo o pasivo se medirá dentro del Nivel 1 como el producto del precio cotizado para el activo o pasivo individual y la cantidad mantenida por la empresa.</w:t>
      </w:r>
    </w:p>
    <w:p w14:paraId="529811DF"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88" w:name="_Toc170226265"/>
      <w:r>
        <w:rPr>
          <w:rFonts w:eastAsia="Times New Roman" w:cs="Arial"/>
          <w:b/>
          <w:szCs w:val="24"/>
          <w:lang w:eastAsia="es-ES"/>
        </w:rPr>
        <w:t>Datos de entrada de Nivel 2</w:t>
      </w:r>
      <w:bookmarkEnd w:id="388"/>
    </w:p>
    <w:p w14:paraId="529811E0"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Los datos de entrada de Nivel 2 son distintos de los precios cotizados incluidos en el Nivel 1 que son observables para los activos o pasivos, directa o indirectamente.</w:t>
      </w:r>
    </w:p>
    <w:p w14:paraId="529811E1" w14:textId="77777777" w:rsidR="008748C1" w:rsidRDefault="00000000">
      <w:pPr>
        <w:spacing w:before="60" w:after="60" w:line="240" w:lineRule="auto"/>
        <w:ind w:left="851"/>
        <w:jc w:val="both"/>
        <w:rPr>
          <w:rFonts w:eastAsia="Times New Roman" w:cs="Times New Roman"/>
          <w:szCs w:val="24"/>
          <w:lang w:eastAsia="es-ES"/>
        </w:rPr>
      </w:pPr>
      <w:r>
        <w:rPr>
          <w:rFonts w:eastAsia="Arial Narrow" w:cs="Arial Narrow"/>
          <w:szCs w:val="24"/>
          <w:lang w:eastAsia="es-ES"/>
        </w:rPr>
        <w:t>Si el activo o pasivo tiene un plazo especificado (contractualmente), el dato de entrada de Nivel 2 debe ser observable, para el citado activo o pasivo, durante la totalidad de dicho plazo. Los datos de entrada</w:t>
      </w:r>
      <w:r>
        <w:rPr>
          <w:rFonts w:eastAsia="Times New Roman" w:cs="Times New Roman"/>
          <w:szCs w:val="24"/>
          <w:lang w:eastAsia="es-ES"/>
        </w:rPr>
        <w:t xml:space="preserve"> de Nivel 2 incluyen los siguientes elementos: </w:t>
      </w:r>
    </w:p>
    <w:p w14:paraId="529811E2" w14:textId="77777777" w:rsidR="008748C1" w:rsidRDefault="00000000">
      <w:pPr>
        <w:numPr>
          <w:ilvl w:val="0"/>
          <w:numId w:val="125"/>
        </w:numPr>
        <w:spacing w:before="20" w:after="20" w:line="240" w:lineRule="auto"/>
        <w:jc w:val="both"/>
        <w:rPr>
          <w:rFonts w:eastAsia="Calibri" w:cs="Times New Roman"/>
          <w:szCs w:val="24"/>
          <w:lang w:eastAsia="es-ES"/>
        </w:rPr>
      </w:pPr>
      <w:r>
        <w:rPr>
          <w:rFonts w:eastAsia="Calibri" w:cs="Times New Roman"/>
          <w:szCs w:val="24"/>
          <w:lang w:eastAsia="es-ES"/>
        </w:rPr>
        <w:t>precios cotizados para activos o pasivos similares en mercado activos.</w:t>
      </w:r>
    </w:p>
    <w:p w14:paraId="529811E3" w14:textId="77777777" w:rsidR="008748C1" w:rsidRDefault="00000000">
      <w:pPr>
        <w:numPr>
          <w:ilvl w:val="0"/>
          <w:numId w:val="125"/>
        </w:numPr>
        <w:spacing w:before="20" w:after="20" w:line="240" w:lineRule="auto"/>
        <w:jc w:val="both"/>
        <w:rPr>
          <w:rFonts w:eastAsia="Calibri" w:cs="Times New Roman"/>
          <w:szCs w:val="24"/>
          <w:lang w:eastAsia="es-ES"/>
        </w:rPr>
      </w:pPr>
      <w:r>
        <w:rPr>
          <w:rFonts w:eastAsia="Calibri" w:cs="Times New Roman"/>
          <w:szCs w:val="24"/>
          <w:lang w:eastAsia="es-ES"/>
        </w:rPr>
        <w:t>precios cotizados para activos o pasivos idénticos o similares en mercados que no son activos.</w:t>
      </w:r>
    </w:p>
    <w:p w14:paraId="529811E4" w14:textId="77777777" w:rsidR="008748C1" w:rsidRDefault="00000000">
      <w:pPr>
        <w:numPr>
          <w:ilvl w:val="0"/>
          <w:numId w:val="125"/>
        </w:numPr>
        <w:spacing w:before="20" w:after="20" w:line="240" w:lineRule="auto"/>
        <w:jc w:val="both"/>
        <w:rPr>
          <w:rFonts w:eastAsia="Calibri" w:cs="Times New Roman"/>
          <w:szCs w:val="24"/>
          <w:lang w:eastAsia="es-ES"/>
        </w:rPr>
      </w:pPr>
      <w:r>
        <w:rPr>
          <w:rFonts w:eastAsia="Calibri" w:cs="Times New Roman"/>
          <w:szCs w:val="24"/>
          <w:lang w:eastAsia="es-ES"/>
        </w:rPr>
        <w:t>datos de entrada distintos de los precios cotizados que son observables para el activo o pasivo, por ejemplo:</w:t>
      </w:r>
    </w:p>
    <w:p w14:paraId="529811E5" w14:textId="77777777" w:rsidR="008748C1" w:rsidRDefault="00000000">
      <w:pPr>
        <w:numPr>
          <w:ilvl w:val="0"/>
          <w:numId w:val="126"/>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tasas de interés y curvas de rendimiento observables en intervalos cotizados comúnmente;</w:t>
      </w:r>
    </w:p>
    <w:p w14:paraId="529811E6" w14:textId="77777777" w:rsidR="008748C1" w:rsidRDefault="00000000">
      <w:pPr>
        <w:numPr>
          <w:ilvl w:val="0"/>
          <w:numId w:val="126"/>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volatilidades implícitas; y</w:t>
      </w:r>
    </w:p>
    <w:p w14:paraId="529811E7" w14:textId="77777777" w:rsidR="008748C1" w:rsidRDefault="00000000">
      <w:pPr>
        <w:numPr>
          <w:ilvl w:val="0"/>
          <w:numId w:val="126"/>
        </w:numPr>
        <w:tabs>
          <w:tab w:val="left" w:pos="1701"/>
        </w:tabs>
        <w:spacing w:before="30" w:after="30" w:line="240" w:lineRule="auto"/>
        <w:jc w:val="both"/>
        <w:rPr>
          <w:rFonts w:ascii="Arial" w:eastAsia="Times New Roman" w:hAnsi="Arial" w:cs="Times New Roman"/>
          <w:szCs w:val="24"/>
          <w:lang w:eastAsia="es-ES"/>
        </w:rPr>
      </w:pPr>
      <w:r>
        <w:rPr>
          <w:rFonts w:eastAsia="Times New Roman" w:cs="Times New Roman"/>
          <w:szCs w:val="24"/>
          <w:lang w:eastAsia="es-ES"/>
        </w:rPr>
        <w:t>diferenciales de crédito.</w:t>
      </w:r>
    </w:p>
    <w:p w14:paraId="529811E8" w14:textId="77777777" w:rsidR="008748C1" w:rsidRDefault="00000000">
      <w:pPr>
        <w:numPr>
          <w:ilvl w:val="0"/>
          <w:numId w:val="126"/>
        </w:numPr>
        <w:tabs>
          <w:tab w:val="left" w:pos="1701"/>
        </w:tabs>
        <w:spacing w:before="30" w:after="30" w:line="240" w:lineRule="auto"/>
        <w:jc w:val="both"/>
        <w:rPr>
          <w:rFonts w:eastAsia="Times New Roman" w:cs="Times New Roman"/>
          <w:szCs w:val="24"/>
          <w:lang w:eastAsia="es-ES"/>
        </w:rPr>
      </w:pPr>
      <w:r>
        <w:rPr>
          <w:rFonts w:eastAsia="Times New Roman" w:cs="Times New Roman"/>
          <w:szCs w:val="24"/>
          <w:lang w:eastAsia="es-ES"/>
        </w:rPr>
        <w:t xml:space="preserve">datos de entrada corroborados por el mercado. </w:t>
      </w:r>
    </w:p>
    <w:p w14:paraId="529811E9"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Los ajustes a los datos de entrada de Nivel 2 variarán dependiendo de factores específicos del activo o pasivo. Esos factores incluyen los siguientes:</w:t>
      </w:r>
    </w:p>
    <w:p w14:paraId="529811EA" w14:textId="77777777" w:rsidR="008748C1" w:rsidRDefault="00000000">
      <w:pPr>
        <w:numPr>
          <w:ilvl w:val="0"/>
          <w:numId w:val="127"/>
        </w:numPr>
        <w:spacing w:before="20" w:after="20" w:line="240" w:lineRule="auto"/>
        <w:jc w:val="both"/>
        <w:rPr>
          <w:rFonts w:eastAsia="Calibri" w:cs="Times New Roman"/>
          <w:szCs w:val="24"/>
          <w:lang w:eastAsia="es-ES"/>
        </w:rPr>
      </w:pPr>
      <w:r>
        <w:rPr>
          <w:rFonts w:eastAsia="Calibri" w:cs="Times New Roman"/>
          <w:szCs w:val="24"/>
          <w:lang w:eastAsia="es-ES"/>
        </w:rPr>
        <w:t xml:space="preserve">la condición y localización del activo; </w:t>
      </w:r>
    </w:p>
    <w:p w14:paraId="529811EB" w14:textId="77777777" w:rsidR="008748C1" w:rsidRDefault="00000000">
      <w:pPr>
        <w:numPr>
          <w:ilvl w:val="0"/>
          <w:numId w:val="127"/>
        </w:numPr>
        <w:spacing w:before="20" w:after="20" w:line="240" w:lineRule="auto"/>
        <w:jc w:val="both"/>
        <w:rPr>
          <w:rFonts w:eastAsia="Calibri" w:cs="Times New Roman"/>
          <w:szCs w:val="24"/>
          <w:lang w:eastAsia="es-ES"/>
        </w:rPr>
      </w:pPr>
      <w:r>
        <w:rPr>
          <w:rFonts w:eastAsia="Calibri" w:cs="Times New Roman"/>
          <w:szCs w:val="24"/>
          <w:lang w:eastAsia="es-ES"/>
        </w:rPr>
        <w:t xml:space="preserve">la medida en que los datos de entrada están relacionados con las partidas que son comparables al activo o pasivo </w:t>
      </w:r>
    </w:p>
    <w:p w14:paraId="529811EC" w14:textId="77777777" w:rsidR="008748C1" w:rsidRDefault="00000000">
      <w:pPr>
        <w:numPr>
          <w:ilvl w:val="0"/>
          <w:numId w:val="127"/>
        </w:numPr>
        <w:spacing w:before="20" w:after="20" w:line="240" w:lineRule="auto"/>
        <w:jc w:val="both"/>
        <w:rPr>
          <w:rFonts w:eastAsia="Calibri" w:cs="Times New Roman"/>
          <w:szCs w:val="24"/>
          <w:lang w:eastAsia="es-ES"/>
        </w:rPr>
      </w:pPr>
      <w:r>
        <w:rPr>
          <w:rFonts w:eastAsia="Calibri" w:cs="Times New Roman"/>
          <w:szCs w:val="24"/>
          <w:lang w:eastAsia="es-ES"/>
        </w:rPr>
        <w:t xml:space="preserve">el volumen o nivel de actividad en los mercados dentro de los cuales se observan los datos de entrada. </w:t>
      </w:r>
    </w:p>
    <w:p w14:paraId="529811ED"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Un ajuste a un dato de entrada de Nivel 2 que sea significativo para la medición completa puede dar lugar a una medición del valor razonable clasificada dentro del Nivel 3 de la jerarquía del valor razonable si el ajuste utiliza datos de entrada no observables significativos.</w:t>
      </w:r>
    </w:p>
    <w:p w14:paraId="529811EE"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89" w:name="_Toc170226266"/>
      <w:r>
        <w:rPr>
          <w:rFonts w:eastAsia="Times New Roman" w:cs="Arial"/>
          <w:b/>
          <w:szCs w:val="24"/>
          <w:lang w:eastAsia="es-ES"/>
        </w:rPr>
        <w:t>Datos de entrada de Nivel 3</w:t>
      </w:r>
      <w:bookmarkEnd w:id="389"/>
    </w:p>
    <w:p w14:paraId="529811EF"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Los datos de entrada de Nivel 3 son datos de entrada no observables para el activo o pasivo.</w:t>
      </w:r>
    </w:p>
    <w:p w14:paraId="529811F0"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 xml:space="preserve">Los datos de entrada no observables se utilizarán para medir el valor razonable en la medida en que los datos de entrada observables relevantes no estén disponibles, teniendo en cuenta, de ese modo, </w:t>
      </w:r>
      <w:r>
        <w:rPr>
          <w:rFonts w:eastAsia="Arial Narrow" w:cs="Arial Narrow"/>
          <w:szCs w:val="24"/>
          <w:lang w:eastAsia="es-ES"/>
        </w:rPr>
        <w:lastRenderedPageBreak/>
        <w:t xml:space="preserve">situaciones en las que existe poca o alguna actividad de mercado para el activo o pasivo en la fecha de la medición. </w:t>
      </w:r>
    </w:p>
    <w:p w14:paraId="529811F1"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Los datos de entrada no observables reflejarán los supuestos que los participantes del mercado utilizarían al fijar el precio del activo o pasivo, incluyendo supuestos sobre el riesgo.</w:t>
      </w:r>
    </w:p>
    <w:p w14:paraId="529811F2"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Los supuestos sobre el riesgo incluyen el riesgo inherente a una técnica de valoración concreta utilizada para medir el valor razonable y el riesgo inherente a los datos de entrada de la técnica de valoración. Una medición que no incluye un ajuste por riesgo no representaría una medición del valor razonable si los participantes del mercado incluyeran uno al fijar el precio del activo o pasivo.</w:t>
      </w:r>
    </w:p>
    <w:p w14:paraId="529811F3"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Una empresa desarrollará datos de entrada no observables utilizando la mejor información disponible en esas circunstancias, que puede incluir datos propios de la empresa. Al desarrollar datos de entrada no observables, una empresa puede comenzar con sus datos propios, pero ajustará esos datos si la información disponible indica razonablemente que otros participantes del mercado utilizarían datos diferentes o hay algo concreto en la empresa que no está disponible para otros participantes del mercado.</w:t>
      </w:r>
    </w:p>
    <w:p w14:paraId="529811F4"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Una empresa no necesita llevar a cabo esfuerzos exhaustivos para obtener información sobre los supuestos de los participantes del mercado. Sin embargo, una empresa tendrá en cuenta toda la información sobre los supuestos de los participantes del mercado que esté razonablemente disponible. Los datos de entrada no observables desarrollados en la forma descrita anteriormente se considerarán supuestos de los participantes del mercado y cumplen el objetivo de una medición del valor razonable.</w:t>
      </w:r>
    </w:p>
    <w:p w14:paraId="529811F5"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390" w:name="_Toc170226271"/>
      <w:bookmarkStart w:id="391" w:name="_Toc145670172"/>
      <w:r>
        <w:rPr>
          <w:rFonts w:eastAsia="Times New Roman" w:cs="Arial"/>
          <w:b/>
          <w:bCs/>
          <w:szCs w:val="24"/>
          <w:lang w:eastAsia="es-ES"/>
        </w:rPr>
        <w:t>Técnicas de valoración</w:t>
      </w:r>
      <w:bookmarkEnd w:id="390"/>
      <w:bookmarkEnd w:id="391"/>
    </w:p>
    <w:p w14:paraId="529811F6"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El objetivo de utilizar técnicas de valoración es estimar el precio al que tendría lugar una transacción ordenada de venta del activo o transferencia del pasivo entre participantes del mercado en la fecha de medición y bajo las condiciones de mercado actuales. Una empresa utilizará las técnicas de valoración que sean apropiadas a las circunstancias y sobre las cuales existan datos suficientes disponibles para medir el valor razonable, maximizando el uso de datos de entrada observables relevantes y minimizando el uso de datos de entrada no observables. Las técnicas de valoración pueden tener tres enfoques:</w:t>
      </w:r>
    </w:p>
    <w:p w14:paraId="529811F7" w14:textId="77777777" w:rsidR="008748C1" w:rsidRDefault="008748C1">
      <w:pPr>
        <w:autoSpaceDE w:val="0"/>
        <w:autoSpaceDN w:val="0"/>
        <w:adjustRightInd w:val="0"/>
        <w:spacing w:after="0" w:line="240" w:lineRule="auto"/>
        <w:ind w:left="425"/>
        <w:jc w:val="both"/>
        <w:rPr>
          <w:rFonts w:eastAsia="Times New Roman" w:cs="SwiftLTStd-Regular"/>
          <w:szCs w:val="24"/>
          <w:lang w:eastAsia="es-ES"/>
        </w:rPr>
      </w:pPr>
    </w:p>
    <w:p w14:paraId="529811F8" w14:textId="77777777" w:rsidR="008748C1" w:rsidRDefault="00000000">
      <w:pPr>
        <w:autoSpaceDE w:val="0"/>
        <w:autoSpaceDN w:val="0"/>
        <w:adjustRightInd w:val="0"/>
        <w:spacing w:after="0" w:line="240" w:lineRule="auto"/>
        <w:ind w:left="425"/>
        <w:jc w:val="both"/>
        <w:rPr>
          <w:rFonts w:eastAsia="Times New Roman" w:cs="SwiftLTStd-Regular"/>
          <w:szCs w:val="24"/>
          <w:lang w:eastAsia="es-ES"/>
        </w:rPr>
      </w:pPr>
      <w:r>
        <w:rPr>
          <w:rFonts w:eastAsia="Times New Roman" w:cs="SwiftLTStd-Regular"/>
          <w:b/>
          <w:bCs/>
          <w:szCs w:val="24"/>
          <w:u w:val="single"/>
          <w:lang w:eastAsia="es-ES"/>
        </w:rPr>
        <w:t>Enfoques de las técnicas de valoración</w:t>
      </w:r>
      <w:r>
        <w:rPr>
          <w:rFonts w:eastAsia="Times New Roman" w:cs="SwiftLTStd-Regular"/>
          <w:szCs w:val="24"/>
          <w:lang w:eastAsia="es-ES"/>
        </w:rPr>
        <w:t>:</w:t>
      </w:r>
    </w:p>
    <w:p w14:paraId="529811F9"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92" w:name="_Toc170226272"/>
      <w:r>
        <w:rPr>
          <w:rFonts w:eastAsia="Times New Roman" w:cs="Arial"/>
          <w:b/>
          <w:szCs w:val="24"/>
          <w:lang w:eastAsia="es-ES"/>
        </w:rPr>
        <w:t>Enfoque de mercado</w:t>
      </w:r>
      <w:bookmarkEnd w:id="392"/>
    </w:p>
    <w:p w14:paraId="529811FA"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 xml:space="preserve">El enfoque de mercado utiliza los precios y otra información relevante generada por transacciones de mercado que implican activos, pasivos o un grupo de activos y pasivos idénticos o comparables (es decir, similares), tales como un negocio. </w:t>
      </w:r>
    </w:p>
    <w:p w14:paraId="529811FB"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93" w:name="_Toc170226273"/>
      <w:r>
        <w:rPr>
          <w:rFonts w:eastAsia="Times New Roman" w:cs="Arial"/>
          <w:b/>
          <w:szCs w:val="24"/>
          <w:lang w:eastAsia="es-ES"/>
        </w:rPr>
        <w:t>Enfoque del costo</w:t>
      </w:r>
      <w:bookmarkEnd w:id="393"/>
    </w:p>
    <w:p w14:paraId="529811FC"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El enfoque del costo refleja el importe que se requeriría en el momento presente para sustituir la capacidad de servicio de un activo (a menudo conocido como costo de reposición corriente).</w:t>
      </w:r>
    </w:p>
    <w:p w14:paraId="529811FD" w14:textId="77777777" w:rsidR="008748C1" w:rsidRDefault="00000000">
      <w:pPr>
        <w:keepNext/>
        <w:spacing w:before="240" w:after="120" w:line="240" w:lineRule="auto"/>
        <w:ind w:left="850"/>
        <w:jc w:val="both"/>
        <w:outlineLvl w:val="5"/>
        <w:rPr>
          <w:rFonts w:eastAsia="Times New Roman" w:cs="Arial"/>
          <w:b/>
          <w:szCs w:val="24"/>
          <w:lang w:eastAsia="es-ES"/>
        </w:rPr>
      </w:pPr>
      <w:bookmarkStart w:id="394" w:name="_Toc170226274"/>
      <w:r>
        <w:rPr>
          <w:rFonts w:eastAsia="Times New Roman" w:cs="Arial"/>
          <w:b/>
          <w:szCs w:val="24"/>
          <w:lang w:eastAsia="es-ES"/>
        </w:rPr>
        <w:t>Enfoque del ingreso</w:t>
      </w:r>
      <w:bookmarkEnd w:id="394"/>
    </w:p>
    <w:p w14:paraId="529811FE" w14:textId="77777777" w:rsidR="008748C1" w:rsidRDefault="00000000">
      <w:pPr>
        <w:spacing w:before="60" w:after="60" w:line="240" w:lineRule="auto"/>
        <w:ind w:left="851"/>
        <w:jc w:val="both"/>
        <w:rPr>
          <w:rFonts w:eastAsia="Arial Narrow" w:cs="Arial Narrow"/>
          <w:szCs w:val="24"/>
          <w:lang w:eastAsia="es-ES"/>
        </w:rPr>
      </w:pPr>
      <w:r>
        <w:rPr>
          <w:rFonts w:eastAsia="Arial Narrow" w:cs="Arial Narrow"/>
          <w:szCs w:val="24"/>
          <w:lang w:eastAsia="es-ES"/>
        </w:rPr>
        <w:t>El enfoque del ingreso convierte importes futuros (por ejemplo, flujos de efectivo o ingresos y gastos) en un importe presente (es decir, descontado) único. Cuando se utiliza el enfoque del ingreso, la medición del valor razonable refleja las expectativas del mercado presentes sobre esos importes futuros.</w:t>
      </w:r>
    </w:p>
    <w:p w14:paraId="529811FF" w14:textId="77777777" w:rsidR="008748C1" w:rsidRDefault="008748C1">
      <w:pPr>
        <w:spacing w:before="60" w:after="60" w:line="240" w:lineRule="auto"/>
        <w:jc w:val="both"/>
        <w:rPr>
          <w:rFonts w:eastAsia="Arial Narrow" w:cs="Arial Narrow"/>
          <w:szCs w:val="24"/>
          <w:lang w:eastAsia="es-ES"/>
        </w:rPr>
      </w:pPr>
    </w:p>
    <w:p w14:paraId="52981200"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bookmarkStart w:id="395" w:name="_Toc170226293"/>
      <w:r>
        <w:rPr>
          <w:rFonts w:eastAsia="Times New Roman" w:cs="Times New Roman"/>
          <w:b/>
          <w:bCs/>
          <w:szCs w:val="24"/>
          <w:lang w:eastAsia="es-ES"/>
        </w:rPr>
        <w:lastRenderedPageBreak/>
        <w:t xml:space="preserve">TRANSACCIONES EN </w:t>
      </w:r>
      <w:proofErr w:type="gramStart"/>
      <w:r>
        <w:rPr>
          <w:rFonts w:eastAsia="Times New Roman" w:cs="Times New Roman"/>
          <w:b/>
          <w:bCs/>
          <w:szCs w:val="24"/>
          <w:lang w:eastAsia="es-ES"/>
        </w:rPr>
        <w:t>MONEDA</w:t>
      </w:r>
      <w:proofErr w:type="gramEnd"/>
      <w:r>
        <w:rPr>
          <w:rFonts w:eastAsia="Times New Roman" w:cs="Times New Roman"/>
          <w:b/>
          <w:bCs/>
          <w:szCs w:val="24"/>
          <w:lang w:eastAsia="es-ES"/>
        </w:rPr>
        <w:t xml:space="preserve"> EXTRANJERA</w:t>
      </w:r>
      <w:bookmarkEnd w:id="395"/>
    </w:p>
    <w:p w14:paraId="52981201"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396" w:name="_Toc170226294"/>
      <w:r>
        <w:rPr>
          <w:rFonts w:eastAsia="Times New Roman" w:cs="Times New Roman"/>
          <w:b/>
          <w:bCs/>
          <w:szCs w:val="24"/>
          <w:lang w:eastAsia="es-ES"/>
        </w:rPr>
        <w:t>DEFINICIONES</w:t>
      </w:r>
      <w:bookmarkEnd w:id="396"/>
    </w:p>
    <w:p w14:paraId="52981202" w14:textId="77777777" w:rsidR="008748C1" w:rsidRDefault="00000000">
      <w:pPr>
        <w:numPr>
          <w:ilvl w:val="0"/>
          <w:numId w:val="128"/>
        </w:numPr>
        <w:tabs>
          <w:tab w:val="left" w:pos="851"/>
        </w:tabs>
        <w:spacing w:beforeLines="20" w:before="48" w:afterLines="20" w:after="48" w:line="240" w:lineRule="auto"/>
        <w:ind w:left="851" w:hanging="426"/>
        <w:jc w:val="both"/>
        <w:rPr>
          <w:rFonts w:eastAsia="Calibri" w:cs="Times New Roman"/>
          <w:b/>
          <w:bCs/>
          <w:szCs w:val="24"/>
          <w:lang w:eastAsia="es-ES"/>
        </w:rPr>
      </w:pPr>
      <w:r>
        <w:rPr>
          <w:rFonts w:eastAsia="Calibri" w:cs="Times New Roman"/>
          <w:b/>
          <w:bCs/>
          <w:szCs w:val="24"/>
          <w:lang w:eastAsia="es-ES"/>
        </w:rPr>
        <w:t xml:space="preserve">Moneda funcional: </w:t>
      </w:r>
      <w:r>
        <w:rPr>
          <w:rFonts w:eastAsia="Calibri" w:cs="Times New Roman"/>
          <w:szCs w:val="24"/>
          <w:lang w:eastAsia="es-ES"/>
        </w:rPr>
        <w:t>La moneda funcional es el Sol.</w:t>
      </w:r>
    </w:p>
    <w:p w14:paraId="52981203" w14:textId="77777777" w:rsidR="008748C1" w:rsidRDefault="00000000">
      <w:pPr>
        <w:numPr>
          <w:ilvl w:val="0"/>
          <w:numId w:val="128"/>
        </w:numPr>
        <w:tabs>
          <w:tab w:val="left" w:pos="851"/>
        </w:tabs>
        <w:spacing w:beforeLines="20" w:before="48" w:afterLines="20" w:after="48" w:line="240" w:lineRule="auto"/>
        <w:ind w:left="851" w:hanging="426"/>
        <w:jc w:val="both"/>
        <w:rPr>
          <w:rFonts w:eastAsia="Calibri" w:cs="Times New Roman"/>
          <w:b/>
          <w:bCs/>
          <w:szCs w:val="24"/>
          <w:lang w:eastAsia="es-ES"/>
        </w:rPr>
      </w:pPr>
      <w:r>
        <w:rPr>
          <w:rFonts w:eastAsia="Calibri" w:cs="Times New Roman"/>
          <w:b/>
          <w:bCs/>
          <w:szCs w:val="24"/>
          <w:lang w:eastAsia="es-ES"/>
        </w:rPr>
        <w:t xml:space="preserve">Moneda extranjera: </w:t>
      </w:r>
      <w:r>
        <w:rPr>
          <w:rFonts w:eastAsia="Times New Roman" w:cs="Arial"/>
          <w:szCs w:val="24"/>
          <w:lang w:eastAsia="es-ES"/>
        </w:rPr>
        <w:t>Es cualquier moneda distinta a la moneda funcional.</w:t>
      </w:r>
    </w:p>
    <w:p w14:paraId="52981204" w14:textId="77777777" w:rsidR="008748C1" w:rsidRDefault="00000000">
      <w:pPr>
        <w:numPr>
          <w:ilvl w:val="0"/>
          <w:numId w:val="128"/>
        </w:numPr>
        <w:tabs>
          <w:tab w:val="left" w:pos="851"/>
        </w:tabs>
        <w:spacing w:beforeLines="20" w:before="48" w:afterLines="20" w:after="48" w:line="240" w:lineRule="auto"/>
        <w:ind w:left="851" w:hanging="426"/>
        <w:jc w:val="both"/>
        <w:rPr>
          <w:rFonts w:eastAsia="Calibri" w:cs="Times New Roman"/>
          <w:b/>
          <w:bCs/>
          <w:szCs w:val="24"/>
          <w:lang w:eastAsia="es-ES"/>
        </w:rPr>
      </w:pPr>
      <w:r>
        <w:rPr>
          <w:rFonts w:eastAsia="Calibri" w:cs="Times New Roman"/>
          <w:b/>
          <w:bCs/>
          <w:szCs w:val="24"/>
          <w:lang w:eastAsia="es-ES"/>
        </w:rPr>
        <w:t xml:space="preserve">Moneda de presentación: </w:t>
      </w:r>
      <w:r>
        <w:rPr>
          <w:rFonts w:eastAsia="Times New Roman" w:cs="Arial"/>
          <w:szCs w:val="24"/>
          <w:lang w:eastAsia="es-ES"/>
        </w:rPr>
        <w:t>Es la moneda en que se presentan los estados financieros, que será en la moneda legal del país, el Sol.</w:t>
      </w:r>
    </w:p>
    <w:p w14:paraId="52981205" w14:textId="77777777" w:rsidR="008748C1" w:rsidRDefault="00000000">
      <w:pPr>
        <w:numPr>
          <w:ilvl w:val="0"/>
          <w:numId w:val="128"/>
        </w:numPr>
        <w:tabs>
          <w:tab w:val="left" w:pos="851"/>
        </w:tabs>
        <w:spacing w:beforeLines="20" w:before="48" w:afterLines="20" w:after="48" w:line="240" w:lineRule="auto"/>
        <w:ind w:left="851" w:hanging="426"/>
        <w:jc w:val="both"/>
        <w:rPr>
          <w:rFonts w:eastAsia="Calibri" w:cs="Times New Roman"/>
          <w:b/>
          <w:bCs/>
          <w:szCs w:val="24"/>
          <w:lang w:eastAsia="es-ES"/>
        </w:rPr>
      </w:pPr>
      <w:r>
        <w:rPr>
          <w:rFonts w:eastAsia="Calibri" w:cs="Times New Roman"/>
          <w:b/>
          <w:bCs/>
          <w:szCs w:val="24"/>
          <w:lang w:eastAsia="es-ES"/>
        </w:rPr>
        <w:t xml:space="preserve">Tipo de cambio contable: </w:t>
      </w:r>
      <w:r>
        <w:rPr>
          <w:rFonts w:eastAsia="Times New Roman" w:cs="Arial"/>
          <w:szCs w:val="24"/>
          <w:lang w:eastAsia="es-ES"/>
        </w:rPr>
        <w:t>Tipo de cambio contable establecido por la Superintendencia de forma diaria.</w:t>
      </w:r>
    </w:p>
    <w:p w14:paraId="52981206"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397" w:name="_Toc170226295"/>
      <w:r>
        <w:rPr>
          <w:rFonts w:eastAsia="Times New Roman" w:cs="Times New Roman"/>
          <w:b/>
          <w:bCs/>
          <w:szCs w:val="24"/>
          <w:lang w:eastAsia="es-ES"/>
        </w:rPr>
        <w:t>IMPUTACIÓN POR MONEDA</w:t>
      </w:r>
      <w:bookmarkEnd w:id="397"/>
    </w:p>
    <w:p w14:paraId="52981207"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Para la asignación de la moneda, se deben considerar los siguientes lineamientos:</w:t>
      </w:r>
    </w:p>
    <w:p w14:paraId="52981208" w14:textId="77777777" w:rsidR="008748C1" w:rsidRDefault="00000000">
      <w:pPr>
        <w:numPr>
          <w:ilvl w:val="0"/>
          <w:numId w:val="129"/>
        </w:numPr>
        <w:tabs>
          <w:tab w:val="left" w:pos="851"/>
        </w:tabs>
        <w:spacing w:before="20" w:after="20" w:line="240" w:lineRule="auto"/>
        <w:ind w:left="851" w:hanging="425"/>
        <w:jc w:val="both"/>
        <w:rPr>
          <w:rFonts w:eastAsia="Times New Roman" w:cs="Times New Roman"/>
          <w:szCs w:val="24"/>
          <w:lang w:eastAsia="es-ES"/>
        </w:rPr>
      </w:pPr>
      <w:r>
        <w:rPr>
          <w:rFonts w:eastAsia="Times New Roman" w:cs="Times New Roman"/>
          <w:szCs w:val="24"/>
          <w:lang w:eastAsia="es-ES"/>
        </w:rPr>
        <w:t>Los activos y pasivos, excepto los señalados en los literales siguientes, se denominarán en la moneda con que se hayan pactado.</w:t>
      </w:r>
    </w:p>
    <w:p w14:paraId="52981209" w14:textId="77777777" w:rsidR="008748C1" w:rsidRDefault="00000000">
      <w:pPr>
        <w:numPr>
          <w:ilvl w:val="0"/>
          <w:numId w:val="129"/>
        </w:numPr>
        <w:tabs>
          <w:tab w:val="left" w:pos="851"/>
        </w:tabs>
        <w:spacing w:before="20" w:after="20" w:line="240" w:lineRule="auto"/>
        <w:ind w:left="851" w:hanging="425"/>
        <w:jc w:val="both"/>
        <w:rPr>
          <w:rFonts w:eastAsia="Times New Roman" w:cs="Times New Roman"/>
          <w:szCs w:val="24"/>
          <w:lang w:eastAsia="es-ES"/>
        </w:rPr>
      </w:pPr>
      <w:r>
        <w:rPr>
          <w:rFonts w:eastAsia="Times New Roman" w:cs="Times New Roman"/>
          <w:szCs w:val="24"/>
          <w:lang w:eastAsia="es-ES"/>
        </w:rPr>
        <w:t>Los instrumentos de deuda emitidos o adquiridos se denominarán en la moneda en que se produce su reembolso, independientemente de la moneda en que se percibieron o se pagaron.</w:t>
      </w:r>
    </w:p>
    <w:p w14:paraId="5298120A" w14:textId="77777777" w:rsidR="008748C1" w:rsidRDefault="00000000">
      <w:pPr>
        <w:numPr>
          <w:ilvl w:val="0"/>
          <w:numId w:val="129"/>
        </w:numPr>
        <w:tabs>
          <w:tab w:val="left" w:pos="851"/>
        </w:tabs>
        <w:spacing w:before="20" w:after="20" w:line="240" w:lineRule="auto"/>
        <w:ind w:left="851" w:hanging="425"/>
        <w:jc w:val="both"/>
        <w:rPr>
          <w:rFonts w:eastAsia="Times New Roman" w:cs="Times New Roman"/>
          <w:szCs w:val="24"/>
          <w:lang w:eastAsia="es-ES"/>
        </w:rPr>
      </w:pPr>
      <w:r>
        <w:rPr>
          <w:rFonts w:eastAsia="Times New Roman" w:cs="Times New Roman"/>
          <w:szCs w:val="24"/>
          <w:lang w:eastAsia="es-ES"/>
        </w:rPr>
        <w:t>Los instrumentos de patrimonio, en la moneda en que el emisor exprese el valor nominal.</w:t>
      </w:r>
    </w:p>
    <w:p w14:paraId="5298120B" w14:textId="77777777" w:rsidR="008748C1" w:rsidRDefault="00000000">
      <w:pPr>
        <w:numPr>
          <w:ilvl w:val="0"/>
          <w:numId w:val="129"/>
        </w:numPr>
        <w:tabs>
          <w:tab w:val="left" w:pos="851"/>
        </w:tabs>
        <w:spacing w:before="20" w:after="20" w:line="240" w:lineRule="auto"/>
        <w:ind w:left="851" w:hanging="425"/>
        <w:jc w:val="both"/>
        <w:rPr>
          <w:rFonts w:eastAsia="Times New Roman" w:cs="Times New Roman"/>
          <w:szCs w:val="24"/>
          <w:lang w:eastAsia="es-ES"/>
        </w:rPr>
      </w:pPr>
      <w:r>
        <w:rPr>
          <w:rFonts w:eastAsia="Times New Roman" w:cs="Times New Roman"/>
          <w:szCs w:val="24"/>
          <w:lang w:eastAsia="es-ES"/>
        </w:rPr>
        <w:t>Las propiedades, mobiliario y equipo, en la moneda legal del país.</w:t>
      </w:r>
    </w:p>
    <w:p w14:paraId="5298120C" w14:textId="77777777" w:rsidR="008748C1" w:rsidRDefault="00000000">
      <w:pPr>
        <w:numPr>
          <w:ilvl w:val="0"/>
          <w:numId w:val="129"/>
        </w:numPr>
        <w:tabs>
          <w:tab w:val="left" w:pos="851"/>
        </w:tabs>
        <w:spacing w:before="20" w:after="20" w:line="240" w:lineRule="auto"/>
        <w:ind w:left="851" w:hanging="425"/>
        <w:jc w:val="both"/>
        <w:rPr>
          <w:rFonts w:eastAsia="Times New Roman" w:cs="Times New Roman"/>
          <w:szCs w:val="24"/>
          <w:lang w:eastAsia="es-ES"/>
        </w:rPr>
      </w:pPr>
      <w:r>
        <w:rPr>
          <w:rFonts w:eastAsia="Times New Roman" w:cs="Times New Roman"/>
          <w:szCs w:val="24"/>
          <w:lang w:eastAsia="es-ES"/>
        </w:rPr>
        <w:t>Los compromisos o contingentes, así como las provisiones por litigios y otros, en la moneda en que serán satisfechos.</w:t>
      </w:r>
    </w:p>
    <w:p w14:paraId="5298120D" w14:textId="77777777" w:rsidR="008748C1" w:rsidRDefault="00000000">
      <w:pPr>
        <w:numPr>
          <w:ilvl w:val="0"/>
          <w:numId w:val="129"/>
        </w:numPr>
        <w:tabs>
          <w:tab w:val="left" w:pos="851"/>
        </w:tabs>
        <w:spacing w:before="20" w:after="20" w:line="240" w:lineRule="auto"/>
        <w:ind w:left="851" w:hanging="425"/>
        <w:jc w:val="both"/>
        <w:rPr>
          <w:rFonts w:eastAsia="Times New Roman" w:cs="Times New Roman"/>
          <w:szCs w:val="24"/>
          <w:lang w:eastAsia="es-ES"/>
        </w:rPr>
      </w:pPr>
      <w:r>
        <w:rPr>
          <w:rFonts w:eastAsia="Times New Roman" w:cs="Times New Roman"/>
          <w:szCs w:val="24"/>
          <w:lang w:eastAsia="es-ES"/>
        </w:rPr>
        <w:t>Las provisiones de activos, depreciaciones, amortizaciones de activos intangibles, desvalorizaciones o deterioro, en la moneda en que están denominados los activos.</w:t>
      </w:r>
    </w:p>
    <w:p w14:paraId="5298120E" w14:textId="77777777" w:rsidR="008748C1" w:rsidRDefault="00000000">
      <w:pPr>
        <w:numPr>
          <w:ilvl w:val="0"/>
          <w:numId w:val="129"/>
        </w:numPr>
        <w:tabs>
          <w:tab w:val="left" w:pos="851"/>
        </w:tabs>
        <w:spacing w:before="20" w:after="20" w:line="240" w:lineRule="auto"/>
        <w:ind w:left="851" w:hanging="425"/>
        <w:jc w:val="both"/>
        <w:rPr>
          <w:rFonts w:eastAsia="Times New Roman" w:cs="Times New Roman"/>
          <w:szCs w:val="24"/>
          <w:lang w:eastAsia="es-ES"/>
        </w:rPr>
      </w:pPr>
      <w:r>
        <w:rPr>
          <w:rFonts w:eastAsia="Times New Roman" w:cs="Times New Roman"/>
          <w:szCs w:val="24"/>
          <w:lang w:eastAsia="es-ES"/>
        </w:rPr>
        <w:t>Los ingresos y gastos deberán denominarse según la moneda del origen de los activos y pasivos correspondientes.</w:t>
      </w:r>
    </w:p>
    <w:p w14:paraId="5298120F"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bookmarkStart w:id="398" w:name="_Toc170226296"/>
      <w:r>
        <w:rPr>
          <w:rFonts w:eastAsia="Times New Roman" w:cs="Times New Roman"/>
          <w:b/>
          <w:bCs/>
          <w:szCs w:val="24"/>
          <w:lang w:eastAsia="es-ES"/>
        </w:rPr>
        <w:t xml:space="preserve">VALUACIÓN DE PARTIDAS EN </w:t>
      </w:r>
      <w:proofErr w:type="gramStart"/>
      <w:r>
        <w:rPr>
          <w:rFonts w:eastAsia="Times New Roman" w:cs="Times New Roman"/>
          <w:b/>
          <w:bCs/>
          <w:szCs w:val="24"/>
          <w:lang w:eastAsia="es-ES"/>
        </w:rPr>
        <w:t>MONEDA</w:t>
      </w:r>
      <w:proofErr w:type="gramEnd"/>
      <w:r>
        <w:rPr>
          <w:rFonts w:eastAsia="Times New Roman" w:cs="Times New Roman"/>
          <w:b/>
          <w:bCs/>
          <w:szCs w:val="24"/>
          <w:lang w:eastAsia="es-ES"/>
        </w:rPr>
        <w:t xml:space="preserve"> EXTRANJERA</w:t>
      </w:r>
      <w:bookmarkEnd w:id="398"/>
    </w:p>
    <w:p w14:paraId="52981210" w14:textId="77777777" w:rsidR="008748C1" w:rsidRDefault="00000000">
      <w:pPr>
        <w:keepNext/>
        <w:numPr>
          <w:ilvl w:val="4"/>
          <w:numId w:val="4"/>
        </w:numPr>
        <w:spacing w:before="240" w:after="120" w:line="240" w:lineRule="auto"/>
        <w:jc w:val="both"/>
        <w:outlineLvl w:val="4"/>
        <w:rPr>
          <w:rFonts w:ascii="Arial" w:eastAsia="Times New Roman" w:hAnsi="Arial" w:cs="Arial"/>
          <w:b/>
          <w:bCs/>
          <w:szCs w:val="24"/>
          <w:u w:val="single"/>
          <w:lang w:eastAsia="es-ES"/>
        </w:rPr>
      </w:pPr>
      <w:r>
        <w:rPr>
          <w:rFonts w:eastAsia="Times New Roman" w:cs="Arial"/>
          <w:b/>
          <w:bCs/>
          <w:szCs w:val="24"/>
          <w:lang w:eastAsia="es-ES"/>
        </w:rPr>
        <w:t>Medición de activos financieros</w:t>
      </w:r>
    </w:p>
    <w:p w14:paraId="52981211"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Los elementos de los estados financieros se reconocerán de acuerdo con las siguientes reglas:</w:t>
      </w:r>
    </w:p>
    <w:p w14:paraId="52981212"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399" w:name="_Toc170226297"/>
      <w:r>
        <w:rPr>
          <w:rFonts w:eastAsia="Times New Roman" w:cs="Arial"/>
          <w:b/>
          <w:szCs w:val="24"/>
          <w:lang w:eastAsia="es-ES"/>
        </w:rPr>
        <w:t>Reconocimiento inicial</w:t>
      </w:r>
      <w:bookmarkEnd w:id="399"/>
    </w:p>
    <w:p w14:paraId="52981213"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Las transacciones en moneda extranjera se registrarán, en el momento del reconocimiento inicial, utilizando la moneda funcional. Para dicho efecto, los importes en moneda extranjera se convertirán a la moneda funcional aplicando el tipo de cambio de la fecha de la transacción, que es la fecha en la cual la transacción cumple con las condiciones para su reconocimiento.</w:t>
      </w:r>
    </w:p>
    <w:p w14:paraId="52981214"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400" w:name="_Toc170226298"/>
      <w:r>
        <w:rPr>
          <w:rFonts w:eastAsia="Times New Roman" w:cs="Arial"/>
          <w:b/>
          <w:szCs w:val="24"/>
          <w:lang w:eastAsia="es-ES"/>
        </w:rPr>
        <w:t>Reconocimiento posterior</w:t>
      </w:r>
      <w:bookmarkEnd w:id="400"/>
    </w:p>
    <w:p w14:paraId="52981215"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Al cierre de cada periodo que se informa se seguirán los siguientes lineamientos:</w:t>
      </w:r>
    </w:p>
    <w:p w14:paraId="52981216" w14:textId="77777777" w:rsidR="008748C1" w:rsidRDefault="00000000">
      <w:pPr>
        <w:numPr>
          <w:ilvl w:val="0"/>
          <w:numId w:val="130"/>
        </w:numPr>
        <w:spacing w:before="20" w:after="20" w:line="240" w:lineRule="auto"/>
        <w:jc w:val="both"/>
        <w:rPr>
          <w:rFonts w:eastAsia="Calibri" w:cs="Times New Roman"/>
          <w:szCs w:val="24"/>
          <w:lang w:eastAsia="es-ES"/>
        </w:rPr>
      </w:pPr>
      <w:r>
        <w:rPr>
          <w:rFonts w:eastAsia="Calibri" w:cs="Times New Roman"/>
          <w:szCs w:val="24"/>
          <w:lang w:eastAsia="es-ES"/>
        </w:rPr>
        <w:t>Los activos y pasivos monetarios se convertirán al tipo de cambio contable de fecha de cierre del periodo que se informa.</w:t>
      </w:r>
    </w:p>
    <w:p w14:paraId="52981217" w14:textId="77777777" w:rsidR="008748C1" w:rsidRDefault="00000000">
      <w:pPr>
        <w:numPr>
          <w:ilvl w:val="0"/>
          <w:numId w:val="130"/>
        </w:numPr>
        <w:spacing w:before="20" w:after="20" w:line="240" w:lineRule="auto"/>
        <w:jc w:val="both"/>
        <w:rPr>
          <w:rFonts w:eastAsia="Calibri" w:cs="Times New Roman"/>
          <w:szCs w:val="24"/>
          <w:lang w:eastAsia="es-ES"/>
        </w:rPr>
      </w:pPr>
      <w:r>
        <w:rPr>
          <w:rFonts w:eastAsia="Calibri" w:cs="Times New Roman"/>
          <w:szCs w:val="24"/>
          <w:lang w:eastAsia="es-ES"/>
        </w:rPr>
        <w:t>Los activos y pasivos no monetarios, no valorados al valor razonable, se convertirán al tipo de cambio de la fecha de transacción.</w:t>
      </w:r>
    </w:p>
    <w:p w14:paraId="52981218" w14:textId="77777777" w:rsidR="008748C1" w:rsidRDefault="00000000">
      <w:pPr>
        <w:numPr>
          <w:ilvl w:val="0"/>
          <w:numId w:val="130"/>
        </w:numPr>
        <w:spacing w:before="20" w:after="20" w:line="240" w:lineRule="auto"/>
        <w:jc w:val="both"/>
        <w:rPr>
          <w:rFonts w:eastAsia="Calibri" w:cs="Times New Roman"/>
          <w:szCs w:val="24"/>
          <w:lang w:eastAsia="es-ES"/>
        </w:rPr>
      </w:pPr>
      <w:r>
        <w:rPr>
          <w:rFonts w:eastAsia="Calibri" w:cs="Times New Roman"/>
          <w:szCs w:val="24"/>
          <w:lang w:eastAsia="es-ES"/>
        </w:rPr>
        <w:t>Los activos y pasivos no monetarios valorados al valor razonable se convertirán al tipo de cambio contable de la fecha en que se determinó el valor razonable.</w:t>
      </w:r>
    </w:p>
    <w:p w14:paraId="52981219" w14:textId="77777777" w:rsidR="008748C1" w:rsidRDefault="00000000">
      <w:pPr>
        <w:keepNext/>
        <w:numPr>
          <w:ilvl w:val="5"/>
          <w:numId w:val="4"/>
        </w:numPr>
        <w:spacing w:before="240" w:after="120" w:line="240" w:lineRule="auto"/>
        <w:ind w:left="850" w:hanging="425"/>
        <w:jc w:val="both"/>
        <w:outlineLvl w:val="5"/>
        <w:rPr>
          <w:rFonts w:eastAsia="Times New Roman" w:cs="Arial"/>
          <w:b/>
          <w:szCs w:val="24"/>
          <w:lang w:eastAsia="es-ES"/>
        </w:rPr>
      </w:pPr>
      <w:bookmarkStart w:id="401" w:name="_Toc170226299"/>
      <w:r>
        <w:rPr>
          <w:rFonts w:eastAsia="Times New Roman" w:cs="Arial"/>
          <w:b/>
          <w:szCs w:val="24"/>
          <w:lang w:eastAsia="es-ES"/>
        </w:rPr>
        <w:lastRenderedPageBreak/>
        <w:t>Reconocimiento de la diferencia de cambio</w:t>
      </w:r>
      <w:bookmarkEnd w:id="401"/>
    </w:p>
    <w:p w14:paraId="5298121A"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El reconocimiento de la diferencia de cambio se sujetará a los siguientes lineamientos:</w:t>
      </w:r>
    </w:p>
    <w:p w14:paraId="5298121B" w14:textId="77777777" w:rsidR="008748C1" w:rsidRDefault="00000000">
      <w:pPr>
        <w:numPr>
          <w:ilvl w:val="0"/>
          <w:numId w:val="131"/>
        </w:numPr>
        <w:spacing w:before="20" w:after="20" w:line="240" w:lineRule="auto"/>
        <w:jc w:val="both"/>
        <w:rPr>
          <w:rFonts w:eastAsia="Calibri" w:cs="Times New Roman"/>
          <w:szCs w:val="24"/>
          <w:lang w:eastAsia="es-ES"/>
        </w:rPr>
      </w:pPr>
      <w:r>
        <w:rPr>
          <w:rFonts w:eastAsia="Calibri" w:cs="Times New Roman"/>
          <w:szCs w:val="24"/>
          <w:lang w:eastAsia="es-ES"/>
        </w:rPr>
        <w:t xml:space="preserve">Las diferencias de cambio que surjan al liquidar los activos y pasivos monetarios, o al convertir dichas partidas a tipos de cambio diferentes de los que se utilizaron para su reconocimiento inicial, que se hayan producido durante el ejercicio o durante estados financieros previos, se reconocerán en el resultado del </w:t>
      </w:r>
      <w:r>
        <w:rPr>
          <w:rFonts w:eastAsia="Calibri" w:cs="Arial"/>
          <w:szCs w:val="24"/>
          <w:lang w:eastAsia="es-ES"/>
        </w:rPr>
        <w:t>periodo</w:t>
      </w:r>
      <w:r>
        <w:rPr>
          <w:rFonts w:eastAsia="Calibri" w:cs="Times New Roman"/>
          <w:szCs w:val="24"/>
          <w:lang w:eastAsia="es-ES"/>
        </w:rPr>
        <w:t xml:space="preserve"> en el que se produzcan. Este tratamiento no aplica a la diferencia de cambio surgida de una partida monetaria que forme parte de una inversión en un negocio extranjero de la empresa, que se ceñirá a lo establecido en el inciso d. de este acápite.</w:t>
      </w:r>
    </w:p>
    <w:p w14:paraId="5298121C" w14:textId="77777777" w:rsidR="008748C1" w:rsidRDefault="00000000">
      <w:pPr>
        <w:numPr>
          <w:ilvl w:val="0"/>
          <w:numId w:val="131"/>
        </w:numPr>
        <w:spacing w:before="20" w:after="20" w:line="240" w:lineRule="auto"/>
        <w:jc w:val="both"/>
        <w:rPr>
          <w:rFonts w:eastAsia="Calibri" w:cs="Times New Roman"/>
          <w:szCs w:val="24"/>
          <w:lang w:eastAsia="es-ES"/>
        </w:rPr>
      </w:pPr>
      <w:r>
        <w:rPr>
          <w:rFonts w:eastAsia="Calibri" w:cs="Times New Roman"/>
          <w:szCs w:val="24"/>
          <w:lang w:eastAsia="es-ES"/>
        </w:rPr>
        <w:t>Cuando se reconozca en otro resultado integral una pérdida o ganancia derivada de una partida no monetaria, cualquier diferencia de cambio incluida en esa pérdida o ganancia, también se reconocerá en el otro resultado integral.</w:t>
      </w:r>
    </w:p>
    <w:p w14:paraId="5298121D" w14:textId="77777777" w:rsidR="008748C1" w:rsidRDefault="00000000">
      <w:pPr>
        <w:numPr>
          <w:ilvl w:val="0"/>
          <w:numId w:val="131"/>
        </w:numPr>
        <w:spacing w:before="20" w:after="20" w:line="240" w:lineRule="auto"/>
        <w:jc w:val="both"/>
        <w:rPr>
          <w:rFonts w:eastAsia="Calibri" w:cs="Times New Roman"/>
          <w:szCs w:val="24"/>
          <w:lang w:eastAsia="es-ES"/>
        </w:rPr>
      </w:pPr>
      <w:r>
        <w:rPr>
          <w:rFonts w:eastAsia="Calibri" w:cs="Times New Roman"/>
          <w:szCs w:val="24"/>
          <w:lang w:eastAsia="es-ES"/>
        </w:rPr>
        <w:t xml:space="preserve">En el caso de partidas no monetarias, cuyas pérdidas y ganancias se reconocen en el resultado del </w:t>
      </w:r>
      <w:r>
        <w:rPr>
          <w:rFonts w:eastAsia="Calibri" w:cs="Arial"/>
          <w:szCs w:val="24"/>
          <w:lang w:eastAsia="es-ES"/>
        </w:rPr>
        <w:t>periodo</w:t>
      </w:r>
      <w:r>
        <w:rPr>
          <w:rFonts w:eastAsia="Calibri" w:cs="Times New Roman"/>
          <w:szCs w:val="24"/>
          <w:lang w:eastAsia="es-ES"/>
        </w:rPr>
        <w:t>, cualquier diferencia de cambio incluida en esa pérdida o ganancia, también se reconocerá en los resultados del ejercicio.</w:t>
      </w:r>
    </w:p>
    <w:p w14:paraId="5298121E" w14:textId="77777777" w:rsidR="008748C1" w:rsidRDefault="00000000">
      <w:pPr>
        <w:numPr>
          <w:ilvl w:val="0"/>
          <w:numId w:val="131"/>
        </w:numPr>
        <w:spacing w:before="20" w:after="20" w:line="240" w:lineRule="auto"/>
        <w:jc w:val="both"/>
        <w:rPr>
          <w:rFonts w:eastAsia="Calibri" w:cs="Times New Roman"/>
          <w:szCs w:val="24"/>
          <w:lang w:eastAsia="es-ES"/>
        </w:rPr>
      </w:pPr>
      <w:r>
        <w:rPr>
          <w:rFonts w:eastAsia="Calibri" w:cs="Times New Roman"/>
          <w:szCs w:val="24"/>
          <w:lang w:eastAsia="es-ES"/>
        </w:rPr>
        <w:t xml:space="preserve">Las diferencias de cambio surgidas de una partida monetaria que forme parte de una inversión neta en un negocio extranjero se reconocerán en otro resultado integral, y serán reclasificadas al resultado del </w:t>
      </w:r>
      <w:r>
        <w:rPr>
          <w:rFonts w:eastAsia="Calibri" w:cs="Arial"/>
          <w:szCs w:val="24"/>
          <w:lang w:eastAsia="es-ES"/>
        </w:rPr>
        <w:t>periodo</w:t>
      </w:r>
      <w:r>
        <w:rPr>
          <w:rFonts w:eastAsia="Calibri" w:cs="Times New Roman"/>
          <w:szCs w:val="24"/>
          <w:lang w:eastAsia="es-ES"/>
        </w:rPr>
        <w:t xml:space="preserve"> cuando se realice la disposición del negocio en el exterior.</w:t>
      </w:r>
    </w:p>
    <w:p w14:paraId="5298121F" w14:textId="77777777" w:rsidR="008748C1" w:rsidRDefault="00000000">
      <w:pPr>
        <w:keepNext/>
        <w:numPr>
          <w:ilvl w:val="4"/>
          <w:numId w:val="4"/>
        </w:numPr>
        <w:spacing w:before="240" w:after="120" w:line="240" w:lineRule="auto"/>
        <w:jc w:val="both"/>
        <w:outlineLvl w:val="4"/>
        <w:rPr>
          <w:rFonts w:eastAsia="Times New Roman" w:cs="Arial"/>
          <w:b/>
          <w:bCs/>
          <w:szCs w:val="24"/>
          <w:lang w:eastAsia="es-ES"/>
        </w:rPr>
      </w:pPr>
      <w:bookmarkStart w:id="402" w:name="_Toc170226300"/>
      <w:r>
        <w:rPr>
          <w:rFonts w:eastAsia="Times New Roman" w:cs="Arial"/>
          <w:b/>
          <w:bCs/>
          <w:szCs w:val="24"/>
          <w:lang w:eastAsia="es-ES"/>
        </w:rPr>
        <w:t>Tratamiento de la diferencia de cambio en los instrumentos financieros derivados</w:t>
      </w:r>
      <w:bookmarkEnd w:id="402"/>
    </w:p>
    <w:p w14:paraId="52981220" w14:textId="77777777" w:rsidR="008748C1" w:rsidRDefault="00000000">
      <w:pPr>
        <w:spacing w:before="60" w:after="60" w:line="240" w:lineRule="auto"/>
        <w:ind w:left="851"/>
        <w:jc w:val="both"/>
        <w:rPr>
          <w:rFonts w:eastAsia="Times New Roman" w:cs="Times New Roman"/>
          <w:szCs w:val="24"/>
          <w:lang w:eastAsia="es-ES"/>
        </w:rPr>
      </w:pPr>
      <w:r>
        <w:rPr>
          <w:rFonts w:eastAsia="Times New Roman" w:cs="Times New Roman"/>
          <w:szCs w:val="24"/>
          <w:lang w:eastAsia="es-ES"/>
        </w:rPr>
        <w:t>Los lineamientos establecidos en este acápite no se aplican a los instrumentos financieros derivados, los que se regirán por sus normas específicas, los cuales de describen en el Capítulo IV del presente Manual.</w:t>
      </w:r>
    </w:p>
    <w:p w14:paraId="52981221" w14:textId="77777777" w:rsidR="008748C1" w:rsidRDefault="008748C1">
      <w:pPr>
        <w:spacing w:before="60" w:after="60" w:line="240" w:lineRule="auto"/>
        <w:jc w:val="both"/>
        <w:rPr>
          <w:rFonts w:eastAsia="Arial Narrow" w:cs="Arial Narrow"/>
          <w:szCs w:val="24"/>
          <w:lang w:eastAsia="es-ES"/>
        </w:rPr>
      </w:pPr>
    </w:p>
    <w:p w14:paraId="52981222"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r>
        <w:rPr>
          <w:rFonts w:eastAsia="Times New Roman" w:cs="Times New Roman"/>
          <w:b/>
          <w:bCs/>
          <w:szCs w:val="24"/>
          <w:lang w:eastAsia="es-ES"/>
        </w:rPr>
        <w:t>RECONOCIMIENTO DEL INGRESO POR COMISIONES SOBRE APORTES OBLIGATORIOS</w:t>
      </w:r>
    </w:p>
    <w:p w14:paraId="52981223"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El reconocimiento de los ingresos por comisiones, de acuerdo con la NIC 18 “Ingresos de actividades ordinarias” y con lo establecido en el TUO de la Ley del SPP, debe efectuarse de acuerdo con los siguientes lineamientos:</w:t>
      </w:r>
    </w:p>
    <w:p w14:paraId="52981224"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r>
        <w:rPr>
          <w:rFonts w:eastAsia="Times New Roman" w:cs="Times New Roman"/>
          <w:b/>
          <w:bCs/>
          <w:szCs w:val="24"/>
          <w:lang w:eastAsia="es-ES"/>
        </w:rPr>
        <w:t xml:space="preserve">Comisiones por retribución sobre la remuneración </w:t>
      </w:r>
    </w:p>
    <w:p w14:paraId="52981225"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Las comisiones sobre la remuneración cobradas a los afiliados se reconocerán como ingresos devengados durante el periodo de permanencia del afiliado en la </w:t>
      </w:r>
      <w:proofErr w:type="gramStart"/>
      <w:r>
        <w:rPr>
          <w:rFonts w:eastAsia="Times New Roman" w:cs="TimesNewRomanPSMT"/>
          <w:szCs w:val="24"/>
          <w:lang w:eastAsia="es-PE"/>
        </w:rPr>
        <w:t>AFP,  reconociéndose</w:t>
      </w:r>
      <w:proofErr w:type="gramEnd"/>
      <w:r>
        <w:rPr>
          <w:rFonts w:eastAsia="Times New Roman" w:cs="TimesNewRomanPSMT"/>
          <w:szCs w:val="24"/>
          <w:lang w:eastAsia="es-PE"/>
        </w:rPr>
        <w:t xml:space="preserve"> una vez acreditado el aporte obligatorio cotizado por los afiliados en las respectivas cuentas individuales de capitalización.</w:t>
      </w:r>
    </w:p>
    <w:p w14:paraId="52981226"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Tratándose de los afiliados por los que la AFP no perciba ingresos por comisiones, pero continúe prestando </w:t>
      </w:r>
      <w:proofErr w:type="gramStart"/>
      <w:r>
        <w:rPr>
          <w:rFonts w:eastAsia="Times New Roman" w:cs="TimesNewRomanPSMT"/>
          <w:szCs w:val="24"/>
          <w:lang w:eastAsia="es-PE"/>
        </w:rPr>
        <w:t>servicios,  el</w:t>
      </w:r>
      <w:proofErr w:type="gramEnd"/>
      <w:r>
        <w:rPr>
          <w:rFonts w:eastAsia="Times New Roman" w:cs="TimesNewRomanPSMT"/>
          <w:szCs w:val="24"/>
          <w:lang w:eastAsia="es-PE"/>
        </w:rPr>
        <w:t xml:space="preserve"> tratamiento del reconocimiento de los ingresos seguirán las siguientes pautas:</w:t>
      </w:r>
    </w:p>
    <w:p w14:paraId="52981227" w14:textId="77777777" w:rsidR="008748C1" w:rsidRDefault="00000000">
      <w:pPr>
        <w:numPr>
          <w:ilvl w:val="0"/>
          <w:numId w:val="132"/>
        </w:numPr>
        <w:spacing w:beforeLines="20" w:before="48" w:afterLines="20" w:after="48" w:line="240" w:lineRule="auto"/>
        <w:jc w:val="both"/>
        <w:rPr>
          <w:rFonts w:eastAsia="Times New Roman" w:cs="Arial"/>
          <w:snapToGrid w:val="0"/>
          <w:sz w:val="20"/>
          <w:lang w:eastAsia="es-ES"/>
        </w:rPr>
      </w:pPr>
      <w:r>
        <w:rPr>
          <w:rFonts w:eastAsia="Times New Roman" w:cs="Arial"/>
          <w:snapToGrid w:val="0"/>
          <w:lang w:eastAsia="es-ES"/>
        </w:rPr>
        <w:t xml:space="preserve">Se deberá constituir una provisión por </w:t>
      </w:r>
      <w:proofErr w:type="gramStart"/>
      <w:r>
        <w:rPr>
          <w:rFonts w:eastAsia="Times New Roman" w:cs="Arial"/>
          <w:snapToGrid w:val="0"/>
          <w:lang w:eastAsia="es-ES"/>
        </w:rPr>
        <w:t>ingresos  diferidos</w:t>
      </w:r>
      <w:proofErr w:type="gramEnd"/>
      <w:r>
        <w:rPr>
          <w:rFonts w:eastAsia="Times New Roman" w:cs="Arial"/>
          <w:snapToGrid w:val="0"/>
          <w:lang w:eastAsia="es-ES"/>
        </w:rPr>
        <w:t>, realizando un débito a la cuenta de ingresos 50706 denominada “Ajuste por provisión” y acreditando la cuenta 20501 denominada “Provisiones por Ingresos diferidos”.</w:t>
      </w:r>
    </w:p>
    <w:p w14:paraId="52981228" w14:textId="77777777" w:rsidR="008748C1" w:rsidRDefault="00000000">
      <w:pPr>
        <w:numPr>
          <w:ilvl w:val="0"/>
          <w:numId w:val="132"/>
        </w:numPr>
        <w:spacing w:beforeLines="20" w:before="48" w:afterLines="20" w:after="48" w:line="240" w:lineRule="auto"/>
        <w:jc w:val="both"/>
        <w:rPr>
          <w:rFonts w:eastAsia="Times New Roman" w:cs="Arial"/>
          <w:snapToGrid w:val="0"/>
          <w:sz w:val="20"/>
          <w:lang w:eastAsia="es-ES"/>
        </w:rPr>
      </w:pPr>
      <w:r>
        <w:rPr>
          <w:rFonts w:eastAsia="Times New Roman" w:cs="Arial"/>
          <w:snapToGrid w:val="0"/>
          <w:lang w:eastAsia="es-ES"/>
        </w:rPr>
        <w:t>A efectos de determinar la provisión señalada anteriormente, se deberá tomar en cuenta, cuando menos, lo siguiente:</w:t>
      </w:r>
    </w:p>
    <w:p w14:paraId="52981229" w14:textId="77777777" w:rsidR="008748C1" w:rsidRDefault="00000000">
      <w:pPr>
        <w:numPr>
          <w:ilvl w:val="0"/>
          <w:numId w:val="133"/>
        </w:numPr>
        <w:tabs>
          <w:tab w:val="left" w:pos="1276"/>
        </w:tabs>
        <w:spacing w:before="30" w:after="30" w:line="240" w:lineRule="auto"/>
        <w:ind w:left="1276"/>
        <w:jc w:val="both"/>
        <w:rPr>
          <w:rFonts w:ascii="Arial" w:eastAsia="Times New Roman" w:hAnsi="Arial" w:cs="Times New Roman"/>
          <w:szCs w:val="24"/>
          <w:lang w:eastAsia="es-ES"/>
        </w:rPr>
      </w:pPr>
      <w:r>
        <w:rPr>
          <w:rFonts w:eastAsia="Times New Roman" w:cs="Times New Roman"/>
          <w:szCs w:val="24"/>
          <w:lang w:eastAsia="es-ES"/>
        </w:rPr>
        <w:t xml:space="preserve">Provisión por pensionistas cuya pensión es administrada por la AFP </w:t>
      </w:r>
    </w:p>
    <w:p w14:paraId="5298122A" w14:textId="77777777" w:rsidR="008748C1" w:rsidRDefault="00000000">
      <w:pPr>
        <w:numPr>
          <w:ilvl w:val="0"/>
          <w:numId w:val="134"/>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Un horizonte de tiempo no menor a 20 años.</w:t>
      </w:r>
    </w:p>
    <w:p w14:paraId="5298122B" w14:textId="77777777" w:rsidR="008748C1" w:rsidRDefault="00000000">
      <w:pPr>
        <w:numPr>
          <w:ilvl w:val="0"/>
          <w:numId w:val="134"/>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Número de pensionistas, el cual deberá tomar en cuenta el número inicial de </w:t>
      </w:r>
      <w:proofErr w:type="gramStart"/>
      <w:r>
        <w:rPr>
          <w:rFonts w:eastAsia="Times New Roman" w:cs="Times New Roman"/>
          <w:szCs w:val="24"/>
          <w:lang w:eastAsia="es-ES"/>
        </w:rPr>
        <w:t>pensionistas</w:t>
      </w:r>
      <w:proofErr w:type="gramEnd"/>
      <w:r>
        <w:rPr>
          <w:rFonts w:eastAsia="Times New Roman" w:cs="Times New Roman"/>
          <w:szCs w:val="24"/>
          <w:lang w:eastAsia="es-ES"/>
        </w:rPr>
        <w:t xml:space="preserve"> así como el estimado de los afiliados aportantes y no aportantes que pasarían a ser pensionistas en el plazo señalado en (a), </w:t>
      </w:r>
      <w:proofErr w:type="gramStart"/>
      <w:r>
        <w:rPr>
          <w:rFonts w:eastAsia="Times New Roman" w:cs="Times New Roman"/>
          <w:szCs w:val="24"/>
          <w:lang w:eastAsia="es-ES"/>
        </w:rPr>
        <w:t>de acuerdo a</w:t>
      </w:r>
      <w:proofErr w:type="gramEnd"/>
      <w:r>
        <w:rPr>
          <w:rFonts w:eastAsia="Times New Roman" w:cs="Times New Roman"/>
          <w:szCs w:val="24"/>
          <w:lang w:eastAsia="es-ES"/>
        </w:rPr>
        <w:t xml:space="preserve"> los supuestos que se asuman.</w:t>
      </w:r>
    </w:p>
    <w:p w14:paraId="5298122C" w14:textId="77777777" w:rsidR="008748C1" w:rsidRDefault="00000000">
      <w:pPr>
        <w:numPr>
          <w:ilvl w:val="0"/>
          <w:numId w:val="134"/>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Costos directamente relacionados al proceso de inversión de los fondos de pensiones. </w:t>
      </w:r>
    </w:p>
    <w:p w14:paraId="5298122D" w14:textId="77777777" w:rsidR="008748C1" w:rsidRDefault="00000000">
      <w:pPr>
        <w:numPr>
          <w:ilvl w:val="0"/>
          <w:numId w:val="134"/>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lastRenderedPageBreak/>
        <w:t xml:space="preserve">Costos directamente relacionados a la prestación de servicios a pensionistas, diferentes a lo señalado en el literal c). </w:t>
      </w:r>
    </w:p>
    <w:p w14:paraId="5298122E" w14:textId="77777777" w:rsidR="008748C1" w:rsidRDefault="00000000">
      <w:pPr>
        <w:numPr>
          <w:ilvl w:val="0"/>
          <w:numId w:val="134"/>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Tasa de descuento, que debe corresponder a la tasa cupón cero de largo plazo (el plazo debe corresponder al horizonte de tiempo señalado en (a)), de la curva de rendimiento de los bonos emitidos por el Gobierno Central en nuevos soles, más una prima de riesgo ascendente a 1,5%.</w:t>
      </w:r>
    </w:p>
    <w:p w14:paraId="5298122F" w14:textId="77777777" w:rsidR="008748C1" w:rsidRDefault="00000000">
      <w:pPr>
        <w:numPr>
          <w:ilvl w:val="0"/>
          <w:numId w:val="134"/>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Sobre la base de lo anterior, deberá </w:t>
      </w:r>
      <w:proofErr w:type="gramStart"/>
      <w:r>
        <w:rPr>
          <w:rFonts w:eastAsia="Times New Roman" w:cs="Times New Roman"/>
          <w:szCs w:val="24"/>
          <w:lang w:eastAsia="es-ES"/>
        </w:rPr>
        <w:t>calcularse  el</w:t>
      </w:r>
      <w:proofErr w:type="gramEnd"/>
      <w:r>
        <w:rPr>
          <w:rFonts w:eastAsia="Times New Roman" w:cs="Times New Roman"/>
          <w:szCs w:val="24"/>
          <w:lang w:eastAsia="es-ES"/>
        </w:rPr>
        <w:t xml:space="preserve"> valor presente de los gastos estimados que se incurrirían en prestar servicios de los pensionistas.</w:t>
      </w:r>
    </w:p>
    <w:p w14:paraId="52981230" w14:textId="77777777" w:rsidR="008748C1" w:rsidRDefault="00000000">
      <w:pPr>
        <w:numPr>
          <w:ilvl w:val="0"/>
          <w:numId w:val="134"/>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Los gastos estimados deberán incorporar margen de utilidad. </w:t>
      </w:r>
    </w:p>
    <w:p w14:paraId="52981231" w14:textId="77777777" w:rsidR="008748C1" w:rsidRDefault="00000000">
      <w:pPr>
        <w:numPr>
          <w:ilvl w:val="0"/>
          <w:numId w:val="133"/>
        </w:numPr>
        <w:tabs>
          <w:tab w:val="left" w:pos="1276"/>
        </w:tabs>
        <w:spacing w:before="30" w:after="30" w:line="240" w:lineRule="auto"/>
        <w:ind w:left="1276"/>
        <w:jc w:val="both"/>
        <w:rPr>
          <w:rFonts w:ascii="Arial" w:eastAsia="Times New Roman" w:hAnsi="Arial" w:cs="Times New Roman"/>
          <w:szCs w:val="24"/>
          <w:lang w:eastAsia="es-ES"/>
        </w:rPr>
      </w:pPr>
      <w:r>
        <w:rPr>
          <w:rFonts w:eastAsia="Times New Roman" w:cs="Times New Roman"/>
          <w:szCs w:val="24"/>
          <w:lang w:eastAsia="es-ES"/>
        </w:rPr>
        <w:t>Provisión por no aportantes</w:t>
      </w:r>
    </w:p>
    <w:p w14:paraId="52981232" w14:textId="77777777" w:rsidR="008748C1" w:rsidRDefault="00000000">
      <w:pPr>
        <w:numPr>
          <w:ilvl w:val="0"/>
          <w:numId w:val="135"/>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Un horizonte de tiempo no menor a 20 años. </w:t>
      </w:r>
    </w:p>
    <w:p w14:paraId="52981233" w14:textId="77777777" w:rsidR="008748C1" w:rsidRDefault="00000000">
      <w:pPr>
        <w:numPr>
          <w:ilvl w:val="0"/>
          <w:numId w:val="135"/>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Número de no aportantes, el cual deberá tomar en cuenta el número inicial de éstos, así como el estimado de los afiliados aportantes que pasarían a ser no aportantes, en el plazo señalado en (a), de acuerdo con los supuestos que se asuman.</w:t>
      </w:r>
    </w:p>
    <w:p w14:paraId="52981234" w14:textId="77777777" w:rsidR="008748C1" w:rsidRDefault="00000000">
      <w:pPr>
        <w:numPr>
          <w:ilvl w:val="0"/>
          <w:numId w:val="135"/>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Costos directamente relacionados al proceso de inversión de los fondos de pensiones.  </w:t>
      </w:r>
    </w:p>
    <w:p w14:paraId="52981235" w14:textId="77777777" w:rsidR="008748C1" w:rsidRDefault="00000000">
      <w:pPr>
        <w:numPr>
          <w:ilvl w:val="0"/>
          <w:numId w:val="135"/>
        </w:numPr>
        <w:autoSpaceDE w:val="0"/>
        <w:autoSpaceDN w:val="0"/>
        <w:adjustRightInd w:val="0"/>
        <w:spacing w:before="20" w:after="20" w:line="240" w:lineRule="auto"/>
        <w:ind w:left="1701" w:hanging="425"/>
        <w:jc w:val="both"/>
        <w:rPr>
          <w:rFonts w:eastAsia="Times New Roman" w:cs="Times New Roman"/>
          <w:szCs w:val="24"/>
          <w:lang w:eastAsia="es-ES"/>
        </w:rPr>
      </w:pPr>
      <w:proofErr w:type="gramStart"/>
      <w:r>
        <w:rPr>
          <w:rFonts w:eastAsia="Times New Roman" w:cs="Times New Roman"/>
          <w:szCs w:val="24"/>
          <w:lang w:eastAsia="es-ES"/>
        </w:rPr>
        <w:t>Costo directamente relacionados</w:t>
      </w:r>
      <w:proofErr w:type="gramEnd"/>
      <w:r>
        <w:rPr>
          <w:rFonts w:eastAsia="Times New Roman" w:cs="Times New Roman"/>
          <w:szCs w:val="24"/>
          <w:lang w:eastAsia="es-ES"/>
        </w:rPr>
        <w:t xml:space="preserve"> a la prestación de servicios a no aportantes, diferentes a lo señalo en el literal c). </w:t>
      </w:r>
    </w:p>
    <w:p w14:paraId="52981236" w14:textId="77777777" w:rsidR="008748C1" w:rsidRDefault="00000000">
      <w:pPr>
        <w:numPr>
          <w:ilvl w:val="0"/>
          <w:numId w:val="135"/>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Tasa de descuento, que debe corresponder a la tasa cupón cero de largo plazo (el plazo debe corresponder al horizonte de tiempo señalado en (a)), de la curva de rendimiento de los bonos emitidos por el Gobierno Central en nuevos soles, más una prima de riesgo ascendente a 1,5%.</w:t>
      </w:r>
    </w:p>
    <w:p w14:paraId="52981237" w14:textId="77777777" w:rsidR="008748C1" w:rsidRDefault="00000000">
      <w:pPr>
        <w:numPr>
          <w:ilvl w:val="0"/>
          <w:numId w:val="135"/>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Sobre la base de lo anterior, deberá </w:t>
      </w:r>
      <w:proofErr w:type="gramStart"/>
      <w:r>
        <w:rPr>
          <w:rFonts w:eastAsia="Times New Roman" w:cs="Times New Roman"/>
          <w:szCs w:val="24"/>
          <w:lang w:eastAsia="es-ES"/>
        </w:rPr>
        <w:t>calcularse  el</w:t>
      </w:r>
      <w:proofErr w:type="gramEnd"/>
      <w:r>
        <w:rPr>
          <w:rFonts w:eastAsia="Times New Roman" w:cs="Times New Roman"/>
          <w:szCs w:val="24"/>
          <w:lang w:eastAsia="es-ES"/>
        </w:rPr>
        <w:t xml:space="preserve"> valor presente de los gastos estimados que se incurrirían en prestar servicios de los no aportantes.</w:t>
      </w:r>
    </w:p>
    <w:p w14:paraId="52981238" w14:textId="77777777" w:rsidR="008748C1" w:rsidRDefault="00000000">
      <w:pPr>
        <w:numPr>
          <w:ilvl w:val="0"/>
          <w:numId w:val="135"/>
        </w:numPr>
        <w:autoSpaceDE w:val="0"/>
        <w:autoSpaceDN w:val="0"/>
        <w:adjustRightInd w:val="0"/>
        <w:spacing w:before="20" w:after="20" w:line="240" w:lineRule="auto"/>
        <w:ind w:left="1701" w:hanging="425"/>
        <w:jc w:val="both"/>
        <w:rPr>
          <w:rFonts w:eastAsia="Times New Roman" w:cs="Times New Roman"/>
          <w:szCs w:val="24"/>
          <w:lang w:eastAsia="es-ES"/>
        </w:rPr>
      </w:pPr>
      <w:r>
        <w:rPr>
          <w:rFonts w:eastAsia="Times New Roman" w:cs="Times New Roman"/>
          <w:szCs w:val="24"/>
          <w:lang w:eastAsia="es-ES"/>
        </w:rPr>
        <w:t xml:space="preserve">Los gastos estimados deberán incorporar margen de utilidad. </w:t>
      </w:r>
    </w:p>
    <w:p w14:paraId="52981239" w14:textId="77777777" w:rsidR="008748C1" w:rsidRDefault="00000000">
      <w:pPr>
        <w:numPr>
          <w:ilvl w:val="0"/>
          <w:numId w:val="132"/>
        </w:numPr>
        <w:spacing w:beforeLines="20" w:before="48" w:afterLines="20" w:after="48" w:line="240" w:lineRule="auto"/>
        <w:jc w:val="both"/>
        <w:rPr>
          <w:rFonts w:eastAsia="Times New Roman" w:cs="Arial"/>
          <w:snapToGrid w:val="0"/>
          <w:sz w:val="20"/>
          <w:lang w:eastAsia="es-ES"/>
        </w:rPr>
      </w:pPr>
      <w:r>
        <w:rPr>
          <w:rFonts w:eastAsia="Times New Roman" w:cs="Arial"/>
          <w:snapToGrid w:val="0"/>
          <w:lang w:eastAsia="es-ES"/>
        </w:rPr>
        <w:t>El cálculo del diferimiento realizado en base al valor presente debe ser calculado en forma mensual.</w:t>
      </w:r>
    </w:p>
    <w:p w14:paraId="5298123A" w14:textId="77777777" w:rsidR="008748C1" w:rsidRDefault="00000000">
      <w:pPr>
        <w:numPr>
          <w:ilvl w:val="0"/>
          <w:numId w:val="132"/>
        </w:numPr>
        <w:spacing w:beforeLines="20" w:before="48" w:afterLines="20" w:after="48" w:line="240" w:lineRule="auto"/>
        <w:jc w:val="both"/>
        <w:rPr>
          <w:rFonts w:eastAsia="Times New Roman" w:cs="Arial"/>
          <w:snapToGrid w:val="0"/>
          <w:sz w:val="20"/>
          <w:lang w:eastAsia="es-ES"/>
        </w:rPr>
      </w:pPr>
      <w:r>
        <w:rPr>
          <w:rFonts w:eastAsia="Times New Roman" w:cs="Arial"/>
          <w:snapToGrid w:val="0"/>
          <w:lang w:eastAsia="es-ES"/>
        </w:rPr>
        <w:t xml:space="preserve">Los costos a los que hacen referencia los numerales 3) y 4) de los incisos i) y </w:t>
      </w:r>
      <w:proofErr w:type="spellStart"/>
      <w:r>
        <w:rPr>
          <w:rFonts w:eastAsia="Times New Roman" w:cs="Arial"/>
          <w:snapToGrid w:val="0"/>
          <w:lang w:eastAsia="es-ES"/>
        </w:rPr>
        <w:t>ii</w:t>
      </w:r>
      <w:proofErr w:type="spellEnd"/>
      <w:r>
        <w:rPr>
          <w:rFonts w:eastAsia="Times New Roman" w:cs="Arial"/>
          <w:snapToGrid w:val="0"/>
          <w:lang w:eastAsia="es-ES"/>
        </w:rPr>
        <w:t>) deberán ser sustentados con la estructura de costos por servicios por parte de cada AFP.</w:t>
      </w:r>
    </w:p>
    <w:p w14:paraId="5298123B" w14:textId="77777777" w:rsidR="008748C1" w:rsidRDefault="00000000">
      <w:pPr>
        <w:numPr>
          <w:ilvl w:val="0"/>
          <w:numId w:val="132"/>
        </w:numPr>
        <w:spacing w:beforeLines="20" w:before="48" w:afterLines="20" w:after="48" w:line="240" w:lineRule="auto"/>
        <w:jc w:val="both"/>
        <w:rPr>
          <w:rFonts w:eastAsia="Times New Roman" w:cs="Arial"/>
          <w:snapToGrid w:val="0"/>
          <w:sz w:val="20"/>
          <w:lang w:eastAsia="es-ES"/>
        </w:rPr>
      </w:pPr>
      <w:r>
        <w:rPr>
          <w:rFonts w:eastAsia="Times New Roman" w:cs="Arial"/>
          <w:snapToGrid w:val="0"/>
          <w:lang w:eastAsia="es-ES"/>
        </w:rPr>
        <w:t xml:space="preserve">Las empresas, de modo trimestral, deberán actualizar las variables y cálculos correspondientes, señaladas en i) y </w:t>
      </w:r>
      <w:proofErr w:type="spellStart"/>
      <w:r>
        <w:rPr>
          <w:rFonts w:eastAsia="Times New Roman" w:cs="Arial"/>
          <w:snapToGrid w:val="0"/>
          <w:lang w:eastAsia="es-ES"/>
        </w:rPr>
        <w:t>ii</w:t>
      </w:r>
      <w:proofErr w:type="spellEnd"/>
      <w:r>
        <w:rPr>
          <w:rFonts w:eastAsia="Times New Roman" w:cs="Arial"/>
          <w:snapToGrid w:val="0"/>
          <w:lang w:eastAsia="es-ES"/>
        </w:rPr>
        <w:t xml:space="preserve">) del presente literal b). </w:t>
      </w:r>
    </w:p>
    <w:p w14:paraId="5298123C"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r>
        <w:rPr>
          <w:rFonts w:eastAsia="Times New Roman" w:cs="Times New Roman"/>
          <w:b/>
          <w:bCs/>
          <w:szCs w:val="24"/>
          <w:lang w:eastAsia="es-ES"/>
        </w:rPr>
        <w:t xml:space="preserve">Comisión por saldos </w:t>
      </w:r>
    </w:p>
    <w:p w14:paraId="5298123D"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La comisión por saldo, así como el componente de la comisión mixta explicado por la comisión por saldos cobrada a los afiliados, se reconocerá como ingreso en la misma oportunidad que esta se cargue al fondo administrado.</w:t>
      </w:r>
    </w:p>
    <w:p w14:paraId="5298123E" w14:textId="77777777" w:rsidR="008748C1" w:rsidRDefault="00000000">
      <w:pPr>
        <w:keepNext/>
        <w:numPr>
          <w:ilvl w:val="2"/>
          <w:numId w:val="4"/>
        </w:numPr>
        <w:spacing w:before="360" w:after="120" w:line="240" w:lineRule="auto"/>
        <w:outlineLvl w:val="3"/>
        <w:rPr>
          <w:rFonts w:eastAsia="Times New Roman" w:cs="Times New Roman"/>
          <w:b/>
          <w:bCs/>
          <w:szCs w:val="24"/>
          <w:lang w:eastAsia="es-ES"/>
        </w:rPr>
      </w:pPr>
      <w:r>
        <w:rPr>
          <w:rFonts w:eastAsia="Times New Roman" w:cs="Times New Roman"/>
          <w:b/>
          <w:bCs/>
          <w:szCs w:val="24"/>
          <w:lang w:eastAsia="es-ES"/>
        </w:rPr>
        <w:t xml:space="preserve">Comisión por flujo dentro de la comisión mixta </w:t>
      </w:r>
    </w:p>
    <w:p w14:paraId="5298123F"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El componente por flujo de la comisión mixta determinado en función a la remuneración asegurable se reconocerá bajo lo percibido, esto es, será reconocido una vez acreditado el aporte obligatorio cotizado por los afiliados en las respectivas cuentas individuales de capitalización.</w:t>
      </w:r>
    </w:p>
    <w:p w14:paraId="52981240"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r>
        <w:rPr>
          <w:rFonts w:eastAsia="Times New Roman" w:cs="Times New Roman"/>
          <w:b/>
          <w:bCs/>
          <w:szCs w:val="24"/>
          <w:lang w:eastAsia="es-ES"/>
        </w:rPr>
        <w:t>RECONOCIMIENTO DEL INGRESO POR PRIMAS DE SEGUROS</w:t>
      </w:r>
    </w:p>
    <w:p w14:paraId="52981241" w14:textId="77777777" w:rsidR="008748C1" w:rsidRDefault="00000000">
      <w:pPr>
        <w:autoSpaceDE w:val="0"/>
        <w:autoSpaceDN w:val="0"/>
        <w:adjustRightInd w:val="0"/>
        <w:spacing w:before="60" w:after="60" w:line="240" w:lineRule="auto"/>
        <w:ind w:left="425"/>
        <w:jc w:val="both"/>
        <w:rPr>
          <w:rFonts w:eastAsia="Calibri" w:cs="Times New Roman"/>
          <w:szCs w:val="24"/>
          <w:lang w:eastAsia="es-ES"/>
        </w:rPr>
      </w:pPr>
      <w:r>
        <w:rPr>
          <w:rFonts w:eastAsia="Calibri" w:cs="Times New Roman"/>
          <w:szCs w:val="24"/>
          <w:lang w:eastAsia="es-ES"/>
        </w:rPr>
        <w:t>Una vez concluido el proceso de conciliación y acreditación de aportes cotizados por los afiliados en las respectivas cuentas individuales de capitalización, la AFP deberá transferir a la empresa de seguros el saldo de los aportes por concepto de pago de primas; para ello contará con un plazo no mayor de diez (10) días, quedando sujeta al pago de los intereses moratorios en caso de demora.</w:t>
      </w:r>
    </w:p>
    <w:p w14:paraId="52981242"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r>
        <w:rPr>
          <w:rFonts w:eastAsia="Times New Roman" w:cs="Times New Roman"/>
          <w:b/>
          <w:bCs/>
          <w:szCs w:val="24"/>
          <w:lang w:eastAsia="es-ES"/>
        </w:rPr>
        <w:lastRenderedPageBreak/>
        <w:t>PROVISIÓN POR NEGLIGENCIA</w:t>
      </w:r>
    </w:p>
    <w:p w14:paraId="52981243"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Comprende las </w:t>
      </w:r>
      <w:r>
        <w:rPr>
          <w:rFonts w:eastAsia="Calibri" w:cs="Times New Roman"/>
          <w:szCs w:val="24"/>
          <w:lang w:eastAsia="es-ES"/>
        </w:rPr>
        <w:t>obligaciones</w:t>
      </w:r>
      <w:r>
        <w:rPr>
          <w:rFonts w:eastAsia="Times New Roman" w:cs="TimesNewRomanPSMT"/>
          <w:szCs w:val="24"/>
          <w:lang w:eastAsia="es-PE"/>
        </w:rPr>
        <w:t xml:space="preserve"> contraídas por la Administradora respecto de los Fondos de Pensiones que administra, por aquellos aportes previsionales adeudados por los empleadores y por los cuales, en forma negligente, no realizó las acciones de cobranza correspondientes. Asimismo, comprende las obligaciones de la Administradora respecto de aquellos aportes por los que no efectuó las acciones necesarias que conlleven a la cobranza de dichos aportes, encontrándose estos en cualquier etapa de un proceso judicial.</w:t>
      </w:r>
    </w:p>
    <w:p w14:paraId="52981244" w14:textId="77777777" w:rsidR="008748C1" w:rsidRDefault="00000000">
      <w:pPr>
        <w:keepNext/>
        <w:numPr>
          <w:ilvl w:val="1"/>
          <w:numId w:val="4"/>
        </w:numPr>
        <w:spacing w:before="240" w:after="120" w:line="240" w:lineRule="auto"/>
        <w:ind w:left="425" w:hanging="425"/>
        <w:jc w:val="both"/>
        <w:outlineLvl w:val="2"/>
        <w:rPr>
          <w:rFonts w:eastAsia="Times New Roman" w:cs="Times New Roman"/>
          <w:b/>
          <w:bCs/>
          <w:szCs w:val="24"/>
          <w:lang w:eastAsia="es-ES"/>
        </w:rPr>
      </w:pPr>
      <w:bookmarkStart w:id="403" w:name="_Toc164103527"/>
      <w:r>
        <w:rPr>
          <w:rFonts w:eastAsia="Times New Roman" w:cs="Times New Roman"/>
          <w:b/>
          <w:bCs/>
          <w:szCs w:val="24"/>
          <w:lang w:eastAsia="es-ES"/>
        </w:rPr>
        <w:t>APLICACIÓN DE LA NIC 8 “POLÍTICAS CONTABLES, CAMBIOS EN LAS ESTIMACIONES CONTABLES Y ERRORES”</w:t>
      </w:r>
      <w:bookmarkEnd w:id="403"/>
    </w:p>
    <w:p w14:paraId="52981245"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Los cambios en políticas contables, cambios en estimaciones contables y corrección de errores se realizarán conforme con la NIC 8 “Políticas Contables, Cambios en las Estimaciones Contables y Errores”, excepto </w:t>
      </w:r>
      <w:bookmarkStart w:id="404" w:name="_Hlk159336721"/>
      <w:r>
        <w:rPr>
          <w:rFonts w:eastAsia="Times New Roman" w:cs="TimesNewRomanPSMT"/>
          <w:szCs w:val="24"/>
          <w:lang w:eastAsia="es-PE"/>
        </w:rPr>
        <w:t xml:space="preserve">cuando una norma contable emitida por esta Superintendencia señale un tratamiento específico.  </w:t>
      </w:r>
      <w:bookmarkEnd w:id="404"/>
    </w:p>
    <w:p w14:paraId="52981246"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El efecto de los cambios en políticas contables y corrección de errores deben ser contabilizados en las subcuentas 30592 “Pérdidas acumuladas” o 30591 “Utilidades no distribuidas”, según corresponda, excepto cuando una norma contable emitida por esta Superintendencia señale un tratamiento específico.  </w:t>
      </w:r>
    </w:p>
    <w:p w14:paraId="52981247" w14:textId="77777777" w:rsidR="008748C1" w:rsidRDefault="00000000">
      <w:pPr>
        <w:keepNext/>
        <w:numPr>
          <w:ilvl w:val="1"/>
          <w:numId w:val="4"/>
        </w:numPr>
        <w:spacing w:before="240" w:after="120" w:line="240" w:lineRule="auto"/>
        <w:ind w:left="425" w:hanging="425"/>
        <w:jc w:val="both"/>
        <w:outlineLvl w:val="2"/>
        <w:rPr>
          <w:rFonts w:eastAsia="Times New Roman" w:cs="Times New Roman"/>
          <w:b/>
          <w:bCs/>
          <w:szCs w:val="24"/>
          <w:lang w:eastAsia="es-ES"/>
        </w:rPr>
      </w:pPr>
      <w:r>
        <w:rPr>
          <w:rFonts w:eastAsia="Times New Roman" w:cs="Times New Roman"/>
          <w:b/>
          <w:bCs/>
          <w:szCs w:val="24"/>
          <w:lang w:eastAsia="es-ES"/>
        </w:rPr>
        <w:t>TRATAMIENTO CONTABLE DE LAS CONTROVERSIAS</w:t>
      </w:r>
      <w:r>
        <w:rPr>
          <w:rFonts w:eastAsia="Times New Roman" w:cs="Times New Roman"/>
          <w:b/>
          <w:bCs/>
          <w:szCs w:val="24"/>
          <w:vertAlign w:val="superscript"/>
          <w:lang w:eastAsia="es-ES"/>
        </w:rPr>
        <w:t xml:space="preserve"> </w:t>
      </w:r>
    </w:p>
    <w:p w14:paraId="52981248"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Por las controversias que, de acuerdo con los Procedimientos mínimos para la gestión, clasificación, reporte y constitución de provisiones por controversias, sean clasificadas como “probable”, se debe reconocer una provisión, formando parte del pasivo, teniendo como contrapartida un gasto, afectando el resultado del </w:t>
      </w:r>
      <w:r>
        <w:rPr>
          <w:rFonts w:eastAsia="Calibri" w:cs="Arial"/>
          <w:szCs w:val="24"/>
          <w:lang w:eastAsia="es-ES"/>
        </w:rPr>
        <w:t>periodo</w:t>
      </w:r>
      <w:r>
        <w:rPr>
          <w:rFonts w:eastAsia="Times New Roman" w:cs="TimesNewRomanPSMT"/>
          <w:szCs w:val="24"/>
          <w:lang w:eastAsia="es-PE"/>
        </w:rPr>
        <w:t xml:space="preserve">. Adicionalmente, por las provisiones se deben realizar revelaciones en notas a los estados financieros anuales e intermedios, conforme con los requerimientos de revelación de la NIC 37 “Provisiones, Pasivos Contingentes y Activos Contingentes” y las NIIF sobre presentación de estados financieros intermedios y anuales. </w:t>
      </w:r>
    </w:p>
    <w:p w14:paraId="52981249"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 xml:space="preserve">El importe reconocido como provisión debe ser la mejor estimación del desembolso necesario para cancelar el pasivo, al final del periodo anual o intermedio sobre el que se informa. </w:t>
      </w:r>
    </w:p>
    <w:p w14:paraId="5298124A"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Tratándose de las controversias que son clasificadas como “posible” de acuerdo con los Procedimientos mínimos para la gestión, clasificación, reporte y constitución de provisiones por controversias, deben ser reveladas en notas a los estados financieros anuales e intermedios, conforme con los requerimientos de la NIC 37 y las NIIF sobre presentación de estados financieros intermedios y anuales.</w:t>
      </w:r>
    </w:p>
    <w:p w14:paraId="5298124B" w14:textId="77777777" w:rsidR="008748C1" w:rsidRDefault="00000000">
      <w:pPr>
        <w:autoSpaceDE w:val="0"/>
        <w:autoSpaceDN w:val="0"/>
        <w:adjustRightInd w:val="0"/>
        <w:spacing w:before="60" w:after="60" w:line="240" w:lineRule="auto"/>
        <w:ind w:left="425"/>
        <w:jc w:val="both"/>
        <w:rPr>
          <w:rFonts w:eastAsia="Times New Roman" w:cs="TimesNewRomanPSMT"/>
          <w:szCs w:val="24"/>
          <w:lang w:eastAsia="es-PE"/>
        </w:rPr>
      </w:pPr>
      <w:r>
        <w:rPr>
          <w:rFonts w:eastAsia="Times New Roman" w:cs="TimesNewRomanPSMT"/>
          <w:szCs w:val="24"/>
          <w:lang w:eastAsia="es-PE"/>
        </w:rPr>
        <w:t>Respecto de las controversias clasificadas como “remota” de acuerdo con los Procedimientos mínimos para la gestión, clasificación, reporte y constitución de provisiones por controversias, no se deben reconocer ni revelar en los estados financieros intermedios y anuales.</w:t>
      </w:r>
    </w:p>
    <w:p w14:paraId="5298124C" w14:textId="77777777" w:rsidR="008748C1" w:rsidRDefault="008748C1">
      <w:pPr>
        <w:autoSpaceDE w:val="0"/>
        <w:autoSpaceDN w:val="0"/>
        <w:adjustRightInd w:val="0"/>
        <w:spacing w:before="60" w:after="60" w:line="240" w:lineRule="auto"/>
        <w:jc w:val="both"/>
        <w:rPr>
          <w:rFonts w:eastAsia="Times New Roman" w:cs="TimesNewRomanPSMT"/>
          <w:szCs w:val="24"/>
          <w:lang w:eastAsia="es-PE"/>
        </w:rPr>
      </w:pPr>
    </w:p>
    <w:p w14:paraId="5298124D" w14:textId="77777777" w:rsidR="008748C1" w:rsidRDefault="00000000">
      <w:pPr>
        <w:keepNext/>
        <w:numPr>
          <w:ilvl w:val="0"/>
          <w:numId w:val="4"/>
        </w:numPr>
        <w:spacing w:after="0" w:line="240" w:lineRule="auto"/>
        <w:ind w:left="0" w:hanging="284"/>
        <w:outlineLvl w:val="1"/>
        <w:rPr>
          <w:rFonts w:eastAsia="Times New Roman" w:cs="Times New Roman"/>
          <w:b/>
          <w:bCs/>
          <w:szCs w:val="24"/>
          <w:lang w:eastAsia="es-ES"/>
        </w:rPr>
      </w:pPr>
      <w:bookmarkStart w:id="405" w:name="_Toc164103529"/>
      <w:r>
        <w:rPr>
          <w:rFonts w:eastAsia="Times New Roman" w:cs="Times New Roman"/>
          <w:b/>
          <w:bCs/>
          <w:szCs w:val="24"/>
          <w:lang w:eastAsia="es-ES"/>
        </w:rPr>
        <w:t>CIERRE DEL EJERCICIO ECONÓMICO</w:t>
      </w:r>
      <w:bookmarkEnd w:id="405"/>
    </w:p>
    <w:p w14:paraId="5298124E" w14:textId="77777777" w:rsidR="008748C1" w:rsidRDefault="008748C1">
      <w:pPr>
        <w:spacing w:after="0" w:line="240" w:lineRule="auto"/>
        <w:rPr>
          <w:rFonts w:eastAsia="Times New Roman" w:cs="Times New Roman"/>
          <w:szCs w:val="24"/>
          <w:lang w:eastAsia="es-ES"/>
        </w:rPr>
      </w:pPr>
    </w:p>
    <w:p w14:paraId="5298124F" w14:textId="77777777" w:rsidR="008748C1" w:rsidRDefault="00000000">
      <w:pPr>
        <w:spacing w:after="0" w:line="240" w:lineRule="auto"/>
        <w:jc w:val="both"/>
        <w:rPr>
          <w:rFonts w:eastAsia="Times New Roman" w:cs="Arial"/>
          <w:snapToGrid w:val="0"/>
          <w:lang w:eastAsia="es-ES"/>
        </w:rPr>
      </w:pPr>
      <w:r>
        <w:rPr>
          <w:rFonts w:eastAsia="Times New Roman" w:cs="Arial"/>
          <w:snapToGrid w:val="0"/>
          <w:lang w:eastAsia="es-ES"/>
        </w:rPr>
        <w:t>Las empresas deberán cerrar su gestión económica-contable al 31 de diciembre de cada año, salvo que la Superintendencia, en algún caso específico, determine tratamiento alternativo diferente.</w:t>
      </w:r>
    </w:p>
    <w:p w14:paraId="52981250" w14:textId="77777777" w:rsidR="008748C1" w:rsidRDefault="008748C1">
      <w:pPr>
        <w:spacing w:after="0" w:line="240" w:lineRule="auto"/>
        <w:jc w:val="both"/>
        <w:rPr>
          <w:rFonts w:eastAsia="Times New Roman" w:cs="Arial"/>
          <w:snapToGrid w:val="0"/>
          <w:lang w:eastAsia="es-ES"/>
        </w:rPr>
      </w:pPr>
    </w:p>
    <w:p w14:paraId="52981251" w14:textId="77777777" w:rsidR="008748C1" w:rsidRDefault="008748C1">
      <w:pPr>
        <w:spacing w:after="0" w:line="240" w:lineRule="auto"/>
        <w:jc w:val="both"/>
        <w:rPr>
          <w:rFonts w:eastAsia="Times New Roman" w:cs="Arial"/>
          <w:snapToGrid w:val="0"/>
          <w:lang w:eastAsia="es-ES"/>
        </w:rPr>
      </w:pPr>
    </w:p>
    <w:p w14:paraId="52981252" w14:textId="77777777" w:rsidR="008748C1" w:rsidRDefault="00000000">
      <w:pPr>
        <w:keepNext/>
        <w:numPr>
          <w:ilvl w:val="0"/>
          <w:numId w:val="4"/>
        </w:numPr>
        <w:spacing w:after="0" w:line="240" w:lineRule="auto"/>
        <w:ind w:left="0" w:hanging="284"/>
        <w:outlineLvl w:val="1"/>
        <w:rPr>
          <w:rFonts w:eastAsia="Times New Roman" w:cs="Times New Roman"/>
          <w:b/>
          <w:bCs/>
          <w:szCs w:val="24"/>
          <w:lang w:eastAsia="es-ES"/>
        </w:rPr>
      </w:pPr>
      <w:bookmarkStart w:id="406" w:name="_Toc164103530"/>
      <w:r>
        <w:rPr>
          <w:rFonts w:eastAsia="Times New Roman" w:cs="Times New Roman"/>
          <w:b/>
          <w:bCs/>
          <w:szCs w:val="24"/>
          <w:lang w:eastAsia="es-ES"/>
        </w:rPr>
        <w:t>MANUAL DE POLÍTICAS CONTABLES</w:t>
      </w:r>
      <w:bookmarkEnd w:id="406"/>
    </w:p>
    <w:p w14:paraId="52981253" w14:textId="77777777" w:rsidR="008748C1" w:rsidRDefault="008748C1">
      <w:pPr>
        <w:spacing w:after="0" w:line="240" w:lineRule="auto"/>
        <w:rPr>
          <w:rFonts w:eastAsia="Times New Roman" w:cs="Times New Roman"/>
          <w:szCs w:val="24"/>
          <w:lang w:eastAsia="es-ES"/>
        </w:rPr>
      </w:pPr>
    </w:p>
    <w:p w14:paraId="52981254" w14:textId="77777777" w:rsidR="008748C1" w:rsidRDefault="00000000">
      <w:pPr>
        <w:spacing w:after="0" w:line="240" w:lineRule="auto"/>
        <w:jc w:val="both"/>
        <w:rPr>
          <w:rFonts w:eastAsia="Times New Roman" w:cs="Arial"/>
          <w:snapToGrid w:val="0"/>
          <w:lang w:eastAsia="es-ES"/>
        </w:rPr>
      </w:pPr>
      <w:r>
        <w:rPr>
          <w:rFonts w:eastAsia="Times New Roman" w:cs="Arial"/>
          <w:snapToGrid w:val="0"/>
          <w:lang w:eastAsia="es-ES"/>
        </w:rPr>
        <w:t>Las políticas contables deberán incluirse en un Manual de Políticas Contables, el mismo que debe ser actualizado por lo menos anualmente o cuando haya un cambio relevante. Las políticas contables deben recoger los aspectos señalados en el Manual de Contabilidad y en las NIIF. El Manual de Políticas Contables deberá ser aprobado por el Directorio de la empresa u órgano equivalente, y estar a disposición de la Superintendencia.</w:t>
      </w:r>
    </w:p>
    <w:p w14:paraId="52981255" w14:textId="77777777" w:rsidR="008748C1" w:rsidRDefault="008748C1">
      <w:pPr>
        <w:spacing w:after="0" w:line="240" w:lineRule="auto"/>
        <w:jc w:val="both"/>
        <w:rPr>
          <w:rFonts w:eastAsia="Times New Roman" w:cs="Arial"/>
          <w:snapToGrid w:val="0"/>
          <w:lang w:eastAsia="es-ES"/>
        </w:rPr>
      </w:pPr>
    </w:p>
    <w:p w14:paraId="52981256" w14:textId="77777777" w:rsidR="008748C1" w:rsidRDefault="008748C1">
      <w:pPr>
        <w:spacing w:after="0" w:line="240" w:lineRule="auto"/>
        <w:jc w:val="both"/>
        <w:rPr>
          <w:rFonts w:eastAsia="Times New Roman" w:cs="Arial"/>
          <w:snapToGrid w:val="0"/>
          <w:lang w:eastAsia="es-ES"/>
        </w:rPr>
      </w:pPr>
    </w:p>
    <w:p w14:paraId="52981257" w14:textId="77777777" w:rsidR="008748C1" w:rsidRDefault="00000000">
      <w:pPr>
        <w:keepNext/>
        <w:numPr>
          <w:ilvl w:val="0"/>
          <w:numId w:val="4"/>
        </w:numPr>
        <w:spacing w:after="0" w:line="240" w:lineRule="auto"/>
        <w:ind w:left="0" w:hanging="284"/>
        <w:jc w:val="both"/>
        <w:outlineLvl w:val="1"/>
        <w:rPr>
          <w:rFonts w:eastAsia="Times New Roman" w:cs="Times New Roman"/>
          <w:b/>
          <w:bCs/>
          <w:szCs w:val="24"/>
          <w:lang w:eastAsia="es-ES"/>
        </w:rPr>
      </w:pPr>
      <w:bookmarkStart w:id="407" w:name="_Toc164103531"/>
      <w:r>
        <w:rPr>
          <w:rFonts w:eastAsia="Times New Roman" w:cs="Times New Roman"/>
          <w:b/>
          <w:bCs/>
          <w:szCs w:val="24"/>
          <w:lang w:eastAsia="es-ES"/>
        </w:rPr>
        <w:t>APROBACIÓN DE LOS ESTADOS FINANCIEROS Y LA MEMORIA POR LA JUNTA GENERAL DE ACCIONISTAS U ÓRGANO EQUIVALENTE</w:t>
      </w:r>
      <w:bookmarkEnd w:id="407"/>
      <w:r>
        <w:rPr>
          <w:rFonts w:eastAsia="Times New Roman" w:cs="Times New Roman"/>
          <w:b/>
          <w:bCs/>
          <w:szCs w:val="24"/>
          <w:lang w:eastAsia="es-ES"/>
        </w:rPr>
        <w:t xml:space="preserve"> </w:t>
      </w:r>
    </w:p>
    <w:p w14:paraId="52981258"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bookmarkStart w:id="408" w:name="_Toc164103532"/>
      <w:r>
        <w:rPr>
          <w:rFonts w:eastAsia="Times New Roman" w:cs="Times New Roman"/>
          <w:b/>
          <w:bCs/>
          <w:szCs w:val="24"/>
          <w:lang w:eastAsia="es-ES"/>
        </w:rPr>
        <w:t>ESTADOS FINANCIEROS</w:t>
      </w:r>
      <w:bookmarkEnd w:id="408"/>
    </w:p>
    <w:p w14:paraId="52981259"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 xml:space="preserve">De acuerdo con los artículos 221° y 226° de la Ley General de Sociedades, el informe de los auditores externos, juntamente con los estados financieros auditados, correspondientes al cierre del ejercicio económico anual, deben ser puestos a disposición de los accionistas con la debida antelación para ser sometidos a la Junta General de Accionistas u órgano equivalente, para su aprobación. Asimismo, en atención a los citados dispositivos legales, se debe considerar que los resultados obtenidos en el ejercicio se refieren al resultado del </w:t>
      </w:r>
      <w:r>
        <w:rPr>
          <w:rFonts w:eastAsia="Calibri" w:cs="Arial"/>
          <w:szCs w:val="24"/>
          <w:lang w:eastAsia="es-ES"/>
        </w:rPr>
        <w:t>periodo</w:t>
      </w:r>
      <w:r>
        <w:rPr>
          <w:rFonts w:eastAsia="Times New Roman" w:cs="Times New Roman"/>
          <w:lang w:eastAsia="es-ES"/>
        </w:rPr>
        <w:t xml:space="preserve"> reportado en el Estado de Resultados (Forma B-1).</w:t>
      </w:r>
    </w:p>
    <w:p w14:paraId="5298125A"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En caso de existir observaciones, éstas deberán ser informadas de inmediato a la Superintendencia.</w:t>
      </w:r>
    </w:p>
    <w:p w14:paraId="5298125B" w14:textId="77777777" w:rsidR="008748C1" w:rsidRDefault="00000000">
      <w:pPr>
        <w:spacing w:before="60" w:after="60" w:line="240" w:lineRule="auto"/>
        <w:ind w:left="425"/>
        <w:jc w:val="both"/>
        <w:rPr>
          <w:rFonts w:eastAsia="Times New Roman" w:cs="Times New Roman"/>
          <w:lang w:eastAsia="es-ES"/>
        </w:rPr>
      </w:pPr>
      <w:r>
        <w:rPr>
          <w:rFonts w:eastAsia="Times New Roman" w:cs="Times New Roman"/>
          <w:lang w:eastAsia="es-ES"/>
        </w:rPr>
        <w:t>La fecha de la aprobación de los estados financieros por la Junta General de Accionistas u órgano equivalente se supeditará a los plazos establecidos en la Ley General de Sociedades.</w:t>
      </w:r>
    </w:p>
    <w:p w14:paraId="5298125C" w14:textId="77777777" w:rsidR="008748C1" w:rsidRDefault="00000000">
      <w:pPr>
        <w:keepNext/>
        <w:numPr>
          <w:ilvl w:val="1"/>
          <w:numId w:val="4"/>
        </w:numPr>
        <w:spacing w:before="240" w:after="120" w:line="240" w:lineRule="auto"/>
        <w:ind w:left="425" w:hanging="425"/>
        <w:outlineLvl w:val="2"/>
        <w:rPr>
          <w:rFonts w:eastAsia="Times New Roman" w:cs="Times New Roman"/>
          <w:b/>
          <w:bCs/>
          <w:szCs w:val="24"/>
          <w:lang w:eastAsia="es-ES"/>
        </w:rPr>
      </w:pPr>
      <w:bookmarkStart w:id="409" w:name="_Toc164103533"/>
      <w:r>
        <w:rPr>
          <w:rFonts w:eastAsia="Times New Roman" w:cs="Times New Roman"/>
          <w:b/>
          <w:bCs/>
          <w:szCs w:val="24"/>
          <w:lang w:eastAsia="es-ES"/>
        </w:rPr>
        <w:t>MEMORIA ANUAL</w:t>
      </w:r>
      <w:bookmarkEnd w:id="409"/>
    </w:p>
    <w:p w14:paraId="5298125D" w14:textId="77777777" w:rsidR="008748C1" w:rsidRDefault="00000000">
      <w:pPr>
        <w:spacing w:after="0" w:line="240" w:lineRule="auto"/>
        <w:ind w:left="425"/>
        <w:jc w:val="both"/>
        <w:rPr>
          <w:rFonts w:eastAsia="Times New Roman" w:cs="Times New Roman"/>
          <w:snapToGrid w:val="0"/>
          <w:szCs w:val="20"/>
          <w:lang w:eastAsia="es-ES"/>
        </w:rPr>
      </w:pPr>
      <w:r>
        <w:rPr>
          <w:rFonts w:eastAsia="Times New Roman" w:cs="Times New Roman"/>
          <w:snapToGrid w:val="0"/>
          <w:szCs w:val="20"/>
          <w:lang w:eastAsia="es-ES"/>
        </w:rPr>
        <w:t>Las AFP deben presentar ante la Superintendencia la Memoria Anual a que se refiere el Artículo 36 del Reglamento, dentro de los quince (15) días siguientes a su aprobación por el órgano social competente. Asimismo, deben publicar en su página web la memoria anual en el mismo plazo y deben mantenerlos disponibles de forma permanente para el público sin referir a un hipervínculo o enlace a otra página web externa de la empresa.</w:t>
      </w:r>
    </w:p>
    <w:p w14:paraId="5298125E" w14:textId="77777777" w:rsidR="008748C1" w:rsidRDefault="00000000">
      <w:pPr>
        <w:spacing w:after="0" w:line="240" w:lineRule="auto"/>
        <w:ind w:left="425"/>
        <w:jc w:val="both"/>
        <w:rPr>
          <w:rFonts w:eastAsia="Times New Roman" w:cs="Times New Roman"/>
          <w:snapToGrid w:val="0"/>
          <w:szCs w:val="20"/>
          <w:lang w:eastAsia="es-ES"/>
        </w:rPr>
      </w:pPr>
      <w:r>
        <w:rPr>
          <w:rFonts w:eastAsia="Times New Roman" w:cs="Times New Roman"/>
          <w:snapToGrid w:val="0"/>
          <w:szCs w:val="20"/>
          <w:lang w:eastAsia="es-ES"/>
        </w:rPr>
        <w:t xml:space="preserve">El contenido de la memoria se sujeta a lo establecido en el artículo 80 “Memoria Anual” del Título III ‘Gestión Empresarial’ del Compendio de Normas de Superintendencia Reglamentarias del Sistema Privado de Administración de Fondos de Pensiones, aprobado mediante Resolución </w:t>
      </w:r>
      <w:proofErr w:type="spellStart"/>
      <w:r>
        <w:rPr>
          <w:rFonts w:eastAsia="Times New Roman" w:cs="Times New Roman"/>
          <w:snapToGrid w:val="0"/>
          <w:szCs w:val="20"/>
          <w:lang w:eastAsia="es-ES"/>
        </w:rPr>
        <w:t>N°</w:t>
      </w:r>
      <w:proofErr w:type="spellEnd"/>
      <w:r>
        <w:rPr>
          <w:rFonts w:eastAsia="Times New Roman" w:cs="Times New Roman"/>
          <w:snapToGrid w:val="0"/>
          <w:szCs w:val="20"/>
          <w:lang w:eastAsia="es-ES"/>
        </w:rPr>
        <w:t xml:space="preserve"> 053-98-EF/SAFP y sus normas modificatorias.</w:t>
      </w:r>
    </w:p>
    <w:p w14:paraId="5298125F" w14:textId="77777777" w:rsidR="008748C1" w:rsidRDefault="00000000">
      <w:pPr>
        <w:spacing w:after="0" w:line="240" w:lineRule="auto"/>
        <w:rPr>
          <w:rFonts w:eastAsia="Times New Roman" w:cs="Times New Roman"/>
          <w:snapToGrid w:val="0"/>
          <w:szCs w:val="20"/>
          <w:lang w:eastAsia="es-ES"/>
        </w:rPr>
      </w:pPr>
      <w:r>
        <w:rPr>
          <w:rFonts w:eastAsia="Times New Roman" w:cs="Times New Roman"/>
          <w:szCs w:val="24"/>
          <w:lang w:eastAsia="es-ES"/>
        </w:rPr>
        <w:br w:type="page"/>
      </w:r>
    </w:p>
    <w:p w14:paraId="52981260" w14:textId="77777777" w:rsidR="008748C1" w:rsidRDefault="00000000">
      <w:pPr>
        <w:spacing w:after="0" w:line="240" w:lineRule="auto"/>
        <w:jc w:val="center"/>
        <w:rPr>
          <w:rFonts w:eastAsia="Times New Roman" w:cs="Times New Roman"/>
          <w:b/>
          <w:sz w:val="24"/>
          <w:szCs w:val="24"/>
          <w:lang w:eastAsia="es-ES"/>
        </w:rPr>
      </w:pPr>
      <w:r>
        <w:rPr>
          <w:rFonts w:eastAsia="Times New Roman" w:cs="Times New Roman"/>
          <w:b/>
          <w:sz w:val="24"/>
          <w:szCs w:val="24"/>
          <w:lang w:eastAsia="es-ES"/>
        </w:rPr>
        <w:lastRenderedPageBreak/>
        <w:t xml:space="preserve">TABLA DE CÓDIGOS DE CUENTAS </w:t>
      </w:r>
      <w:r>
        <w:rPr>
          <w:rFonts w:eastAsia="Times New Roman" w:cs="Times New Roman"/>
          <w:b/>
          <w:sz w:val="24"/>
          <w:szCs w:val="24"/>
          <w:lang w:eastAsia="es-ES"/>
        </w:rPr>
        <w:br/>
        <w:t xml:space="preserve">PARA LAS EMPRESAS DEL SISTEMA FINANCIERO </w:t>
      </w:r>
    </w:p>
    <w:p w14:paraId="52981261" w14:textId="77777777" w:rsidR="008748C1" w:rsidRDefault="008748C1">
      <w:pPr>
        <w:spacing w:after="0" w:line="240" w:lineRule="auto"/>
        <w:rPr>
          <w:rFonts w:eastAsia="Times New Roman" w:cs="Times New Roman"/>
          <w:b/>
          <w:bCs/>
          <w:lang w:eastAsia="es-ES"/>
        </w:rPr>
      </w:pPr>
    </w:p>
    <w:p w14:paraId="52981262" w14:textId="77777777" w:rsidR="008748C1" w:rsidRDefault="008748C1">
      <w:pPr>
        <w:spacing w:after="0" w:line="240" w:lineRule="auto"/>
        <w:rPr>
          <w:rFonts w:eastAsia="Times New Roman" w:cs="Times New Roman"/>
          <w:b/>
          <w:bCs/>
          <w:lang w:eastAsia="es-ES"/>
        </w:rPr>
      </w:pPr>
    </w:p>
    <w:p w14:paraId="52981263" w14:textId="77777777" w:rsidR="008748C1" w:rsidRDefault="00000000">
      <w:pPr>
        <w:spacing w:after="0" w:line="240" w:lineRule="auto"/>
        <w:ind w:firstLine="709"/>
        <w:rPr>
          <w:rFonts w:eastAsia="Times New Roman" w:cs="Times New Roman"/>
          <w:b/>
          <w:bCs/>
          <w:lang w:eastAsia="es-ES"/>
        </w:rPr>
      </w:pPr>
      <w:r>
        <w:rPr>
          <w:rFonts w:eastAsia="Times New Roman" w:cs="Times New Roman"/>
          <w:b/>
          <w:bCs/>
          <w:lang w:eastAsia="es-ES"/>
        </w:rPr>
        <w:t>Código 1: Bancos</w:t>
      </w:r>
    </w:p>
    <w:p w14:paraId="52981264" w14:textId="77777777" w:rsidR="008748C1" w:rsidRDefault="008748C1">
      <w:pPr>
        <w:spacing w:after="0" w:line="240" w:lineRule="auto"/>
        <w:rPr>
          <w:rFonts w:eastAsia="Times New Roman" w:cs="Times New Roman"/>
          <w:b/>
          <w:bCs/>
          <w:lang w:eastAsia="es-ES"/>
        </w:rPr>
      </w:pPr>
    </w:p>
    <w:tbl>
      <w:tblPr>
        <w:tblW w:w="5841" w:type="dxa"/>
        <w:tblInd w:w="704" w:type="dxa"/>
        <w:tblCellMar>
          <w:left w:w="70" w:type="dxa"/>
          <w:right w:w="70" w:type="dxa"/>
        </w:tblCellMar>
        <w:tblLook w:val="04A0" w:firstRow="1" w:lastRow="0" w:firstColumn="1" w:lastColumn="0" w:noHBand="0" w:noVBand="1"/>
      </w:tblPr>
      <w:tblGrid>
        <w:gridCol w:w="851"/>
        <w:gridCol w:w="4990"/>
      </w:tblGrid>
      <w:tr w:rsidR="008748C1" w14:paraId="52981266" w14:textId="77777777">
        <w:trPr>
          <w:trHeight w:val="20"/>
        </w:trPr>
        <w:tc>
          <w:tcPr>
            <w:tcW w:w="5841" w:type="dxa"/>
            <w:gridSpan w:val="2"/>
            <w:tcBorders>
              <w:top w:val="single" w:sz="4" w:space="0" w:color="auto"/>
              <w:left w:val="single" w:sz="4" w:space="0" w:color="auto"/>
              <w:bottom w:val="single" w:sz="4" w:space="0" w:color="auto"/>
              <w:right w:val="single" w:sz="4" w:space="0" w:color="auto"/>
            </w:tcBorders>
            <w:noWrap/>
            <w:vAlign w:val="bottom"/>
          </w:tcPr>
          <w:p w14:paraId="52981265" w14:textId="77777777" w:rsidR="008748C1" w:rsidRDefault="00000000">
            <w:pPr>
              <w:spacing w:after="0" w:line="240" w:lineRule="auto"/>
              <w:rPr>
                <w:rFonts w:eastAsia="Times New Roman" w:cs="Times New Roman"/>
                <w:b/>
                <w:bCs/>
                <w:lang w:eastAsia="es-PE"/>
              </w:rPr>
            </w:pPr>
            <w:r>
              <w:rPr>
                <w:rFonts w:eastAsia="Times New Roman" w:cs="Times New Roman"/>
                <w:b/>
                <w:bCs/>
                <w:lang w:eastAsia="es-PE"/>
              </w:rPr>
              <w:t xml:space="preserve">Código 1: Grupo </w:t>
            </w:r>
            <w:proofErr w:type="spellStart"/>
            <w:r>
              <w:rPr>
                <w:rFonts w:eastAsia="Times New Roman" w:cs="Times New Roman"/>
                <w:b/>
                <w:bCs/>
                <w:lang w:eastAsia="es-PE"/>
              </w:rPr>
              <w:t>N°</w:t>
            </w:r>
            <w:proofErr w:type="spellEnd"/>
            <w:r>
              <w:rPr>
                <w:rFonts w:eastAsia="Times New Roman" w:cs="Times New Roman"/>
                <w:b/>
                <w:bCs/>
                <w:lang w:eastAsia="es-PE"/>
              </w:rPr>
              <w:t xml:space="preserve"> 1 de Bancos</w:t>
            </w:r>
          </w:p>
        </w:tc>
      </w:tr>
      <w:tr w:rsidR="008748C1" w14:paraId="52981269"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67" w14:textId="77777777" w:rsidR="008748C1" w:rsidRDefault="00000000">
            <w:pPr>
              <w:spacing w:after="0" w:line="240" w:lineRule="auto"/>
              <w:rPr>
                <w:rFonts w:eastAsia="Times New Roman" w:cs="Times New Roman"/>
                <w:lang w:eastAsia="es-PE"/>
              </w:rPr>
            </w:pPr>
            <w:r>
              <w:rPr>
                <w:rFonts w:eastAsia="Times New Roman" w:cs="Times New Roman"/>
                <w:lang w:eastAsia="es-PE"/>
              </w:rPr>
              <w:t>Códigos</w:t>
            </w:r>
          </w:p>
        </w:tc>
        <w:tc>
          <w:tcPr>
            <w:tcW w:w="4990" w:type="dxa"/>
            <w:tcBorders>
              <w:top w:val="nil"/>
              <w:left w:val="nil"/>
              <w:bottom w:val="single" w:sz="4" w:space="0" w:color="auto"/>
              <w:right w:val="single" w:sz="4" w:space="0" w:color="auto"/>
            </w:tcBorders>
            <w:noWrap/>
            <w:vAlign w:val="bottom"/>
          </w:tcPr>
          <w:p w14:paraId="52981268"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Denominación </w:t>
            </w:r>
          </w:p>
        </w:tc>
      </w:tr>
      <w:tr w:rsidR="008748C1" w14:paraId="5298126C"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6A"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1</w:t>
            </w:r>
          </w:p>
        </w:tc>
        <w:tc>
          <w:tcPr>
            <w:tcW w:w="4990" w:type="dxa"/>
            <w:tcBorders>
              <w:top w:val="nil"/>
              <w:left w:val="nil"/>
              <w:bottom w:val="single" w:sz="4" w:space="0" w:color="auto"/>
              <w:right w:val="single" w:sz="4" w:space="0" w:color="auto"/>
            </w:tcBorders>
            <w:noWrap/>
            <w:vAlign w:val="bottom"/>
          </w:tcPr>
          <w:p w14:paraId="5298126B"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de Crédito</w:t>
            </w:r>
          </w:p>
        </w:tc>
      </w:tr>
      <w:tr w:rsidR="008748C1" w14:paraId="5298126F"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6D"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2</w:t>
            </w:r>
          </w:p>
        </w:tc>
        <w:tc>
          <w:tcPr>
            <w:tcW w:w="4990" w:type="dxa"/>
            <w:tcBorders>
              <w:top w:val="nil"/>
              <w:left w:val="nil"/>
              <w:bottom w:val="single" w:sz="4" w:space="0" w:color="auto"/>
              <w:right w:val="single" w:sz="4" w:space="0" w:color="auto"/>
            </w:tcBorders>
            <w:noWrap/>
            <w:vAlign w:val="bottom"/>
          </w:tcPr>
          <w:p w14:paraId="5298126E"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Internacional del Perú - INTERBANK</w:t>
            </w:r>
          </w:p>
        </w:tc>
      </w:tr>
      <w:tr w:rsidR="008748C1" w14:paraId="52981272"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70"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3</w:t>
            </w:r>
          </w:p>
        </w:tc>
        <w:tc>
          <w:tcPr>
            <w:tcW w:w="4990" w:type="dxa"/>
            <w:tcBorders>
              <w:top w:val="nil"/>
              <w:left w:val="nil"/>
              <w:bottom w:val="single" w:sz="4" w:space="0" w:color="auto"/>
              <w:right w:val="single" w:sz="4" w:space="0" w:color="auto"/>
            </w:tcBorders>
            <w:noWrap/>
            <w:vAlign w:val="bottom"/>
          </w:tcPr>
          <w:p w14:paraId="52981271"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Scotiabank Perú</w:t>
            </w:r>
          </w:p>
        </w:tc>
      </w:tr>
      <w:tr w:rsidR="008748C1" w14:paraId="52981275"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73"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4</w:t>
            </w:r>
          </w:p>
        </w:tc>
        <w:tc>
          <w:tcPr>
            <w:tcW w:w="4990" w:type="dxa"/>
            <w:tcBorders>
              <w:top w:val="nil"/>
              <w:left w:val="nil"/>
              <w:bottom w:val="single" w:sz="4" w:space="0" w:color="auto"/>
              <w:right w:val="single" w:sz="4" w:space="0" w:color="auto"/>
            </w:tcBorders>
            <w:noWrap/>
            <w:vAlign w:val="bottom"/>
          </w:tcPr>
          <w:p w14:paraId="52981274"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BBVA</w:t>
            </w:r>
          </w:p>
        </w:tc>
      </w:tr>
      <w:tr w:rsidR="008748C1" w14:paraId="52981278"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76"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5</w:t>
            </w:r>
          </w:p>
        </w:tc>
        <w:tc>
          <w:tcPr>
            <w:tcW w:w="4990" w:type="dxa"/>
            <w:tcBorders>
              <w:top w:val="nil"/>
              <w:left w:val="nil"/>
              <w:bottom w:val="single" w:sz="4" w:space="0" w:color="auto"/>
              <w:right w:val="single" w:sz="4" w:space="0" w:color="auto"/>
            </w:tcBorders>
            <w:noWrap/>
            <w:vAlign w:val="bottom"/>
          </w:tcPr>
          <w:p w14:paraId="52981277"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de Comercio</w:t>
            </w:r>
          </w:p>
        </w:tc>
      </w:tr>
      <w:tr w:rsidR="008748C1" w14:paraId="5298127B"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79"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6</w:t>
            </w:r>
          </w:p>
        </w:tc>
        <w:tc>
          <w:tcPr>
            <w:tcW w:w="4990" w:type="dxa"/>
            <w:tcBorders>
              <w:top w:val="nil"/>
              <w:left w:val="nil"/>
              <w:bottom w:val="single" w:sz="4" w:space="0" w:color="auto"/>
              <w:right w:val="single" w:sz="4" w:space="0" w:color="auto"/>
            </w:tcBorders>
            <w:noWrap/>
            <w:vAlign w:val="bottom"/>
          </w:tcPr>
          <w:p w14:paraId="5298127A"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Pichincha</w:t>
            </w:r>
          </w:p>
        </w:tc>
      </w:tr>
      <w:tr w:rsidR="008748C1" w14:paraId="5298127E"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7C"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7</w:t>
            </w:r>
          </w:p>
        </w:tc>
        <w:tc>
          <w:tcPr>
            <w:tcW w:w="4990" w:type="dxa"/>
            <w:tcBorders>
              <w:top w:val="nil"/>
              <w:left w:val="nil"/>
              <w:bottom w:val="single" w:sz="4" w:space="0" w:color="auto"/>
              <w:right w:val="single" w:sz="4" w:space="0" w:color="auto"/>
            </w:tcBorders>
            <w:noWrap/>
            <w:vAlign w:val="bottom"/>
          </w:tcPr>
          <w:p w14:paraId="5298127D" w14:textId="77777777" w:rsidR="008748C1" w:rsidRDefault="00000000">
            <w:pPr>
              <w:spacing w:after="0" w:line="240" w:lineRule="auto"/>
              <w:rPr>
                <w:rFonts w:eastAsia="Times New Roman" w:cs="Times New Roman"/>
                <w:lang w:eastAsia="es-PE"/>
              </w:rPr>
            </w:pPr>
            <w:r>
              <w:rPr>
                <w:rFonts w:eastAsia="Times New Roman" w:cs="Times New Roman"/>
                <w:lang w:eastAsia="es-PE"/>
              </w:rPr>
              <w:t>Citibank del Perú</w:t>
            </w:r>
          </w:p>
        </w:tc>
      </w:tr>
      <w:tr w:rsidR="008748C1" w14:paraId="52981281"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7F"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8</w:t>
            </w:r>
          </w:p>
        </w:tc>
        <w:tc>
          <w:tcPr>
            <w:tcW w:w="4990" w:type="dxa"/>
            <w:tcBorders>
              <w:top w:val="nil"/>
              <w:left w:val="nil"/>
              <w:bottom w:val="single" w:sz="4" w:space="0" w:color="auto"/>
              <w:right w:val="single" w:sz="4" w:space="0" w:color="auto"/>
            </w:tcBorders>
            <w:noWrap/>
            <w:vAlign w:val="bottom"/>
          </w:tcPr>
          <w:p w14:paraId="52981280" w14:textId="77777777" w:rsidR="008748C1" w:rsidRDefault="008748C1">
            <w:pPr>
              <w:spacing w:after="0" w:line="240" w:lineRule="auto"/>
              <w:rPr>
                <w:rFonts w:eastAsia="Times New Roman" w:cs="Times New Roman"/>
                <w:lang w:eastAsia="es-PE"/>
              </w:rPr>
            </w:pPr>
          </w:p>
        </w:tc>
      </w:tr>
      <w:tr w:rsidR="008748C1" w14:paraId="52981284"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82"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9</w:t>
            </w:r>
          </w:p>
        </w:tc>
        <w:tc>
          <w:tcPr>
            <w:tcW w:w="4990" w:type="dxa"/>
            <w:tcBorders>
              <w:top w:val="nil"/>
              <w:left w:val="nil"/>
              <w:bottom w:val="single" w:sz="4" w:space="0" w:color="auto"/>
              <w:right w:val="single" w:sz="4" w:space="0" w:color="auto"/>
            </w:tcBorders>
            <w:noWrap/>
            <w:vAlign w:val="bottom"/>
          </w:tcPr>
          <w:p w14:paraId="52981283"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Interamericano de Finanzas</w:t>
            </w:r>
          </w:p>
        </w:tc>
      </w:tr>
      <w:tr w:rsidR="008748C1" w14:paraId="52981288" w14:textId="77777777">
        <w:trPr>
          <w:trHeight w:val="20"/>
        </w:trPr>
        <w:tc>
          <w:tcPr>
            <w:tcW w:w="851" w:type="dxa"/>
            <w:tcBorders>
              <w:top w:val="nil"/>
              <w:left w:val="nil"/>
              <w:bottom w:val="nil"/>
              <w:right w:val="nil"/>
            </w:tcBorders>
            <w:noWrap/>
            <w:vAlign w:val="bottom"/>
          </w:tcPr>
          <w:p w14:paraId="52981285" w14:textId="77777777" w:rsidR="008748C1" w:rsidRDefault="008748C1">
            <w:pPr>
              <w:spacing w:after="0" w:line="240" w:lineRule="auto"/>
              <w:rPr>
                <w:rFonts w:eastAsia="Times New Roman" w:cs="Times New Roman"/>
                <w:lang w:eastAsia="es-PE"/>
              </w:rPr>
            </w:pPr>
          </w:p>
        </w:tc>
        <w:tc>
          <w:tcPr>
            <w:tcW w:w="4990" w:type="dxa"/>
            <w:tcBorders>
              <w:top w:val="nil"/>
              <w:left w:val="nil"/>
              <w:bottom w:val="nil"/>
              <w:right w:val="nil"/>
            </w:tcBorders>
            <w:noWrap/>
            <w:vAlign w:val="bottom"/>
          </w:tcPr>
          <w:p w14:paraId="52981286" w14:textId="77777777" w:rsidR="008748C1" w:rsidRDefault="008748C1">
            <w:pPr>
              <w:spacing w:after="0" w:line="240" w:lineRule="auto"/>
              <w:rPr>
                <w:rFonts w:ascii="Times New Roman" w:eastAsia="Times New Roman" w:hAnsi="Times New Roman" w:cs="Times New Roman"/>
                <w:sz w:val="20"/>
                <w:szCs w:val="20"/>
                <w:lang w:eastAsia="es-PE"/>
              </w:rPr>
            </w:pPr>
          </w:p>
          <w:p w14:paraId="52981287" w14:textId="77777777" w:rsidR="008748C1" w:rsidRDefault="008748C1">
            <w:pPr>
              <w:spacing w:after="0" w:line="240" w:lineRule="auto"/>
              <w:rPr>
                <w:rFonts w:ascii="Times New Roman" w:eastAsia="Times New Roman" w:hAnsi="Times New Roman" w:cs="Times New Roman"/>
                <w:sz w:val="20"/>
                <w:szCs w:val="20"/>
                <w:lang w:eastAsia="es-PE"/>
              </w:rPr>
            </w:pPr>
          </w:p>
        </w:tc>
      </w:tr>
      <w:tr w:rsidR="008748C1" w14:paraId="5298128A" w14:textId="77777777">
        <w:trPr>
          <w:trHeight w:val="20"/>
        </w:trPr>
        <w:tc>
          <w:tcPr>
            <w:tcW w:w="5841" w:type="dxa"/>
            <w:gridSpan w:val="2"/>
            <w:tcBorders>
              <w:top w:val="single" w:sz="4" w:space="0" w:color="auto"/>
              <w:left w:val="single" w:sz="4" w:space="0" w:color="auto"/>
              <w:bottom w:val="single" w:sz="4" w:space="0" w:color="auto"/>
              <w:right w:val="single" w:sz="4" w:space="0" w:color="auto"/>
            </w:tcBorders>
            <w:noWrap/>
            <w:vAlign w:val="bottom"/>
          </w:tcPr>
          <w:p w14:paraId="52981289" w14:textId="77777777" w:rsidR="008748C1" w:rsidRDefault="00000000">
            <w:pPr>
              <w:spacing w:after="0" w:line="240" w:lineRule="auto"/>
              <w:rPr>
                <w:rFonts w:eastAsia="Times New Roman" w:cs="Times New Roman"/>
                <w:lang w:eastAsia="es-PE"/>
              </w:rPr>
            </w:pPr>
            <w:r>
              <w:rPr>
                <w:rFonts w:eastAsia="Times New Roman" w:cs="Times New Roman"/>
                <w:b/>
                <w:bCs/>
                <w:lang w:eastAsia="es-PE"/>
              </w:rPr>
              <w:t xml:space="preserve">Código 2: Grupo </w:t>
            </w:r>
            <w:proofErr w:type="spellStart"/>
            <w:r>
              <w:rPr>
                <w:rFonts w:eastAsia="Times New Roman" w:cs="Times New Roman"/>
                <w:b/>
                <w:bCs/>
                <w:lang w:eastAsia="es-PE"/>
              </w:rPr>
              <w:t>N°</w:t>
            </w:r>
            <w:proofErr w:type="spellEnd"/>
            <w:r>
              <w:rPr>
                <w:rFonts w:eastAsia="Times New Roman" w:cs="Times New Roman"/>
                <w:b/>
                <w:bCs/>
                <w:lang w:eastAsia="es-PE"/>
              </w:rPr>
              <w:t xml:space="preserve"> 2 de Bancos</w:t>
            </w:r>
          </w:p>
        </w:tc>
      </w:tr>
      <w:tr w:rsidR="008748C1" w14:paraId="5298128D"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8B" w14:textId="77777777" w:rsidR="008748C1" w:rsidRDefault="00000000">
            <w:pPr>
              <w:spacing w:after="0" w:line="240" w:lineRule="auto"/>
              <w:rPr>
                <w:rFonts w:eastAsia="Times New Roman" w:cs="Times New Roman"/>
                <w:lang w:eastAsia="es-PE"/>
              </w:rPr>
            </w:pPr>
            <w:r>
              <w:rPr>
                <w:rFonts w:eastAsia="Times New Roman" w:cs="Times New Roman"/>
                <w:lang w:eastAsia="es-PE"/>
              </w:rPr>
              <w:t>Códigos</w:t>
            </w:r>
          </w:p>
        </w:tc>
        <w:tc>
          <w:tcPr>
            <w:tcW w:w="4990" w:type="dxa"/>
            <w:tcBorders>
              <w:top w:val="nil"/>
              <w:left w:val="nil"/>
              <w:bottom w:val="single" w:sz="4" w:space="0" w:color="auto"/>
              <w:right w:val="single" w:sz="4" w:space="0" w:color="auto"/>
            </w:tcBorders>
            <w:noWrap/>
            <w:vAlign w:val="bottom"/>
          </w:tcPr>
          <w:p w14:paraId="5298128C"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Denominación </w:t>
            </w:r>
          </w:p>
        </w:tc>
      </w:tr>
      <w:tr w:rsidR="008748C1" w14:paraId="52981290" w14:textId="77777777">
        <w:trPr>
          <w:trHeight w:val="20"/>
        </w:trPr>
        <w:tc>
          <w:tcPr>
            <w:tcW w:w="851" w:type="dxa"/>
            <w:tcBorders>
              <w:top w:val="nil"/>
              <w:left w:val="single" w:sz="4" w:space="0" w:color="auto"/>
              <w:bottom w:val="single" w:sz="4" w:space="0" w:color="auto"/>
              <w:right w:val="single" w:sz="4" w:space="0" w:color="auto"/>
            </w:tcBorders>
            <w:noWrap/>
          </w:tcPr>
          <w:p w14:paraId="5298128E"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1</w:t>
            </w:r>
          </w:p>
        </w:tc>
        <w:tc>
          <w:tcPr>
            <w:tcW w:w="4990" w:type="dxa"/>
            <w:tcBorders>
              <w:top w:val="nil"/>
              <w:left w:val="nil"/>
              <w:bottom w:val="single" w:sz="4" w:space="0" w:color="auto"/>
              <w:right w:val="single" w:sz="4" w:space="0" w:color="auto"/>
            </w:tcBorders>
            <w:noWrap/>
            <w:vAlign w:val="bottom"/>
          </w:tcPr>
          <w:p w14:paraId="5298128F" w14:textId="77777777" w:rsidR="008748C1" w:rsidRDefault="008748C1">
            <w:pPr>
              <w:spacing w:after="0" w:line="240" w:lineRule="auto"/>
              <w:rPr>
                <w:rFonts w:eastAsia="Times New Roman" w:cs="Times New Roman"/>
                <w:lang w:eastAsia="es-PE"/>
              </w:rPr>
            </w:pPr>
          </w:p>
        </w:tc>
      </w:tr>
      <w:tr w:rsidR="008748C1" w14:paraId="52981293" w14:textId="77777777">
        <w:trPr>
          <w:trHeight w:val="20"/>
        </w:trPr>
        <w:tc>
          <w:tcPr>
            <w:tcW w:w="851" w:type="dxa"/>
            <w:tcBorders>
              <w:top w:val="nil"/>
              <w:left w:val="single" w:sz="4" w:space="0" w:color="auto"/>
              <w:bottom w:val="single" w:sz="4" w:space="0" w:color="auto"/>
              <w:right w:val="single" w:sz="4" w:space="0" w:color="auto"/>
            </w:tcBorders>
            <w:noWrap/>
          </w:tcPr>
          <w:p w14:paraId="52981291"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2</w:t>
            </w:r>
          </w:p>
        </w:tc>
        <w:tc>
          <w:tcPr>
            <w:tcW w:w="4990" w:type="dxa"/>
            <w:tcBorders>
              <w:top w:val="nil"/>
              <w:left w:val="nil"/>
              <w:bottom w:val="single" w:sz="4" w:space="0" w:color="auto"/>
              <w:right w:val="single" w:sz="4" w:space="0" w:color="auto"/>
            </w:tcBorders>
            <w:noWrap/>
            <w:vAlign w:val="bottom"/>
          </w:tcPr>
          <w:p w14:paraId="52981292" w14:textId="77777777" w:rsidR="008748C1" w:rsidRDefault="008748C1">
            <w:pPr>
              <w:spacing w:after="0" w:line="240" w:lineRule="auto"/>
              <w:rPr>
                <w:rFonts w:eastAsia="Times New Roman" w:cs="Times New Roman"/>
                <w:lang w:eastAsia="es-PE"/>
              </w:rPr>
            </w:pPr>
          </w:p>
        </w:tc>
      </w:tr>
      <w:tr w:rsidR="008748C1" w14:paraId="52981296" w14:textId="77777777">
        <w:trPr>
          <w:trHeight w:val="20"/>
        </w:trPr>
        <w:tc>
          <w:tcPr>
            <w:tcW w:w="851" w:type="dxa"/>
            <w:tcBorders>
              <w:top w:val="nil"/>
              <w:left w:val="single" w:sz="4" w:space="0" w:color="auto"/>
              <w:bottom w:val="single" w:sz="4" w:space="0" w:color="auto"/>
              <w:right w:val="single" w:sz="4" w:space="0" w:color="auto"/>
            </w:tcBorders>
            <w:noWrap/>
          </w:tcPr>
          <w:p w14:paraId="52981294"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3</w:t>
            </w:r>
          </w:p>
        </w:tc>
        <w:tc>
          <w:tcPr>
            <w:tcW w:w="4990" w:type="dxa"/>
            <w:tcBorders>
              <w:top w:val="nil"/>
              <w:left w:val="nil"/>
              <w:bottom w:val="single" w:sz="4" w:space="0" w:color="auto"/>
              <w:right w:val="single" w:sz="4" w:space="0" w:color="auto"/>
            </w:tcBorders>
            <w:noWrap/>
            <w:vAlign w:val="bottom"/>
          </w:tcPr>
          <w:p w14:paraId="52981295" w14:textId="77777777" w:rsidR="008748C1" w:rsidRDefault="008748C1">
            <w:pPr>
              <w:spacing w:after="0" w:line="240" w:lineRule="auto"/>
              <w:rPr>
                <w:rFonts w:eastAsia="Times New Roman" w:cs="Times New Roman"/>
                <w:lang w:eastAsia="es-PE"/>
              </w:rPr>
            </w:pPr>
          </w:p>
        </w:tc>
      </w:tr>
      <w:tr w:rsidR="008748C1" w14:paraId="52981299"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97"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4</w:t>
            </w:r>
          </w:p>
        </w:tc>
        <w:tc>
          <w:tcPr>
            <w:tcW w:w="4990" w:type="dxa"/>
            <w:tcBorders>
              <w:top w:val="nil"/>
              <w:left w:val="nil"/>
              <w:bottom w:val="single" w:sz="4" w:space="0" w:color="auto"/>
              <w:right w:val="single" w:sz="4" w:space="0" w:color="auto"/>
            </w:tcBorders>
            <w:noWrap/>
            <w:vAlign w:val="bottom"/>
          </w:tcPr>
          <w:p w14:paraId="52981298" w14:textId="77777777" w:rsidR="008748C1" w:rsidRDefault="00000000">
            <w:pPr>
              <w:spacing w:after="0" w:line="240" w:lineRule="auto"/>
              <w:rPr>
                <w:rFonts w:eastAsia="Times New Roman" w:cs="Times New Roman"/>
                <w:lang w:eastAsia="es-PE"/>
              </w:rPr>
            </w:pPr>
            <w:proofErr w:type="spellStart"/>
            <w:r>
              <w:rPr>
                <w:rFonts w:eastAsia="Times New Roman" w:cs="Times New Roman"/>
                <w:lang w:eastAsia="es-PE"/>
              </w:rPr>
              <w:t>Mibanco</w:t>
            </w:r>
            <w:proofErr w:type="spellEnd"/>
            <w:r>
              <w:rPr>
                <w:rFonts w:eastAsia="Times New Roman" w:cs="Times New Roman"/>
                <w:lang w:eastAsia="es-PE"/>
              </w:rPr>
              <w:t xml:space="preserve"> Banco de la Microempresa- MIBANCO</w:t>
            </w:r>
          </w:p>
        </w:tc>
      </w:tr>
      <w:tr w:rsidR="008748C1" w14:paraId="5298129C"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9A"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5</w:t>
            </w:r>
          </w:p>
        </w:tc>
        <w:tc>
          <w:tcPr>
            <w:tcW w:w="4990" w:type="dxa"/>
            <w:tcBorders>
              <w:top w:val="nil"/>
              <w:left w:val="nil"/>
              <w:bottom w:val="single" w:sz="4" w:space="0" w:color="auto"/>
              <w:right w:val="single" w:sz="4" w:space="0" w:color="auto"/>
            </w:tcBorders>
            <w:noWrap/>
            <w:vAlign w:val="bottom"/>
          </w:tcPr>
          <w:p w14:paraId="5298129B" w14:textId="77777777" w:rsidR="008748C1" w:rsidRDefault="008748C1">
            <w:pPr>
              <w:spacing w:after="0" w:line="240" w:lineRule="auto"/>
              <w:rPr>
                <w:rFonts w:eastAsia="Times New Roman" w:cs="Times New Roman"/>
                <w:lang w:eastAsia="es-PE"/>
              </w:rPr>
            </w:pPr>
          </w:p>
        </w:tc>
      </w:tr>
      <w:tr w:rsidR="008748C1" w14:paraId="5298129F"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9D"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6</w:t>
            </w:r>
          </w:p>
        </w:tc>
        <w:tc>
          <w:tcPr>
            <w:tcW w:w="4990" w:type="dxa"/>
            <w:tcBorders>
              <w:top w:val="nil"/>
              <w:left w:val="nil"/>
              <w:bottom w:val="single" w:sz="4" w:space="0" w:color="auto"/>
              <w:right w:val="single" w:sz="4" w:space="0" w:color="auto"/>
            </w:tcBorders>
            <w:noWrap/>
            <w:vAlign w:val="bottom"/>
          </w:tcPr>
          <w:p w14:paraId="5298129E"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GNB</w:t>
            </w:r>
          </w:p>
        </w:tc>
      </w:tr>
      <w:tr w:rsidR="008748C1" w14:paraId="529812A2"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A0"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7</w:t>
            </w:r>
          </w:p>
        </w:tc>
        <w:tc>
          <w:tcPr>
            <w:tcW w:w="4990" w:type="dxa"/>
            <w:tcBorders>
              <w:top w:val="nil"/>
              <w:left w:val="nil"/>
              <w:bottom w:val="single" w:sz="4" w:space="0" w:color="auto"/>
              <w:right w:val="single" w:sz="4" w:space="0" w:color="auto"/>
            </w:tcBorders>
            <w:noWrap/>
            <w:vAlign w:val="bottom"/>
          </w:tcPr>
          <w:p w14:paraId="529812A1"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Falabella</w:t>
            </w:r>
          </w:p>
        </w:tc>
      </w:tr>
      <w:tr w:rsidR="008748C1" w14:paraId="529812A5"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A3"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8</w:t>
            </w:r>
          </w:p>
        </w:tc>
        <w:tc>
          <w:tcPr>
            <w:tcW w:w="4990" w:type="dxa"/>
            <w:tcBorders>
              <w:top w:val="nil"/>
              <w:left w:val="nil"/>
              <w:bottom w:val="single" w:sz="4" w:space="0" w:color="auto"/>
              <w:right w:val="single" w:sz="4" w:space="0" w:color="auto"/>
            </w:tcBorders>
            <w:noWrap/>
            <w:vAlign w:val="bottom"/>
          </w:tcPr>
          <w:p w14:paraId="529812A4"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Santander Perú</w:t>
            </w:r>
          </w:p>
        </w:tc>
      </w:tr>
      <w:tr w:rsidR="008748C1" w14:paraId="529812A8"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A6"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9</w:t>
            </w:r>
          </w:p>
        </w:tc>
        <w:tc>
          <w:tcPr>
            <w:tcW w:w="4990" w:type="dxa"/>
            <w:tcBorders>
              <w:top w:val="nil"/>
              <w:left w:val="nil"/>
              <w:bottom w:val="single" w:sz="4" w:space="0" w:color="auto"/>
              <w:right w:val="single" w:sz="4" w:space="0" w:color="auto"/>
            </w:tcBorders>
            <w:noWrap/>
            <w:vAlign w:val="bottom"/>
          </w:tcPr>
          <w:p w14:paraId="529812A7"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Ripley</w:t>
            </w:r>
          </w:p>
        </w:tc>
      </w:tr>
      <w:tr w:rsidR="008748C1" w14:paraId="529812AC" w14:textId="77777777">
        <w:trPr>
          <w:trHeight w:val="20"/>
        </w:trPr>
        <w:tc>
          <w:tcPr>
            <w:tcW w:w="851" w:type="dxa"/>
            <w:tcBorders>
              <w:top w:val="nil"/>
              <w:left w:val="nil"/>
              <w:bottom w:val="nil"/>
              <w:right w:val="nil"/>
            </w:tcBorders>
            <w:noWrap/>
            <w:vAlign w:val="bottom"/>
          </w:tcPr>
          <w:p w14:paraId="529812A9" w14:textId="77777777" w:rsidR="008748C1" w:rsidRDefault="008748C1">
            <w:pPr>
              <w:spacing w:after="0" w:line="240" w:lineRule="auto"/>
              <w:rPr>
                <w:rFonts w:eastAsia="Times New Roman" w:cs="Times New Roman"/>
                <w:lang w:eastAsia="es-PE"/>
              </w:rPr>
            </w:pPr>
          </w:p>
        </w:tc>
        <w:tc>
          <w:tcPr>
            <w:tcW w:w="4990" w:type="dxa"/>
            <w:tcBorders>
              <w:top w:val="nil"/>
              <w:left w:val="nil"/>
              <w:bottom w:val="nil"/>
              <w:right w:val="nil"/>
            </w:tcBorders>
            <w:noWrap/>
            <w:vAlign w:val="bottom"/>
          </w:tcPr>
          <w:p w14:paraId="529812AA" w14:textId="77777777" w:rsidR="008748C1" w:rsidRDefault="008748C1">
            <w:pPr>
              <w:spacing w:after="0" w:line="240" w:lineRule="auto"/>
              <w:rPr>
                <w:rFonts w:ascii="Times New Roman" w:eastAsia="Times New Roman" w:hAnsi="Times New Roman" w:cs="Times New Roman"/>
                <w:sz w:val="20"/>
                <w:szCs w:val="20"/>
                <w:lang w:eastAsia="es-PE"/>
              </w:rPr>
            </w:pPr>
          </w:p>
          <w:p w14:paraId="529812AB" w14:textId="77777777" w:rsidR="008748C1" w:rsidRDefault="008748C1">
            <w:pPr>
              <w:spacing w:after="0" w:line="240" w:lineRule="auto"/>
              <w:rPr>
                <w:rFonts w:ascii="Times New Roman" w:eastAsia="Times New Roman" w:hAnsi="Times New Roman" w:cs="Times New Roman"/>
                <w:sz w:val="20"/>
                <w:szCs w:val="20"/>
                <w:lang w:eastAsia="es-PE"/>
              </w:rPr>
            </w:pPr>
          </w:p>
        </w:tc>
      </w:tr>
      <w:tr w:rsidR="008748C1" w14:paraId="529812AE" w14:textId="77777777">
        <w:trPr>
          <w:trHeight w:val="20"/>
        </w:trPr>
        <w:tc>
          <w:tcPr>
            <w:tcW w:w="5841" w:type="dxa"/>
            <w:gridSpan w:val="2"/>
            <w:tcBorders>
              <w:top w:val="single" w:sz="4" w:space="0" w:color="auto"/>
              <w:left w:val="single" w:sz="4" w:space="0" w:color="auto"/>
              <w:bottom w:val="single" w:sz="4" w:space="0" w:color="auto"/>
              <w:right w:val="single" w:sz="4" w:space="0" w:color="auto"/>
            </w:tcBorders>
            <w:noWrap/>
            <w:vAlign w:val="bottom"/>
          </w:tcPr>
          <w:p w14:paraId="529812AD" w14:textId="77777777" w:rsidR="008748C1" w:rsidRDefault="00000000">
            <w:pPr>
              <w:spacing w:after="0" w:line="240" w:lineRule="auto"/>
              <w:rPr>
                <w:rFonts w:eastAsia="Times New Roman" w:cs="Times New Roman"/>
                <w:lang w:eastAsia="es-PE"/>
              </w:rPr>
            </w:pPr>
            <w:r>
              <w:rPr>
                <w:rFonts w:eastAsia="Times New Roman" w:cs="Times New Roman"/>
                <w:b/>
                <w:bCs/>
                <w:lang w:eastAsia="es-PE"/>
              </w:rPr>
              <w:t xml:space="preserve">Código 3: Grupo </w:t>
            </w:r>
            <w:proofErr w:type="spellStart"/>
            <w:r>
              <w:rPr>
                <w:rFonts w:eastAsia="Times New Roman" w:cs="Times New Roman"/>
                <w:b/>
                <w:bCs/>
                <w:lang w:eastAsia="es-PE"/>
              </w:rPr>
              <w:t>N°</w:t>
            </w:r>
            <w:proofErr w:type="spellEnd"/>
            <w:r>
              <w:rPr>
                <w:rFonts w:eastAsia="Times New Roman" w:cs="Times New Roman"/>
                <w:b/>
                <w:bCs/>
                <w:lang w:eastAsia="es-PE"/>
              </w:rPr>
              <w:t xml:space="preserve"> 3 de Bancos</w:t>
            </w:r>
          </w:p>
        </w:tc>
      </w:tr>
      <w:tr w:rsidR="008748C1" w14:paraId="529812B1"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AF" w14:textId="77777777" w:rsidR="008748C1" w:rsidRDefault="00000000">
            <w:pPr>
              <w:spacing w:after="0" w:line="240" w:lineRule="auto"/>
              <w:rPr>
                <w:rFonts w:eastAsia="Times New Roman" w:cs="Times New Roman"/>
                <w:lang w:eastAsia="es-PE"/>
              </w:rPr>
            </w:pPr>
            <w:r>
              <w:rPr>
                <w:rFonts w:eastAsia="Times New Roman" w:cs="Times New Roman"/>
                <w:lang w:eastAsia="es-PE"/>
              </w:rPr>
              <w:t>Códigos</w:t>
            </w:r>
          </w:p>
        </w:tc>
        <w:tc>
          <w:tcPr>
            <w:tcW w:w="4990" w:type="dxa"/>
            <w:tcBorders>
              <w:top w:val="nil"/>
              <w:left w:val="nil"/>
              <w:bottom w:val="single" w:sz="4" w:space="0" w:color="auto"/>
              <w:right w:val="single" w:sz="4" w:space="0" w:color="auto"/>
            </w:tcBorders>
            <w:noWrap/>
            <w:vAlign w:val="bottom"/>
          </w:tcPr>
          <w:p w14:paraId="529812B0"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Denominación </w:t>
            </w:r>
          </w:p>
        </w:tc>
      </w:tr>
      <w:tr w:rsidR="008748C1" w14:paraId="529812B4"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B2"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1</w:t>
            </w:r>
          </w:p>
        </w:tc>
        <w:tc>
          <w:tcPr>
            <w:tcW w:w="4990" w:type="dxa"/>
            <w:tcBorders>
              <w:top w:val="nil"/>
              <w:left w:val="nil"/>
              <w:bottom w:val="single" w:sz="4" w:space="0" w:color="auto"/>
              <w:right w:val="single" w:sz="4" w:space="0" w:color="auto"/>
            </w:tcBorders>
            <w:noWrap/>
            <w:vAlign w:val="bottom"/>
          </w:tcPr>
          <w:p w14:paraId="529812B3" w14:textId="77777777" w:rsidR="008748C1" w:rsidRDefault="00000000">
            <w:pPr>
              <w:spacing w:after="0" w:line="240" w:lineRule="auto"/>
              <w:rPr>
                <w:rFonts w:eastAsia="Times New Roman" w:cs="Times New Roman"/>
                <w:lang w:eastAsia="es-PE"/>
              </w:rPr>
            </w:pPr>
            <w:proofErr w:type="spellStart"/>
            <w:r>
              <w:rPr>
                <w:rFonts w:eastAsia="Times New Roman" w:cs="Times New Roman"/>
                <w:lang w:eastAsia="es-PE"/>
              </w:rPr>
              <w:t>Alfin</w:t>
            </w:r>
            <w:proofErr w:type="spellEnd"/>
            <w:r>
              <w:rPr>
                <w:rFonts w:eastAsia="Times New Roman" w:cs="Times New Roman"/>
                <w:lang w:eastAsia="es-PE"/>
              </w:rPr>
              <w:t xml:space="preserve"> Banco</w:t>
            </w:r>
          </w:p>
        </w:tc>
      </w:tr>
      <w:tr w:rsidR="008748C1" w14:paraId="529812B7"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B5"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2</w:t>
            </w:r>
          </w:p>
        </w:tc>
        <w:tc>
          <w:tcPr>
            <w:tcW w:w="4990" w:type="dxa"/>
            <w:tcBorders>
              <w:top w:val="nil"/>
              <w:left w:val="nil"/>
              <w:bottom w:val="single" w:sz="4" w:space="0" w:color="auto"/>
              <w:right w:val="single" w:sz="4" w:space="0" w:color="auto"/>
            </w:tcBorders>
            <w:noWrap/>
            <w:vAlign w:val="bottom"/>
          </w:tcPr>
          <w:p w14:paraId="529812B6" w14:textId="77777777" w:rsidR="008748C1" w:rsidRDefault="00000000">
            <w:pPr>
              <w:spacing w:after="0" w:line="240" w:lineRule="auto"/>
              <w:rPr>
                <w:rFonts w:eastAsia="Times New Roman" w:cs="Times New Roman"/>
                <w:lang w:eastAsia="es-PE"/>
              </w:rPr>
            </w:pPr>
            <w:r>
              <w:rPr>
                <w:rFonts w:eastAsia="Times New Roman" w:cs="Times New Roman"/>
                <w:lang w:eastAsia="es-PE"/>
              </w:rPr>
              <w:t>ICBC Perú Bank</w:t>
            </w:r>
          </w:p>
        </w:tc>
      </w:tr>
      <w:tr w:rsidR="008748C1" w14:paraId="529812BA"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B8"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3</w:t>
            </w:r>
          </w:p>
        </w:tc>
        <w:tc>
          <w:tcPr>
            <w:tcW w:w="4990" w:type="dxa"/>
            <w:tcBorders>
              <w:top w:val="nil"/>
              <w:left w:val="nil"/>
              <w:bottom w:val="single" w:sz="4" w:space="0" w:color="auto"/>
              <w:right w:val="single" w:sz="4" w:space="0" w:color="auto"/>
            </w:tcBorders>
            <w:noWrap/>
            <w:vAlign w:val="bottom"/>
          </w:tcPr>
          <w:p w14:paraId="529812B9" w14:textId="77777777" w:rsidR="008748C1" w:rsidRDefault="00000000">
            <w:pPr>
              <w:spacing w:after="0" w:line="240" w:lineRule="auto"/>
              <w:rPr>
                <w:rFonts w:eastAsia="Times New Roman" w:cs="Times New Roman"/>
                <w:lang w:val="en-US" w:eastAsia="es-PE"/>
              </w:rPr>
            </w:pPr>
            <w:r>
              <w:rPr>
                <w:rFonts w:eastAsia="Times New Roman" w:cs="Times New Roman"/>
                <w:lang w:val="en-US" w:eastAsia="es-PE"/>
              </w:rPr>
              <w:t xml:space="preserve">Bank of China (Perú) </w:t>
            </w:r>
          </w:p>
        </w:tc>
      </w:tr>
      <w:tr w:rsidR="008748C1" w14:paraId="529812BD"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BB"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4</w:t>
            </w:r>
          </w:p>
        </w:tc>
        <w:tc>
          <w:tcPr>
            <w:tcW w:w="4990" w:type="dxa"/>
            <w:tcBorders>
              <w:top w:val="nil"/>
              <w:left w:val="nil"/>
              <w:bottom w:val="single" w:sz="4" w:space="0" w:color="auto"/>
              <w:right w:val="single" w:sz="4" w:space="0" w:color="auto"/>
            </w:tcBorders>
            <w:noWrap/>
            <w:vAlign w:val="bottom"/>
          </w:tcPr>
          <w:p w14:paraId="529812BC" w14:textId="77777777" w:rsidR="008748C1" w:rsidRDefault="00000000">
            <w:pPr>
              <w:spacing w:after="0" w:line="240" w:lineRule="auto"/>
              <w:rPr>
                <w:rFonts w:eastAsia="Times New Roman" w:cs="Times New Roman"/>
                <w:lang w:eastAsia="es-PE"/>
              </w:rPr>
            </w:pPr>
            <w:r>
              <w:rPr>
                <w:rFonts w:eastAsia="Times New Roman" w:cs="Times New Roman"/>
                <w:lang w:eastAsia="es-PE"/>
              </w:rPr>
              <w:t>Banco BCI Perú</w:t>
            </w:r>
          </w:p>
        </w:tc>
      </w:tr>
      <w:tr w:rsidR="008748C1" w14:paraId="529812C0"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BE"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5</w:t>
            </w:r>
          </w:p>
        </w:tc>
        <w:tc>
          <w:tcPr>
            <w:tcW w:w="4990" w:type="dxa"/>
            <w:tcBorders>
              <w:top w:val="nil"/>
              <w:left w:val="nil"/>
              <w:bottom w:val="single" w:sz="4" w:space="0" w:color="auto"/>
              <w:right w:val="single" w:sz="4" w:space="0" w:color="auto"/>
            </w:tcBorders>
            <w:noWrap/>
            <w:vAlign w:val="bottom"/>
          </w:tcPr>
          <w:p w14:paraId="529812BF" w14:textId="77777777" w:rsidR="008748C1" w:rsidRDefault="00000000">
            <w:pPr>
              <w:spacing w:after="0" w:line="240" w:lineRule="auto"/>
              <w:rPr>
                <w:rFonts w:eastAsia="Times New Roman" w:cs="Times New Roman"/>
                <w:lang w:eastAsia="es-PE"/>
              </w:rPr>
            </w:pPr>
            <w:r>
              <w:rPr>
                <w:rFonts w:eastAsia="Times New Roman" w:cs="Times New Roman"/>
                <w:lang w:eastAsia="es-PE"/>
              </w:rPr>
              <w:t>Compartamos Bancos</w:t>
            </w:r>
          </w:p>
        </w:tc>
      </w:tr>
      <w:tr w:rsidR="008748C1" w14:paraId="529812C3" w14:textId="77777777">
        <w:trPr>
          <w:trHeight w:val="20"/>
        </w:trPr>
        <w:tc>
          <w:tcPr>
            <w:tcW w:w="851" w:type="dxa"/>
            <w:tcBorders>
              <w:top w:val="nil"/>
              <w:left w:val="single" w:sz="4" w:space="0" w:color="auto"/>
              <w:bottom w:val="nil"/>
              <w:right w:val="single" w:sz="4" w:space="0" w:color="auto"/>
            </w:tcBorders>
            <w:noWrap/>
            <w:vAlign w:val="bottom"/>
          </w:tcPr>
          <w:p w14:paraId="529812C1"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6</w:t>
            </w:r>
          </w:p>
        </w:tc>
        <w:tc>
          <w:tcPr>
            <w:tcW w:w="4990" w:type="dxa"/>
            <w:tcBorders>
              <w:top w:val="nil"/>
              <w:left w:val="nil"/>
              <w:bottom w:val="nil"/>
              <w:right w:val="single" w:sz="4" w:space="0" w:color="auto"/>
            </w:tcBorders>
            <w:noWrap/>
            <w:vAlign w:val="bottom"/>
          </w:tcPr>
          <w:p w14:paraId="529812C2" w14:textId="77777777" w:rsidR="008748C1" w:rsidRDefault="00000000">
            <w:pPr>
              <w:spacing w:after="0" w:line="240" w:lineRule="auto"/>
              <w:rPr>
                <w:rFonts w:eastAsia="Times New Roman" w:cs="Times New Roman"/>
                <w:lang w:val="en-US" w:eastAsia="es-PE"/>
              </w:rPr>
            </w:pPr>
            <w:r>
              <w:rPr>
                <w:rFonts w:eastAsia="Times New Roman" w:cs="Times New Roman"/>
                <w:lang w:val="en-US" w:eastAsia="es-PE"/>
              </w:rPr>
              <w:t xml:space="preserve">Santander Consumer Bank </w:t>
            </w:r>
          </w:p>
        </w:tc>
      </w:tr>
      <w:tr w:rsidR="008748C1" w14:paraId="529812C6" w14:textId="77777777">
        <w:trPr>
          <w:trHeight w:val="20"/>
        </w:trPr>
        <w:tc>
          <w:tcPr>
            <w:tcW w:w="851" w:type="dxa"/>
            <w:tcBorders>
              <w:top w:val="nil"/>
              <w:left w:val="single" w:sz="4" w:space="0" w:color="auto"/>
              <w:bottom w:val="single" w:sz="4" w:space="0" w:color="auto"/>
              <w:right w:val="single" w:sz="4" w:space="0" w:color="auto"/>
            </w:tcBorders>
            <w:noWrap/>
            <w:vAlign w:val="bottom"/>
          </w:tcPr>
          <w:p w14:paraId="529812C4" w14:textId="77777777" w:rsidR="008748C1" w:rsidRDefault="00000000">
            <w:pPr>
              <w:spacing w:after="0" w:line="240" w:lineRule="auto"/>
              <w:jc w:val="center"/>
              <w:rPr>
                <w:rFonts w:eastAsia="Times New Roman" w:cs="Times New Roman"/>
                <w:lang w:val="en-US" w:eastAsia="es-PE"/>
              </w:rPr>
            </w:pPr>
            <w:r>
              <w:rPr>
                <w:rFonts w:eastAsia="Times New Roman" w:cs="Times New Roman"/>
                <w:lang w:val="en-US" w:eastAsia="es-PE"/>
              </w:rPr>
              <w:t>7</w:t>
            </w:r>
          </w:p>
        </w:tc>
        <w:tc>
          <w:tcPr>
            <w:tcW w:w="4990" w:type="dxa"/>
            <w:tcBorders>
              <w:top w:val="nil"/>
              <w:left w:val="nil"/>
              <w:bottom w:val="single" w:sz="4" w:space="0" w:color="auto"/>
              <w:right w:val="single" w:sz="4" w:space="0" w:color="auto"/>
            </w:tcBorders>
            <w:noWrap/>
            <w:vAlign w:val="bottom"/>
          </w:tcPr>
          <w:p w14:paraId="529812C5" w14:textId="77777777" w:rsidR="008748C1" w:rsidRDefault="00000000">
            <w:pPr>
              <w:spacing w:after="0" w:line="240" w:lineRule="auto"/>
              <w:rPr>
                <w:rFonts w:eastAsia="Times New Roman" w:cs="Times New Roman"/>
                <w:lang w:val="en-US" w:eastAsia="es-PE"/>
              </w:rPr>
            </w:pPr>
            <w:r>
              <w:rPr>
                <w:rFonts w:eastAsia="Times New Roman" w:cs="Times New Roman"/>
                <w:lang w:val="en-US" w:eastAsia="es-PE"/>
              </w:rPr>
              <w:t xml:space="preserve">Banco de la </w:t>
            </w:r>
            <w:proofErr w:type="spellStart"/>
            <w:r>
              <w:rPr>
                <w:rFonts w:eastAsia="Times New Roman" w:cs="Times New Roman"/>
                <w:lang w:val="en-US" w:eastAsia="es-PE"/>
              </w:rPr>
              <w:t>Nación</w:t>
            </w:r>
            <w:proofErr w:type="spellEnd"/>
            <w:r>
              <w:rPr>
                <w:rFonts w:eastAsia="Times New Roman" w:cs="Times New Roman"/>
                <w:lang w:val="en-US" w:eastAsia="es-PE"/>
              </w:rPr>
              <w:t xml:space="preserve"> </w:t>
            </w:r>
            <w:r>
              <w:rPr>
                <w:rStyle w:val="Refdenotaalpie"/>
                <w:rFonts w:eastAsia="Times New Roman" w:cs="Times New Roman"/>
                <w:lang w:val="en-US" w:eastAsia="es-PE"/>
              </w:rPr>
              <w:footnoteReference w:id="2"/>
            </w:r>
          </w:p>
        </w:tc>
      </w:tr>
    </w:tbl>
    <w:p w14:paraId="529812C7" w14:textId="77777777" w:rsidR="008748C1" w:rsidRDefault="008748C1">
      <w:pPr>
        <w:spacing w:after="0" w:line="240" w:lineRule="auto"/>
        <w:rPr>
          <w:rFonts w:eastAsia="Times New Roman" w:cs="Times New Roman"/>
          <w:szCs w:val="24"/>
          <w:lang w:val="en-US" w:eastAsia="es-ES"/>
        </w:rPr>
      </w:pPr>
    </w:p>
    <w:p w14:paraId="529812C8" w14:textId="77777777" w:rsidR="008748C1" w:rsidRDefault="008748C1">
      <w:pPr>
        <w:spacing w:after="0" w:line="240" w:lineRule="auto"/>
        <w:rPr>
          <w:rFonts w:eastAsia="Times New Roman" w:cs="Times New Roman"/>
          <w:szCs w:val="24"/>
          <w:lang w:val="en-US" w:eastAsia="es-ES"/>
        </w:rPr>
      </w:pPr>
    </w:p>
    <w:p w14:paraId="529812C9" w14:textId="77777777" w:rsidR="008748C1" w:rsidRDefault="00000000">
      <w:pPr>
        <w:spacing w:after="0" w:line="240" w:lineRule="auto"/>
        <w:ind w:left="709"/>
        <w:rPr>
          <w:rFonts w:eastAsia="Times New Roman" w:cs="Times New Roman"/>
          <w:b/>
          <w:bCs/>
          <w:lang w:eastAsia="es-ES"/>
        </w:rPr>
      </w:pPr>
      <w:r>
        <w:rPr>
          <w:rFonts w:eastAsia="Times New Roman" w:cs="Times New Roman"/>
          <w:b/>
          <w:bCs/>
          <w:lang w:eastAsia="es-ES"/>
        </w:rPr>
        <w:t>Código 2: Financieras</w:t>
      </w:r>
    </w:p>
    <w:p w14:paraId="529812CA" w14:textId="77777777" w:rsidR="008748C1" w:rsidRDefault="008748C1">
      <w:pPr>
        <w:spacing w:after="0" w:line="240" w:lineRule="auto"/>
        <w:rPr>
          <w:rFonts w:eastAsia="Times New Roman" w:cs="Times New Roman"/>
          <w:b/>
          <w:bCs/>
          <w:lang w:eastAsia="es-ES"/>
        </w:rPr>
      </w:pPr>
    </w:p>
    <w:tbl>
      <w:tblPr>
        <w:tblW w:w="5576" w:type="dxa"/>
        <w:tblInd w:w="704" w:type="dxa"/>
        <w:tblCellMar>
          <w:left w:w="70" w:type="dxa"/>
          <w:right w:w="70" w:type="dxa"/>
        </w:tblCellMar>
        <w:tblLook w:val="04A0" w:firstRow="1" w:lastRow="0" w:firstColumn="1" w:lastColumn="0" w:noHBand="0" w:noVBand="1"/>
      </w:tblPr>
      <w:tblGrid>
        <w:gridCol w:w="846"/>
        <w:gridCol w:w="4730"/>
      </w:tblGrid>
      <w:tr w:rsidR="008748C1" w14:paraId="529812CC" w14:textId="77777777">
        <w:trPr>
          <w:trHeight w:val="276"/>
        </w:trPr>
        <w:tc>
          <w:tcPr>
            <w:tcW w:w="5576" w:type="dxa"/>
            <w:gridSpan w:val="2"/>
            <w:tcBorders>
              <w:top w:val="single" w:sz="4" w:space="0" w:color="auto"/>
              <w:left w:val="single" w:sz="4" w:space="0" w:color="auto"/>
              <w:bottom w:val="single" w:sz="4" w:space="0" w:color="auto"/>
              <w:right w:val="single" w:sz="4" w:space="0" w:color="auto"/>
            </w:tcBorders>
            <w:noWrap/>
            <w:vAlign w:val="bottom"/>
          </w:tcPr>
          <w:p w14:paraId="529812CB" w14:textId="77777777" w:rsidR="008748C1" w:rsidRDefault="00000000">
            <w:pPr>
              <w:spacing w:after="0" w:line="240" w:lineRule="auto"/>
              <w:rPr>
                <w:rFonts w:eastAsia="Times New Roman" w:cs="Times New Roman"/>
                <w:b/>
                <w:bCs/>
                <w:lang w:eastAsia="es-PE"/>
              </w:rPr>
            </w:pPr>
            <w:r>
              <w:rPr>
                <w:rFonts w:eastAsia="Times New Roman" w:cs="Times New Roman"/>
                <w:b/>
                <w:bCs/>
                <w:lang w:eastAsia="es-PE"/>
              </w:rPr>
              <w:t xml:space="preserve">Código 1: Grupo </w:t>
            </w:r>
            <w:proofErr w:type="spellStart"/>
            <w:r>
              <w:rPr>
                <w:rFonts w:eastAsia="Times New Roman" w:cs="Times New Roman"/>
                <w:b/>
                <w:bCs/>
                <w:lang w:eastAsia="es-PE"/>
              </w:rPr>
              <w:t>N°</w:t>
            </w:r>
            <w:proofErr w:type="spellEnd"/>
            <w:r>
              <w:rPr>
                <w:rFonts w:eastAsia="Times New Roman" w:cs="Times New Roman"/>
                <w:b/>
                <w:bCs/>
                <w:lang w:eastAsia="es-PE"/>
              </w:rPr>
              <w:t xml:space="preserve"> 1 de Financieras</w:t>
            </w:r>
          </w:p>
        </w:tc>
      </w:tr>
      <w:tr w:rsidR="008748C1" w14:paraId="529812CF"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CD" w14:textId="77777777" w:rsidR="008748C1" w:rsidRDefault="00000000">
            <w:pPr>
              <w:spacing w:after="0" w:line="240" w:lineRule="auto"/>
              <w:rPr>
                <w:rFonts w:eastAsia="Times New Roman" w:cs="Times New Roman"/>
                <w:lang w:eastAsia="es-PE"/>
              </w:rPr>
            </w:pPr>
            <w:r>
              <w:rPr>
                <w:rFonts w:eastAsia="Times New Roman" w:cs="Times New Roman"/>
                <w:lang w:eastAsia="es-PE"/>
              </w:rPr>
              <w:lastRenderedPageBreak/>
              <w:t>Códigos</w:t>
            </w:r>
          </w:p>
        </w:tc>
        <w:tc>
          <w:tcPr>
            <w:tcW w:w="4730" w:type="dxa"/>
            <w:tcBorders>
              <w:top w:val="nil"/>
              <w:left w:val="nil"/>
              <w:bottom w:val="single" w:sz="4" w:space="0" w:color="auto"/>
              <w:right w:val="single" w:sz="4" w:space="0" w:color="auto"/>
            </w:tcBorders>
            <w:noWrap/>
            <w:vAlign w:val="bottom"/>
          </w:tcPr>
          <w:p w14:paraId="529812CE"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Denominación </w:t>
            </w:r>
          </w:p>
        </w:tc>
      </w:tr>
      <w:tr w:rsidR="008748C1" w14:paraId="529812D2" w14:textId="77777777">
        <w:trPr>
          <w:trHeight w:val="340"/>
        </w:trPr>
        <w:tc>
          <w:tcPr>
            <w:tcW w:w="846" w:type="dxa"/>
            <w:tcBorders>
              <w:top w:val="nil"/>
              <w:left w:val="single" w:sz="4" w:space="0" w:color="auto"/>
              <w:bottom w:val="single" w:sz="4" w:space="0" w:color="auto"/>
              <w:right w:val="single" w:sz="4" w:space="0" w:color="auto"/>
            </w:tcBorders>
            <w:noWrap/>
            <w:vAlign w:val="bottom"/>
          </w:tcPr>
          <w:p w14:paraId="529812D0"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1</w:t>
            </w:r>
          </w:p>
        </w:tc>
        <w:tc>
          <w:tcPr>
            <w:tcW w:w="4730" w:type="dxa"/>
            <w:tcBorders>
              <w:top w:val="nil"/>
              <w:left w:val="nil"/>
              <w:bottom w:val="single" w:sz="4" w:space="0" w:color="auto"/>
              <w:right w:val="single" w:sz="4" w:space="0" w:color="auto"/>
            </w:tcBorders>
            <w:noWrap/>
            <w:vAlign w:val="bottom"/>
          </w:tcPr>
          <w:p w14:paraId="529812D1" w14:textId="77777777" w:rsidR="008748C1" w:rsidRDefault="008748C1">
            <w:pPr>
              <w:spacing w:after="0" w:line="240" w:lineRule="auto"/>
              <w:rPr>
                <w:rFonts w:eastAsia="Times New Roman" w:cs="Times New Roman"/>
                <w:lang w:eastAsia="es-PE"/>
              </w:rPr>
            </w:pPr>
          </w:p>
        </w:tc>
      </w:tr>
      <w:tr w:rsidR="008748C1" w14:paraId="529812D5"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D3"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2</w:t>
            </w:r>
          </w:p>
        </w:tc>
        <w:tc>
          <w:tcPr>
            <w:tcW w:w="4730" w:type="dxa"/>
            <w:tcBorders>
              <w:top w:val="nil"/>
              <w:left w:val="nil"/>
              <w:bottom w:val="single" w:sz="4" w:space="0" w:color="auto"/>
              <w:right w:val="single" w:sz="4" w:space="0" w:color="auto"/>
            </w:tcBorders>
            <w:noWrap/>
            <w:vAlign w:val="bottom"/>
          </w:tcPr>
          <w:p w14:paraId="529812D4" w14:textId="77777777" w:rsidR="008748C1" w:rsidRDefault="008748C1">
            <w:pPr>
              <w:spacing w:after="0" w:line="240" w:lineRule="auto"/>
              <w:rPr>
                <w:rFonts w:eastAsia="Times New Roman" w:cs="Times New Roman"/>
                <w:lang w:eastAsia="es-PE"/>
              </w:rPr>
            </w:pPr>
          </w:p>
        </w:tc>
      </w:tr>
      <w:tr w:rsidR="008748C1" w14:paraId="529812D8"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D6"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3</w:t>
            </w:r>
          </w:p>
        </w:tc>
        <w:tc>
          <w:tcPr>
            <w:tcW w:w="4730" w:type="dxa"/>
            <w:tcBorders>
              <w:top w:val="nil"/>
              <w:left w:val="nil"/>
              <w:bottom w:val="single" w:sz="4" w:space="0" w:color="auto"/>
              <w:right w:val="single" w:sz="4" w:space="0" w:color="auto"/>
            </w:tcBorders>
            <w:noWrap/>
            <w:vAlign w:val="bottom"/>
          </w:tcPr>
          <w:p w14:paraId="529812D7" w14:textId="77777777" w:rsidR="008748C1" w:rsidRDefault="008748C1">
            <w:pPr>
              <w:spacing w:after="0" w:line="240" w:lineRule="auto"/>
              <w:rPr>
                <w:rFonts w:eastAsia="Times New Roman" w:cs="Times New Roman"/>
                <w:lang w:eastAsia="es-PE"/>
              </w:rPr>
            </w:pPr>
          </w:p>
        </w:tc>
      </w:tr>
      <w:tr w:rsidR="008748C1" w14:paraId="529812DB"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D9"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4</w:t>
            </w:r>
          </w:p>
        </w:tc>
        <w:tc>
          <w:tcPr>
            <w:tcW w:w="4730" w:type="dxa"/>
            <w:tcBorders>
              <w:top w:val="nil"/>
              <w:left w:val="nil"/>
              <w:bottom w:val="single" w:sz="4" w:space="0" w:color="auto"/>
              <w:right w:val="single" w:sz="4" w:space="0" w:color="auto"/>
            </w:tcBorders>
            <w:noWrap/>
            <w:vAlign w:val="bottom"/>
          </w:tcPr>
          <w:p w14:paraId="529812DA" w14:textId="77777777" w:rsidR="008748C1" w:rsidRDefault="008748C1">
            <w:pPr>
              <w:spacing w:after="0" w:line="240" w:lineRule="auto"/>
              <w:rPr>
                <w:rFonts w:eastAsia="Times New Roman" w:cs="Times New Roman"/>
                <w:lang w:eastAsia="es-PE"/>
              </w:rPr>
            </w:pPr>
          </w:p>
        </w:tc>
      </w:tr>
      <w:tr w:rsidR="008748C1" w14:paraId="529812DE"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DC"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5</w:t>
            </w:r>
          </w:p>
        </w:tc>
        <w:tc>
          <w:tcPr>
            <w:tcW w:w="4730" w:type="dxa"/>
            <w:tcBorders>
              <w:top w:val="nil"/>
              <w:left w:val="nil"/>
              <w:bottom w:val="single" w:sz="4" w:space="0" w:color="auto"/>
              <w:right w:val="single" w:sz="4" w:space="0" w:color="auto"/>
            </w:tcBorders>
            <w:noWrap/>
            <w:vAlign w:val="bottom"/>
          </w:tcPr>
          <w:p w14:paraId="529812DD" w14:textId="77777777" w:rsidR="008748C1" w:rsidRDefault="008748C1">
            <w:pPr>
              <w:spacing w:after="0" w:line="240" w:lineRule="auto"/>
              <w:rPr>
                <w:rFonts w:eastAsia="Times New Roman" w:cs="Times New Roman"/>
                <w:lang w:eastAsia="es-PE"/>
              </w:rPr>
            </w:pPr>
          </w:p>
        </w:tc>
      </w:tr>
      <w:tr w:rsidR="008748C1" w14:paraId="529812E1"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DF"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6</w:t>
            </w:r>
          </w:p>
        </w:tc>
        <w:tc>
          <w:tcPr>
            <w:tcW w:w="4730" w:type="dxa"/>
            <w:tcBorders>
              <w:top w:val="nil"/>
              <w:left w:val="nil"/>
              <w:bottom w:val="single" w:sz="4" w:space="0" w:color="auto"/>
              <w:right w:val="single" w:sz="4" w:space="0" w:color="auto"/>
            </w:tcBorders>
            <w:noWrap/>
            <w:vAlign w:val="bottom"/>
          </w:tcPr>
          <w:p w14:paraId="529812E0" w14:textId="77777777" w:rsidR="008748C1" w:rsidRDefault="008748C1">
            <w:pPr>
              <w:spacing w:after="0" w:line="240" w:lineRule="auto"/>
              <w:rPr>
                <w:rFonts w:eastAsia="Times New Roman" w:cs="Times New Roman"/>
                <w:lang w:eastAsia="es-PE"/>
              </w:rPr>
            </w:pPr>
          </w:p>
        </w:tc>
      </w:tr>
      <w:tr w:rsidR="008748C1" w14:paraId="529812E4"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E2"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7</w:t>
            </w:r>
          </w:p>
        </w:tc>
        <w:tc>
          <w:tcPr>
            <w:tcW w:w="4730" w:type="dxa"/>
            <w:tcBorders>
              <w:top w:val="nil"/>
              <w:left w:val="nil"/>
              <w:bottom w:val="single" w:sz="4" w:space="0" w:color="auto"/>
              <w:right w:val="single" w:sz="4" w:space="0" w:color="auto"/>
            </w:tcBorders>
            <w:noWrap/>
            <w:vAlign w:val="bottom"/>
          </w:tcPr>
          <w:p w14:paraId="529812E3" w14:textId="77777777" w:rsidR="008748C1" w:rsidRDefault="00000000">
            <w:pPr>
              <w:spacing w:after="0" w:line="240" w:lineRule="auto"/>
              <w:rPr>
                <w:rFonts w:eastAsia="Times New Roman" w:cs="Times New Roman"/>
                <w:lang w:eastAsia="es-PE"/>
              </w:rPr>
            </w:pPr>
            <w:r>
              <w:rPr>
                <w:rFonts w:eastAsia="Times New Roman" w:cs="Times New Roman"/>
                <w:lang w:eastAsia="es-PE"/>
              </w:rPr>
              <w:t>Financiera Confianza</w:t>
            </w:r>
          </w:p>
        </w:tc>
      </w:tr>
      <w:tr w:rsidR="008748C1" w14:paraId="529812E7"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E5"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8</w:t>
            </w:r>
          </w:p>
        </w:tc>
        <w:tc>
          <w:tcPr>
            <w:tcW w:w="4730" w:type="dxa"/>
            <w:tcBorders>
              <w:top w:val="nil"/>
              <w:left w:val="nil"/>
              <w:bottom w:val="single" w:sz="4" w:space="0" w:color="auto"/>
              <w:right w:val="single" w:sz="4" w:space="0" w:color="auto"/>
            </w:tcBorders>
            <w:noWrap/>
            <w:vAlign w:val="bottom"/>
          </w:tcPr>
          <w:p w14:paraId="529812E6"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Financiera </w:t>
            </w:r>
            <w:proofErr w:type="spellStart"/>
            <w:r>
              <w:rPr>
                <w:rFonts w:eastAsia="Times New Roman" w:cs="Times New Roman"/>
                <w:lang w:eastAsia="es-PE"/>
              </w:rPr>
              <w:t>Qapaq</w:t>
            </w:r>
            <w:proofErr w:type="spellEnd"/>
          </w:p>
        </w:tc>
      </w:tr>
      <w:tr w:rsidR="008748C1" w14:paraId="529812EA"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E8"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9</w:t>
            </w:r>
          </w:p>
        </w:tc>
        <w:tc>
          <w:tcPr>
            <w:tcW w:w="4730" w:type="dxa"/>
            <w:tcBorders>
              <w:top w:val="nil"/>
              <w:left w:val="nil"/>
              <w:bottom w:val="single" w:sz="4" w:space="0" w:color="auto"/>
              <w:right w:val="single" w:sz="4" w:space="0" w:color="auto"/>
            </w:tcBorders>
            <w:noWrap/>
            <w:vAlign w:val="bottom"/>
          </w:tcPr>
          <w:p w14:paraId="529812E9" w14:textId="77777777" w:rsidR="008748C1" w:rsidRDefault="008748C1">
            <w:pPr>
              <w:spacing w:after="0" w:line="240" w:lineRule="auto"/>
              <w:rPr>
                <w:rFonts w:eastAsia="Times New Roman" w:cs="Times New Roman"/>
                <w:lang w:eastAsia="es-PE"/>
              </w:rPr>
            </w:pPr>
          </w:p>
        </w:tc>
      </w:tr>
      <w:tr w:rsidR="008748C1" w14:paraId="529812ED" w14:textId="77777777">
        <w:trPr>
          <w:trHeight w:val="276"/>
        </w:trPr>
        <w:tc>
          <w:tcPr>
            <w:tcW w:w="846" w:type="dxa"/>
            <w:tcBorders>
              <w:top w:val="nil"/>
              <w:left w:val="nil"/>
              <w:bottom w:val="nil"/>
              <w:right w:val="nil"/>
            </w:tcBorders>
            <w:noWrap/>
            <w:vAlign w:val="bottom"/>
          </w:tcPr>
          <w:p w14:paraId="529812EB" w14:textId="77777777" w:rsidR="008748C1" w:rsidRDefault="008748C1">
            <w:pPr>
              <w:spacing w:after="0" w:line="240" w:lineRule="auto"/>
              <w:rPr>
                <w:rFonts w:eastAsia="Times New Roman" w:cs="Times New Roman"/>
                <w:lang w:eastAsia="es-PE"/>
              </w:rPr>
            </w:pPr>
          </w:p>
        </w:tc>
        <w:tc>
          <w:tcPr>
            <w:tcW w:w="4730" w:type="dxa"/>
            <w:tcBorders>
              <w:top w:val="nil"/>
              <w:left w:val="nil"/>
              <w:bottom w:val="nil"/>
              <w:right w:val="nil"/>
            </w:tcBorders>
            <w:noWrap/>
            <w:vAlign w:val="bottom"/>
          </w:tcPr>
          <w:p w14:paraId="529812EC" w14:textId="77777777" w:rsidR="008748C1" w:rsidRDefault="008748C1">
            <w:pPr>
              <w:spacing w:after="0" w:line="240" w:lineRule="auto"/>
              <w:rPr>
                <w:rFonts w:ascii="Times New Roman" w:eastAsia="Times New Roman" w:hAnsi="Times New Roman" w:cs="Times New Roman"/>
                <w:sz w:val="20"/>
                <w:szCs w:val="20"/>
                <w:lang w:eastAsia="es-PE"/>
              </w:rPr>
            </w:pPr>
          </w:p>
        </w:tc>
      </w:tr>
      <w:tr w:rsidR="008748C1" w14:paraId="529812EF" w14:textId="77777777">
        <w:trPr>
          <w:trHeight w:val="276"/>
        </w:trPr>
        <w:tc>
          <w:tcPr>
            <w:tcW w:w="5576" w:type="dxa"/>
            <w:gridSpan w:val="2"/>
            <w:tcBorders>
              <w:top w:val="single" w:sz="4" w:space="0" w:color="auto"/>
              <w:left w:val="single" w:sz="4" w:space="0" w:color="auto"/>
              <w:bottom w:val="single" w:sz="4" w:space="0" w:color="auto"/>
              <w:right w:val="single" w:sz="4" w:space="0" w:color="auto"/>
            </w:tcBorders>
            <w:noWrap/>
            <w:vAlign w:val="bottom"/>
          </w:tcPr>
          <w:p w14:paraId="529812EE" w14:textId="77777777" w:rsidR="008748C1" w:rsidRDefault="00000000">
            <w:pPr>
              <w:spacing w:after="0" w:line="240" w:lineRule="auto"/>
              <w:rPr>
                <w:rFonts w:eastAsia="Times New Roman" w:cs="Times New Roman"/>
                <w:b/>
                <w:bCs/>
                <w:lang w:eastAsia="es-PE"/>
              </w:rPr>
            </w:pPr>
            <w:r>
              <w:rPr>
                <w:rFonts w:eastAsia="Times New Roman" w:cs="Times New Roman"/>
                <w:b/>
                <w:bCs/>
                <w:lang w:eastAsia="es-PE"/>
              </w:rPr>
              <w:t xml:space="preserve">Código 2: Grupo </w:t>
            </w:r>
            <w:proofErr w:type="spellStart"/>
            <w:r>
              <w:rPr>
                <w:rFonts w:eastAsia="Times New Roman" w:cs="Times New Roman"/>
                <w:b/>
                <w:bCs/>
                <w:lang w:eastAsia="es-PE"/>
              </w:rPr>
              <w:t>N°</w:t>
            </w:r>
            <w:proofErr w:type="spellEnd"/>
            <w:r>
              <w:rPr>
                <w:rFonts w:eastAsia="Times New Roman" w:cs="Times New Roman"/>
                <w:b/>
                <w:bCs/>
                <w:lang w:eastAsia="es-PE"/>
              </w:rPr>
              <w:t xml:space="preserve"> 2 de Financieras</w:t>
            </w:r>
          </w:p>
        </w:tc>
      </w:tr>
      <w:tr w:rsidR="008748C1" w14:paraId="529812F2"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F0"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Códigos</w:t>
            </w:r>
          </w:p>
        </w:tc>
        <w:tc>
          <w:tcPr>
            <w:tcW w:w="4730" w:type="dxa"/>
            <w:tcBorders>
              <w:top w:val="nil"/>
              <w:left w:val="nil"/>
              <w:bottom w:val="single" w:sz="4" w:space="0" w:color="auto"/>
              <w:right w:val="single" w:sz="4" w:space="0" w:color="auto"/>
            </w:tcBorders>
            <w:noWrap/>
            <w:vAlign w:val="bottom"/>
          </w:tcPr>
          <w:p w14:paraId="529812F1"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Denominación </w:t>
            </w:r>
          </w:p>
        </w:tc>
      </w:tr>
      <w:tr w:rsidR="008748C1" w14:paraId="529812F5"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F3"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1</w:t>
            </w:r>
          </w:p>
        </w:tc>
        <w:tc>
          <w:tcPr>
            <w:tcW w:w="4730" w:type="dxa"/>
            <w:tcBorders>
              <w:top w:val="nil"/>
              <w:left w:val="nil"/>
              <w:bottom w:val="single" w:sz="4" w:space="0" w:color="auto"/>
              <w:right w:val="single" w:sz="4" w:space="0" w:color="auto"/>
            </w:tcBorders>
            <w:noWrap/>
            <w:vAlign w:val="bottom"/>
          </w:tcPr>
          <w:p w14:paraId="529812F4" w14:textId="77777777" w:rsidR="008748C1" w:rsidRDefault="00000000">
            <w:pPr>
              <w:spacing w:after="0" w:line="240" w:lineRule="auto"/>
              <w:rPr>
                <w:rFonts w:eastAsia="Times New Roman" w:cs="Times New Roman"/>
                <w:lang w:eastAsia="es-PE"/>
              </w:rPr>
            </w:pPr>
            <w:r>
              <w:rPr>
                <w:rFonts w:eastAsia="Times New Roman" w:cs="Times New Roman"/>
                <w:lang w:eastAsia="es-PE"/>
              </w:rPr>
              <w:t>Financiera Efectiva</w:t>
            </w:r>
          </w:p>
        </w:tc>
      </w:tr>
      <w:tr w:rsidR="008748C1" w14:paraId="529812F8"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F6"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2</w:t>
            </w:r>
          </w:p>
        </w:tc>
        <w:tc>
          <w:tcPr>
            <w:tcW w:w="4730" w:type="dxa"/>
            <w:tcBorders>
              <w:top w:val="nil"/>
              <w:left w:val="nil"/>
              <w:bottom w:val="single" w:sz="4" w:space="0" w:color="auto"/>
              <w:right w:val="single" w:sz="4" w:space="0" w:color="auto"/>
            </w:tcBorders>
            <w:noWrap/>
            <w:vAlign w:val="bottom"/>
          </w:tcPr>
          <w:p w14:paraId="529812F7"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Mitsui Auto </w:t>
            </w:r>
            <w:proofErr w:type="spellStart"/>
            <w:r>
              <w:rPr>
                <w:rFonts w:eastAsia="Times New Roman" w:cs="Times New Roman"/>
                <w:lang w:eastAsia="es-PE"/>
              </w:rPr>
              <w:t>Finance</w:t>
            </w:r>
            <w:proofErr w:type="spellEnd"/>
            <w:r>
              <w:rPr>
                <w:rFonts w:eastAsia="Times New Roman" w:cs="Times New Roman"/>
                <w:lang w:eastAsia="es-PE"/>
              </w:rPr>
              <w:t xml:space="preserve"> Perú</w:t>
            </w:r>
          </w:p>
        </w:tc>
      </w:tr>
      <w:tr w:rsidR="008748C1" w14:paraId="529812FB"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F9"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3</w:t>
            </w:r>
          </w:p>
        </w:tc>
        <w:tc>
          <w:tcPr>
            <w:tcW w:w="4730" w:type="dxa"/>
            <w:tcBorders>
              <w:top w:val="nil"/>
              <w:left w:val="nil"/>
              <w:bottom w:val="single" w:sz="4" w:space="0" w:color="auto"/>
              <w:right w:val="single" w:sz="4" w:space="0" w:color="auto"/>
            </w:tcBorders>
            <w:noWrap/>
            <w:vAlign w:val="bottom"/>
          </w:tcPr>
          <w:p w14:paraId="529812FA" w14:textId="77777777" w:rsidR="008748C1" w:rsidRDefault="00000000">
            <w:pPr>
              <w:spacing w:after="0" w:line="240" w:lineRule="auto"/>
              <w:rPr>
                <w:rFonts w:eastAsia="Times New Roman" w:cs="Times New Roman"/>
                <w:lang w:eastAsia="es-PE"/>
              </w:rPr>
            </w:pPr>
            <w:proofErr w:type="spellStart"/>
            <w:r>
              <w:rPr>
                <w:rFonts w:eastAsia="Times New Roman" w:cs="Times New Roman"/>
                <w:lang w:eastAsia="es-PE"/>
              </w:rPr>
              <w:t>Proempresa</w:t>
            </w:r>
            <w:proofErr w:type="spellEnd"/>
          </w:p>
        </w:tc>
      </w:tr>
      <w:tr w:rsidR="008748C1" w14:paraId="529812FE"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FC"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4</w:t>
            </w:r>
          </w:p>
        </w:tc>
        <w:tc>
          <w:tcPr>
            <w:tcW w:w="4730" w:type="dxa"/>
            <w:tcBorders>
              <w:top w:val="nil"/>
              <w:left w:val="nil"/>
              <w:bottom w:val="single" w:sz="4" w:space="0" w:color="auto"/>
              <w:right w:val="single" w:sz="4" w:space="0" w:color="auto"/>
            </w:tcBorders>
            <w:noWrap/>
            <w:vAlign w:val="bottom"/>
          </w:tcPr>
          <w:p w14:paraId="529812FD" w14:textId="4BAB56AC" w:rsidR="008748C1" w:rsidRDefault="00000000">
            <w:pPr>
              <w:spacing w:after="0" w:line="240" w:lineRule="auto"/>
              <w:rPr>
                <w:rFonts w:eastAsia="Times New Roman" w:cs="Times New Roman"/>
                <w:lang w:eastAsia="es-PE"/>
              </w:rPr>
            </w:pPr>
            <w:r>
              <w:rPr>
                <w:rStyle w:val="Refdenotaalpie"/>
                <w:rFonts w:eastAsia="Times New Roman" w:cs="Times New Roman"/>
                <w:lang w:eastAsia="es-PE"/>
              </w:rPr>
              <w:footnoteReference w:id="3"/>
            </w:r>
          </w:p>
        </w:tc>
      </w:tr>
      <w:tr w:rsidR="008748C1" w14:paraId="52981301"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2FF"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5</w:t>
            </w:r>
          </w:p>
        </w:tc>
        <w:tc>
          <w:tcPr>
            <w:tcW w:w="4730" w:type="dxa"/>
            <w:tcBorders>
              <w:top w:val="nil"/>
              <w:left w:val="nil"/>
              <w:bottom w:val="single" w:sz="4" w:space="0" w:color="auto"/>
              <w:right w:val="single" w:sz="4" w:space="0" w:color="auto"/>
            </w:tcBorders>
            <w:noWrap/>
            <w:vAlign w:val="bottom"/>
          </w:tcPr>
          <w:p w14:paraId="52981300"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Santander Financiamientos </w:t>
            </w:r>
          </w:p>
        </w:tc>
      </w:tr>
    </w:tbl>
    <w:p w14:paraId="52981302" w14:textId="77777777" w:rsidR="008748C1" w:rsidRDefault="008748C1">
      <w:pPr>
        <w:spacing w:after="0" w:line="240" w:lineRule="auto"/>
        <w:rPr>
          <w:rFonts w:eastAsia="Times New Roman" w:cs="Times New Roman"/>
          <w:b/>
          <w:bCs/>
          <w:lang w:eastAsia="es-ES"/>
        </w:rPr>
      </w:pPr>
    </w:p>
    <w:p w14:paraId="52981303" w14:textId="77777777" w:rsidR="008748C1" w:rsidRDefault="008748C1">
      <w:pPr>
        <w:spacing w:after="0" w:line="240" w:lineRule="auto"/>
        <w:rPr>
          <w:rFonts w:eastAsia="Times New Roman" w:cs="Times New Roman"/>
          <w:b/>
          <w:bCs/>
          <w:lang w:eastAsia="es-ES"/>
        </w:rPr>
      </w:pPr>
    </w:p>
    <w:p w14:paraId="52981304" w14:textId="77777777" w:rsidR="008748C1" w:rsidRDefault="00000000">
      <w:pPr>
        <w:spacing w:after="0" w:line="240" w:lineRule="auto"/>
        <w:ind w:left="709"/>
        <w:rPr>
          <w:rFonts w:eastAsia="Times New Roman" w:cs="Times New Roman"/>
          <w:b/>
          <w:bCs/>
          <w:lang w:eastAsia="es-ES"/>
        </w:rPr>
      </w:pPr>
      <w:r>
        <w:rPr>
          <w:rFonts w:eastAsia="Times New Roman" w:cs="Times New Roman"/>
          <w:b/>
          <w:bCs/>
          <w:lang w:eastAsia="es-ES"/>
        </w:rPr>
        <w:t>Código 3: Cajas municipales de ahorro y crédito</w:t>
      </w:r>
    </w:p>
    <w:p w14:paraId="52981305" w14:textId="77777777" w:rsidR="008748C1" w:rsidRDefault="008748C1">
      <w:pPr>
        <w:spacing w:after="0" w:line="240" w:lineRule="auto"/>
        <w:rPr>
          <w:rFonts w:eastAsia="Times New Roman" w:cs="Times New Roman"/>
          <w:b/>
          <w:bCs/>
          <w:lang w:eastAsia="es-ES"/>
        </w:rPr>
      </w:pPr>
    </w:p>
    <w:tbl>
      <w:tblPr>
        <w:tblW w:w="5805" w:type="dxa"/>
        <w:tblInd w:w="704" w:type="dxa"/>
        <w:tblCellMar>
          <w:left w:w="70" w:type="dxa"/>
          <w:right w:w="70" w:type="dxa"/>
        </w:tblCellMar>
        <w:tblLook w:val="04A0" w:firstRow="1" w:lastRow="0" w:firstColumn="1" w:lastColumn="0" w:noHBand="0" w:noVBand="1"/>
      </w:tblPr>
      <w:tblGrid>
        <w:gridCol w:w="846"/>
        <w:gridCol w:w="4959"/>
      </w:tblGrid>
      <w:tr w:rsidR="008748C1" w14:paraId="52981307" w14:textId="77777777">
        <w:trPr>
          <w:trHeight w:val="276"/>
        </w:trPr>
        <w:tc>
          <w:tcPr>
            <w:tcW w:w="5805" w:type="dxa"/>
            <w:gridSpan w:val="2"/>
            <w:tcBorders>
              <w:top w:val="single" w:sz="4" w:space="0" w:color="auto"/>
              <w:left w:val="single" w:sz="4" w:space="0" w:color="auto"/>
              <w:bottom w:val="single" w:sz="4" w:space="0" w:color="auto"/>
              <w:right w:val="single" w:sz="4" w:space="0" w:color="auto"/>
            </w:tcBorders>
            <w:noWrap/>
            <w:vAlign w:val="bottom"/>
          </w:tcPr>
          <w:p w14:paraId="52981306" w14:textId="77777777" w:rsidR="008748C1" w:rsidRDefault="00000000">
            <w:pPr>
              <w:spacing w:after="0" w:line="240" w:lineRule="auto"/>
              <w:rPr>
                <w:rFonts w:eastAsia="Times New Roman" w:cs="Times New Roman"/>
                <w:b/>
                <w:bCs/>
                <w:lang w:eastAsia="es-PE"/>
              </w:rPr>
            </w:pPr>
            <w:r>
              <w:rPr>
                <w:rFonts w:eastAsia="Times New Roman" w:cs="Times New Roman"/>
                <w:b/>
                <w:bCs/>
                <w:lang w:eastAsia="es-PE"/>
              </w:rPr>
              <w:t xml:space="preserve">Código 1: Grupo </w:t>
            </w:r>
            <w:proofErr w:type="spellStart"/>
            <w:r>
              <w:rPr>
                <w:rFonts w:eastAsia="Times New Roman" w:cs="Times New Roman"/>
                <w:b/>
                <w:bCs/>
                <w:lang w:eastAsia="es-PE"/>
              </w:rPr>
              <w:t>N°</w:t>
            </w:r>
            <w:proofErr w:type="spellEnd"/>
            <w:r>
              <w:rPr>
                <w:rFonts w:eastAsia="Times New Roman" w:cs="Times New Roman"/>
                <w:b/>
                <w:bCs/>
                <w:lang w:eastAsia="es-PE"/>
              </w:rPr>
              <w:t xml:space="preserve"> 1 de Cajas Municipales de Ahorro y Crédito</w:t>
            </w:r>
          </w:p>
        </w:tc>
      </w:tr>
      <w:tr w:rsidR="008748C1" w14:paraId="5298130A"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08" w14:textId="77777777" w:rsidR="008748C1" w:rsidRDefault="00000000">
            <w:pPr>
              <w:spacing w:after="0" w:line="240" w:lineRule="auto"/>
              <w:rPr>
                <w:rFonts w:eastAsia="Times New Roman" w:cs="Times New Roman"/>
                <w:lang w:eastAsia="es-PE"/>
              </w:rPr>
            </w:pPr>
            <w:r>
              <w:rPr>
                <w:rFonts w:eastAsia="Times New Roman" w:cs="Times New Roman"/>
                <w:lang w:eastAsia="es-PE"/>
              </w:rPr>
              <w:t>Códigos</w:t>
            </w:r>
          </w:p>
        </w:tc>
        <w:tc>
          <w:tcPr>
            <w:tcW w:w="4959" w:type="dxa"/>
            <w:tcBorders>
              <w:top w:val="nil"/>
              <w:left w:val="nil"/>
              <w:bottom w:val="single" w:sz="4" w:space="0" w:color="auto"/>
              <w:right w:val="single" w:sz="4" w:space="0" w:color="auto"/>
            </w:tcBorders>
            <w:noWrap/>
            <w:vAlign w:val="bottom"/>
          </w:tcPr>
          <w:p w14:paraId="52981309"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Denominación </w:t>
            </w:r>
          </w:p>
        </w:tc>
      </w:tr>
      <w:tr w:rsidR="008748C1" w14:paraId="5298130D"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0B"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1</w:t>
            </w:r>
          </w:p>
        </w:tc>
        <w:tc>
          <w:tcPr>
            <w:tcW w:w="4959" w:type="dxa"/>
            <w:tcBorders>
              <w:top w:val="nil"/>
              <w:left w:val="nil"/>
              <w:bottom w:val="single" w:sz="4" w:space="0" w:color="auto"/>
              <w:right w:val="single" w:sz="4" w:space="0" w:color="auto"/>
            </w:tcBorders>
            <w:noWrap/>
            <w:vAlign w:val="bottom"/>
          </w:tcPr>
          <w:p w14:paraId="5298130C" w14:textId="0728DD0E" w:rsidR="008748C1" w:rsidRDefault="00000000">
            <w:pPr>
              <w:spacing w:after="0" w:line="240" w:lineRule="auto"/>
              <w:rPr>
                <w:rFonts w:eastAsia="Times New Roman" w:cs="Times New Roman"/>
                <w:lang w:eastAsia="es-PE"/>
              </w:rPr>
            </w:pPr>
            <w:r>
              <w:rPr>
                <w:rStyle w:val="Refdenotaalpie"/>
                <w:rFonts w:eastAsia="Times New Roman" w:cs="Times New Roman"/>
                <w:lang w:eastAsia="es-PE"/>
              </w:rPr>
              <w:footnoteReference w:id="4"/>
            </w:r>
          </w:p>
        </w:tc>
      </w:tr>
      <w:tr w:rsidR="008748C1" w14:paraId="52981310"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0E"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2</w:t>
            </w:r>
          </w:p>
        </w:tc>
        <w:tc>
          <w:tcPr>
            <w:tcW w:w="4959" w:type="dxa"/>
            <w:tcBorders>
              <w:top w:val="nil"/>
              <w:left w:val="nil"/>
              <w:bottom w:val="single" w:sz="4" w:space="0" w:color="auto"/>
              <w:right w:val="single" w:sz="4" w:space="0" w:color="auto"/>
            </w:tcBorders>
            <w:noWrap/>
            <w:vAlign w:val="bottom"/>
          </w:tcPr>
          <w:p w14:paraId="5298130F"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Crédito Popular de Lima</w:t>
            </w:r>
          </w:p>
        </w:tc>
      </w:tr>
      <w:tr w:rsidR="008748C1" w14:paraId="52981313"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11"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3</w:t>
            </w:r>
          </w:p>
        </w:tc>
        <w:tc>
          <w:tcPr>
            <w:tcW w:w="4959" w:type="dxa"/>
            <w:tcBorders>
              <w:top w:val="nil"/>
              <w:left w:val="nil"/>
              <w:bottom w:val="single" w:sz="4" w:space="0" w:color="auto"/>
              <w:right w:val="single" w:sz="4" w:space="0" w:color="auto"/>
            </w:tcBorders>
            <w:noWrap/>
            <w:vAlign w:val="bottom"/>
          </w:tcPr>
          <w:p w14:paraId="52981312"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 Piura</w:t>
            </w:r>
          </w:p>
        </w:tc>
      </w:tr>
      <w:tr w:rsidR="008748C1" w14:paraId="52981316"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14"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4</w:t>
            </w:r>
          </w:p>
        </w:tc>
        <w:tc>
          <w:tcPr>
            <w:tcW w:w="4959" w:type="dxa"/>
            <w:tcBorders>
              <w:top w:val="nil"/>
              <w:left w:val="nil"/>
              <w:bottom w:val="single" w:sz="4" w:space="0" w:color="auto"/>
              <w:right w:val="single" w:sz="4" w:space="0" w:color="auto"/>
            </w:tcBorders>
            <w:noWrap/>
            <w:vAlign w:val="bottom"/>
          </w:tcPr>
          <w:p w14:paraId="52981315"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 Arequipa</w:t>
            </w:r>
          </w:p>
        </w:tc>
      </w:tr>
      <w:tr w:rsidR="008748C1" w14:paraId="52981319"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17"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5</w:t>
            </w:r>
          </w:p>
        </w:tc>
        <w:tc>
          <w:tcPr>
            <w:tcW w:w="4959" w:type="dxa"/>
            <w:tcBorders>
              <w:top w:val="nil"/>
              <w:left w:val="nil"/>
              <w:bottom w:val="single" w:sz="4" w:space="0" w:color="auto"/>
              <w:right w:val="single" w:sz="4" w:space="0" w:color="auto"/>
            </w:tcBorders>
            <w:noWrap/>
            <w:vAlign w:val="bottom"/>
          </w:tcPr>
          <w:p w14:paraId="52981318"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 Huancayo</w:t>
            </w:r>
          </w:p>
        </w:tc>
      </w:tr>
      <w:tr w:rsidR="008748C1" w14:paraId="5298131C"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1A"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6</w:t>
            </w:r>
          </w:p>
        </w:tc>
        <w:tc>
          <w:tcPr>
            <w:tcW w:w="4959" w:type="dxa"/>
            <w:tcBorders>
              <w:top w:val="nil"/>
              <w:left w:val="nil"/>
              <w:bottom w:val="single" w:sz="4" w:space="0" w:color="auto"/>
              <w:right w:val="single" w:sz="4" w:space="0" w:color="auto"/>
            </w:tcBorders>
            <w:noWrap/>
            <w:vAlign w:val="bottom"/>
          </w:tcPr>
          <w:p w14:paraId="5298131B"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Cusco</w:t>
            </w:r>
          </w:p>
        </w:tc>
      </w:tr>
      <w:tr w:rsidR="008748C1" w14:paraId="5298131F"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1D"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7</w:t>
            </w:r>
          </w:p>
        </w:tc>
        <w:tc>
          <w:tcPr>
            <w:tcW w:w="4959" w:type="dxa"/>
            <w:tcBorders>
              <w:top w:val="nil"/>
              <w:left w:val="nil"/>
              <w:bottom w:val="single" w:sz="4" w:space="0" w:color="auto"/>
              <w:right w:val="single" w:sz="4" w:space="0" w:color="auto"/>
            </w:tcBorders>
            <w:noWrap/>
            <w:vAlign w:val="bottom"/>
          </w:tcPr>
          <w:p w14:paraId="5298131E"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 Maynas</w:t>
            </w:r>
          </w:p>
        </w:tc>
      </w:tr>
      <w:tr w:rsidR="008748C1" w14:paraId="52981322"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20"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8</w:t>
            </w:r>
          </w:p>
        </w:tc>
        <w:tc>
          <w:tcPr>
            <w:tcW w:w="4959" w:type="dxa"/>
            <w:tcBorders>
              <w:top w:val="nil"/>
              <w:left w:val="nil"/>
              <w:bottom w:val="single" w:sz="4" w:space="0" w:color="auto"/>
              <w:right w:val="single" w:sz="4" w:space="0" w:color="auto"/>
            </w:tcBorders>
            <w:noWrap/>
            <w:vAlign w:val="bottom"/>
          </w:tcPr>
          <w:p w14:paraId="52981321"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 Ica</w:t>
            </w:r>
          </w:p>
        </w:tc>
      </w:tr>
      <w:tr w:rsidR="008748C1" w14:paraId="52981325"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23"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9</w:t>
            </w:r>
          </w:p>
        </w:tc>
        <w:tc>
          <w:tcPr>
            <w:tcW w:w="4959" w:type="dxa"/>
            <w:tcBorders>
              <w:top w:val="nil"/>
              <w:left w:val="nil"/>
              <w:bottom w:val="single" w:sz="4" w:space="0" w:color="auto"/>
              <w:right w:val="single" w:sz="4" w:space="0" w:color="auto"/>
            </w:tcBorders>
            <w:noWrap/>
            <w:vAlign w:val="bottom"/>
          </w:tcPr>
          <w:p w14:paraId="52981324"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 Paita</w:t>
            </w:r>
          </w:p>
        </w:tc>
      </w:tr>
      <w:tr w:rsidR="008748C1" w14:paraId="52981328" w14:textId="77777777">
        <w:trPr>
          <w:trHeight w:val="276"/>
        </w:trPr>
        <w:tc>
          <w:tcPr>
            <w:tcW w:w="846" w:type="dxa"/>
            <w:tcBorders>
              <w:top w:val="nil"/>
              <w:left w:val="nil"/>
              <w:bottom w:val="nil"/>
              <w:right w:val="nil"/>
            </w:tcBorders>
            <w:noWrap/>
            <w:vAlign w:val="bottom"/>
          </w:tcPr>
          <w:p w14:paraId="52981326" w14:textId="77777777" w:rsidR="008748C1" w:rsidRDefault="008748C1">
            <w:pPr>
              <w:spacing w:after="0" w:line="240" w:lineRule="auto"/>
              <w:rPr>
                <w:rFonts w:eastAsia="Times New Roman" w:cs="Times New Roman"/>
                <w:lang w:eastAsia="es-PE"/>
              </w:rPr>
            </w:pPr>
          </w:p>
        </w:tc>
        <w:tc>
          <w:tcPr>
            <w:tcW w:w="4959" w:type="dxa"/>
            <w:tcBorders>
              <w:top w:val="nil"/>
              <w:left w:val="nil"/>
              <w:bottom w:val="nil"/>
              <w:right w:val="nil"/>
            </w:tcBorders>
            <w:noWrap/>
            <w:vAlign w:val="bottom"/>
          </w:tcPr>
          <w:p w14:paraId="52981327" w14:textId="77777777" w:rsidR="008748C1" w:rsidRDefault="008748C1">
            <w:pPr>
              <w:spacing w:after="0" w:line="240" w:lineRule="auto"/>
              <w:rPr>
                <w:rFonts w:ascii="Times New Roman" w:eastAsia="Times New Roman" w:hAnsi="Times New Roman" w:cs="Times New Roman"/>
                <w:sz w:val="20"/>
                <w:szCs w:val="20"/>
                <w:lang w:eastAsia="es-PE"/>
              </w:rPr>
            </w:pPr>
          </w:p>
        </w:tc>
      </w:tr>
      <w:tr w:rsidR="008748C1" w14:paraId="5298132A" w14:textId="77777777">
        <w:trPr>
          <w:trHeight w:val="276"/>
        </w:trPr>
        <w:tc>
          <w:tcPr>
            <w:tcW w:w="5805" w:type="dxa"/>
            <w:gridSpan w:val="2"/>
            <w:tcBorders>
              <w:top w:val="single" w:sz="4" w:space="0" w:color="auto"/>
              <w:left w:val="single" w:sz="4" w:space="0" w:color="auto"/>
              <w:bottom w:val="single" w:sz="4" w:space="0" w:color="auto"/>
              <w:right w:val="single" w:sz="4" w:space="0" w:color="auto"/>
            </w:tcBorders>
            <w:noWrap/>
            <w:vAlign w:val="bottom"/>
          </w:tcPr>
          <w:p w14:paraId="52981329" w14:textId="77777777" w:rsidR="008748C1" w:rsidRDefault="00000000">
            <w:pPr>
              <w:spacing w:after="0" w:line="240" w:lineRule="auto"/>
              <w:rPr>
                <w:rFonts w:eastAsia="Times New Roman" w:cs="Times New Roman"/>
                <w:b/>
                <w:bCs/>
                <w:lang w:eastAsia="es-PE"/>
              </w:rPr>
            </w:pPr>
            <w:r>
              <w:rPr>
                <w:rFonts w:eastAsia="Times New Roman" w:cs="Times New Roman"/>
                <w:b/>
                <w:bCs/>
                <w:lang w:eastAsia="es-PE"/>
              </w:rPr>
              <w:t xml:space="preserve">Código 2: Grupo </w:t>
            </w:r>
            <w:proofErr w:type="spellStart"/>
            <w:r>
              <w:rPr>
                <w:rFonts w:eastAsia="Times New Roman" w:cs="Times New Roman"/>
                <w:b/>
                <w:bCs/>
                <w:lang w:eastAsia="es-PE"/>
              </w:rPr>
              <w:t>N°</w:t>
            </w:r>
            <w:proofErr w:type="spellEnd"/>
            <w:r>
              <w:rPr>
                <w:rFonts w:eastAsia="Times New Roman" w:cs="Times New Roman"/>
                <w:b/>
                <w:bCs/>
                <w:lang w:eastAsia="es-PE"/>
              </w:rPr>
              <w:t xml:space="preserve"> 2 de Cajas Municipales de Ahorro y Crédito</w:t>
            </w:r>
          </w:p>
        </w:tc>
      </w:tr>
      <w:tr w:rsidR="008748C1" w14:paraId="5298132D"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2B" w14:textId="77777777" w:rsidR="008748C1" w:rsidRDefault="00000000">
            <w:pPr>
              <w:spacing w:after="0" w:line="240" w:lineRule="auto"/>
              <w:rPr>
                <w:rFonts w:eastAsia="Times New Roman" w:cs="Times New Roman"/>
                <w:lang w:eastAsia="es-PE"/>
              </w:rPr>
            </w:pPr>
            <w:r>
              <w:rPr>
                <w:rFonts w:eastAsia="Times New Roman" w:cs="Times New Roman"/>
                <w:lang w:eastAsia="es-PE"/>
              </w:rPr>
              <w:t>Códigos</w:t>
            </w:r>
          </w:p>
        </w:tc>
        <w:tc>
          <w:tcPr>
            <w:tcW w:w="4959" w:type="dxa"/>
            <w:tcBorders>
              <w:top w:val="nil"/>
              <w:left w:val="nil"/>
              <w:bottom w:val="single" w:sz="4" w:space="0" w:color="auto"/>
              <w:right w:val="single" w:sz="4" w:space="0" w:color="auto"/>
            </w:tcBorders>
            <w:noWrap/>
            <w:vAlign w:val="bottom"/>
          </w:tcPr>
          <w:p w14:paraId="5298132C"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Denominación </w:t>
            </w:r>
          </w:p>
        </w:tc>
      </w:tr>
      <w:tr w:rsidR="008748C1" w14:paraId="52981330"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2E"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1</w:t>
            </w:r>
          </w:p>
        </w:tc>
        <w:tc>
          <w:tcPr>
            <w:tcW w:w="4959" w:type="dxa"/>
            <w:tcBorders>
              <w:top w:val="nil"/>
              <w:left w:val="nil"/>
              <w:bottom w:val="single" w:sz="4" w:space="0" w:color="auto"/>
              <w:right w:val="single" w:sz="4" w:space="0" w:color="auto"/>
            </w:tcBorders>
            <w:noWrap/>
            <w:vAlign w:val="bottom"/>
          </w:tcPr>
          <w:p w14:paraId="5298132F"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del Santa</w:t>
            </w:r>
          </w:p>
        </w:tc>
      </w:tr>
      <w:tr w:rsidR="008748C1" w14:paraId="52981333"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31"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2</w:t>
            </w:r>
          </w:p>
        </w:tc>
        <w:tc>
          <w:tcPr>
            <w:tcW w:w="4959" w:type="dxa"/>
            <w:tcBorders>
              <w:top w:val="nil"/>
              <w:left w:val="nil"/>
              <w:bottom w:val="single" w:sz="4" w:space="0" w:color="auto"/>
              <w:right w:val="single" w:sz="4" w:space="0" w:color="auto"/>
            </w:tcBorders>
            <w:noWrap/>
            <w:vAlign w:val="bottom"/>
          </w:tcPr>
          <w:p w14:paraId="52981332"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 Trujillo</w:t>
            </w:r>
          </w:p>
        </w:tc>
      </w:tr>
      <w:tr w:rsidR="008748C1" w14:paraId="52981336" w14:textId="77777777">
        <w:trPr>
          <w:trHeight w:val="276"/>
        </w:trPr>
        <w:tc>
          <w:tcPr>
            <w:tcW w:w="846" w:type="dxa"/>
            <w:tcBorders>
              <w:top w:val="single" w:sz="4" w:space="0" w:color="auto"/>
              <w:left w:val="single" w:sz="4" w:space="0" w:color="auto"/>
              <w:bottom w:val="single" w:sz="4" w:space="0" w:color="auto"/>
              <w:right w:val="single" w:sz="4" w:space="0" w:color="auto"/>
            </w:tcBorders>
            <w:noWrap/>
            <w:vAlign w:val="bottom"/>
          </w:tcPr>
          <w:p w14:paraId="52981334"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3</w:t>
            </w:r>
          </w:p>
        </w:tc>
        <w:tc>
          <w:tcPr>
            <w:tcW w:w="4959" w:type="dxa"/>
            <w:tcBorders>
              <w:top w:val="single" w:sz="4" w:space="0" w:color="auto"/>
              <w:left w:val="nil"/>
              <w:bottom w:val="single" w:sz="4" w:space="0" w:color="auto"/>
              <w:right w:val="single" w:sz="4" w:space="0" w:color="auto"/>
            </w:tcBorders>
            <w:noWrap/>
            <w:vAlign w:val="bottom"/>
          </w:tcPr>
          <w:p w14:paraId="52981335"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Municipal de Ahorro y Crédito de Tacna</w:t>
            </w:r>
          </w:p>
        </w:tc>
      </w:tr>
      <w:tr w:rsidR="008748C1" w14:paraId="52981339" w14:textId="77777777">
        <w:trPr>
          <w:trHeight w:val="276"/>
        </w:trPr>
        <w:tc>
          <w:tcPr>
            <w:tcW w:w="846" w:type="dxa"/>
            <w:tcBorders>
              <w:top w:val="single" w:sz="4" w:space="0" w:color="auto"/>
              <w:left w:val="single" w:sz="4" w:space="0" w:color="auto"/>
              <w:bottom w:val="single" w:sz="4" w:space="0" w:color="auto"/>
              <w:right w:val="single" w:sz="4" w:space="0" w:color="auto"/>
            </w:tcBorders>
            <w:noWrap/>
            <w:vAlign w:val="bottom"/>
          </w:tcPr>
          <w:p w14:paraId="52981337"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4</w:t>
            </w:r>
          </w:p>
        </w:tc>
        <w:tc>
          <w:tcPr>
            <w:tcW w:w="4959" w:type="dxa"/>
            <w:tcBorders>
              <w:top w:val="single" w:sz="4" w:space="0" w:color="auto"/>
              <w:left w:val="nil"/>
              <w:bottom w:val="single" w:sz="4" w:space="0" w:color="auto"/>
              <w:right w:val="single" w:sz="4" w:space="0" w:color="auto"/>
            </w:tcBorders>
            <w:noWrap/>
            <w:vAlign w:val="bottom"/>
          </w:tcPr>
          <w:p w14:paraId="52981338" w14:textId="77777777" w:rsidR="008748C1" w:rsidRDefault="008748C1">
            <w:pPr>
              <w:spacing w:after="0" w:line="240" w:lineRule="auto"/>
              <w:rPr>
                <w:rFonts w:eastAsia="Times New Roman" w:cs="Times New Roman"/>
                <w:lang w:eastAsia="es-PE"/>
              </w:rPr>
            </w:pPr>
          </w:p>
        </w:tc>
      </w:tr>
      <w:tr w:rsidR="008748C1" w14:paraId="5298133C" w14:textId="77777777">
        <w:trPr>
          <w:trHeight w:val="276"/>
        </w:trPr>
        <w:tc>
          <w:tcPr>
            <w:tcW w:w="846" w:type="dxa"/>
            <w:tcBorders>
              <w:top w:val="nil"/>
              <w:left w:val="single" w:sz="4" w:space="0" w:color="auto"/>
              <w:bottom w:val="single" w:sz="4" w:space="0" w:color="auto"/>
              <w:right w:val="single" w:sz="4" w:space="0" w:color="auto"/>
            </w:tcBorders>
            <w:noWrap/>
            <w:vAlign w:val="bottom"/>
          </w:tcPr>
          <w:p w14:paraId="5298133A"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5</w:t>
            </w:r>
          </w:p>
        </w:tc>
        <w:tc>
          <w:tcPr>
            <w:tcW w:w="4959" w:type="dxa"/>
            <w:tcBorders>
              <w:top w:val="nil"/>
              <w:left w:val="nil"/>
              <w:bottom w:val="single" w:sz="4" w:space="0" w:color="auto"/>
              <w:right w:val="single" w:sz="4" w:space="0" w:color="auto"/>
            </w:tcBorders>
            <w:noWrap/>
            <w:vAlign w:val="bottom"/>
          </w:tcPr>
          <w:p w14:paraId="5298133B" w14:textId="77777777" w:rsidR="008748C1" w:rsidRDefault="008748C1">
            <w:pPr>
              <w:spacing w:after="0" w:line="240" w:lineRule="auto"/>
              <w:rPr>
                <w:rFonts w:eastAsia="Times New Roman" w:cs="Times New Roman"/>
                <w:lang w:eastAsia="es-PE"/>
              </w:rPr>
            </w:pPr>
          </w:p>
        </w:tc>
      </w:tr>
    </w:tbl>
    <w:p w14:paraId="5298133D" w14:textId="77777777" w:rsidR="008748C1" w:rsidRDefault="008748C1">
      <w:pPr>
        <w:spacing w:after="0" w:line="240" w:lineRule="auto"/>
        <w:rPr>
          <w:rFonts w:eastAsia="Times New Roman" w:cs="Times New Roman"/>
          <w:szCs w:val="24"/>
          <w:lang w:eastAsia="es-ES"/>
        </w:rPr>
      </w:pPr>
    </w:p>
    <w:p w14:paraId="5298133E" w14:textId="77777777" w:rsidR="008748C1" w:rsidRDefault="008748C1">
      <w:pPr>
        <w:spacing w:after="0" w:line="240" w:lineRule="auto"/>
        <w:rPr>
          <w:rFonts w:eastAsia="Times New Roman" w:cs="Times New Roman"/>
          <w:szCs w:val="24"/>
          <w:lang w:eastAsia="es-ES"/>
        </w:rPr>
      </w:pPr>
    </w:p>
    <w:p w14:paraId="5298133F" w14:textId="77777777" w:rsidR="008748C1" w:rsidRDefault="00000000">
      <w:pPr>
        <w:spacing w:after="0" w:line="240" w:lineRule="auto"/>
        <w:ind w:left="709"/>
        <w:rPr>
          <w:rFonts w:eastAsia="Times New Roman" w:cs="Times New Roman"/>
          <w:b/>
          <w:bCs/>
          <w:lang w:eastAsia="es-ES"/>
        </w:rPr>
      </w:pPr>
      <w:r>
        <w:rPr>
          <w:rFonts w:eastAsia="Times New Roman" w:cs="Times New Roman"/>
          <w:b/>
          <w:bCs/>
          <w:lang w:eastAsia="es-ES"/>
        </w:rPr>
        <w:t>Código 4: Cajas rurales de ahorro y crédito</w:t>
      </w:r>
    </w:p>
    <w:p w14:paraId="52981340" w14:textId="77777777" w:rsidR="008748C1" w:rsidRDefault="008748C1">
      <w:pPr>
        <w:spacing w:after="0" w:line="240" w:lineRule="auto"/>
        <w:rPr>
          <w:rFonts w:eastAsia="Times New Roman" w:cs="Times New Roman"/>
          <w:b/>
          <w:bCs/>
          <w:lang w:eastAsia="es-ES"/>
        </w:rPr>
      </w:pPr>
    </w:p>
    <w:tbl>
      <w:tblPr>
        <w:tblW w:w="5814" w:type="dxa"/>
        <w:tblInd w:w="704" w:type="dxa"/>
        <w:tblCellMar>
          <w:left w:w="70" w:type="dxa"/>
          <w:right w:w="70" w:type="dxa"/>
        </w:tblCellMar>
        <w:tblLook w:val="04A0" w:firstRow="1" w:lastRow="0" w:firstColumn="1" w:lastColumn="0" w:noHBand="0" w:noVBand="1"/>
      </w:tblPr>
      <w:tblGrid>
        <w:gridCol w:w="802"/>
        <w:gridCol w:w="5015"/>
      </w:tblGrid>
      <w:tr w:rsidR="008748C1" w14:paraId="52981342" w14:textId="77777777">
        <w:trPr>
          <w:trHeight w:val="276"/>
        </w:trPr>
        <w:tc>
          <w:tcPr>
            <w:tcW w:w="5814" w:type="dxa"/>
            <w:gridSpan w:val="2"/>
            <w:tcBorders>
              <w:top w:val="single" w:sz="4" w:space="0" w:color="auto"/>
              <w:left w:val="single" w:sz="4" w:space="0" w:color="auto"/>
              <w:bottom w:val="single" w:sz="4" w:space="0" w:color="auto"/>
              <w:right w:val="single" w:sz="4" w:space="0" w:color="auto"/>
            </w:tcBorders>
            <w:noWrap/>
            <w:vAlign w:val="bottom"/>
          </w:tcPr>
          <w:p w14:paraId="52981341" w14:textId="77777777" w:rsidR="008748C1" w:rsidRDefault="00000000">
            <w:pPr>
              <w:spacing w:after="0" w:line="240" w:lineRule="auto"/>
              <w:rPr>
                <w:rFonts w:eastAsia="Times New Roman" w:cs="Times New Roman"/>
                <w:b/>
                <w:bCs/>
                <w:lang w:eastAsia="es-PE"/>
              </w:rPr>
            </w:pPr>
            <w:r>
              <w:rPr>
                <w:rFonts w:eastAsia="Times New Roman" w:cs="Times New Roman"/>
                <w:b/>
                <w:bCs/>
                <w:lang w:eastAsia="es-PE"/>
              </w:rPr>
              <w:t xml:space="preserve">Código 2: Grupo </w:t>
            </w:r>
            <w:proofErr w:type="spellStart"/>
            <w:r>
              <w:rPr>
                <w:rFonts w:eastAsia="Times New Roman" w:cs="Times New Roman"/>
                <w:b/>
                <w:bCs/>
                <w:lang w:eastAsia="es-PE"/>
              </w:rPr>
              <w:t>N°</w:t>
            </w:r>
            <w:proofErr w:type="spellEnd"/>
            <w:r>
              <w:rPr>
                <w:rFonts w:eastAsia="Times New Roman" w:cs="Times New Roman"/>
                <w:b/>
                <w:bCs/>
                <w:lang w:eastAsia="es-PE"/>
              </w:rPr>
              <w:t xml:space="preserve"> 2 de Cajas Rurales de Ahorro y Crédito</w:t>
            </w:r>
          </w:p>
        </w:tc>
      </w:tr>
      <w:tr w:rsidR="008748C1" w14:paraId="52981345" w14:textId="77777777">
        <w:trPr>
          <w:trHeight w:val="276"/>
        </w:trPr>
        <w:tc>
          <w:tcPr>
            <w:tcW w:w="792" w:type="dxa"/>
            <w:tcBorders>
              <w:top w:val="nil"/>
              <w:left w:val="single" w:sz="4" w:space="0" w:color="auto"/>
              <w:bottom w:val="single" w:sz="4" w:space="0" w:color="auto"/>
              <w:right w:val="single" w:sz="4" w:space="0" w:color="auto"/>
            </w:tcBorders>
            <w:noWrap/>
            <w:vAlign w:val="bottom"/>
          </w:tcPr>
          <w:p w14:paraId="52981343" w14:textId="77777777" w:rsidR="008748C1" w:rsidRDefault="00000000">
            <w:pPr>
              <w:spacing w:after="0" w:line="240" w:lineRule="auto"/>
              <w:rPr>
                <w:rFonts w:eastAsia="Times New Roman" w:cs="Times New Roman"/>
                <w:lang w:eastAsia="es-PE"/>
              </w:rPr>
            </w:pPr>
            <w:r>
              <w:rPr>
                <w:rFonts w:eastAsia="Times New Roman" w:cs="Times New Roman"/>
                <w:lang w:eastAsia="es-PE"/>
              </w:rPr>
              <w:t>Códigos</w:t>
            </w:r>
          </w:p>
        </w:tc>
        <w:tc>
          <w:tcPr>
            <w:tcW w:w="5015" w:type="dxa"/>
            <w:tcBorders>
              <w:top w:val="nil"/>
              <w:left w:val="nil"/>
              <w:bottom w:val="single" w:sz="4" w:space="0" w:color="auto"/>
              <w:right w:val="single" w:sz="4" w:space="0" w:color="auto"/>
            </w:tcBorders>
            <w:noWrap/>
            <w:vAlign w:val="bottom"/>
          </w:tcPr>
          <w:p w14:paraId="52981344"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Denominación </w:t>
            </w:r>
          </w:p>
        </w:tc>
      </w:tr>
      <w:tr w:rsidR="008748C1" w14:paraId="52981348" w14:textId="77777777">
        <w:trPr>
          <w:trHeight w:val="276"/>
        </w:trPr>
        <w:tc>
          <w:tcPr>
            <w:tcW w:w="792" w:type="dxa"/>
            <w:tcBorders>
              <w:top w:val="nil"/>
              <w:left w:val="single" w:sz="4" w:space="0" w:color="auto"/>
              <w:bottom w:val="single" w:sz="4" w:space="0" w:color="auto"/>
              <w:right w:val="single" w:sz="4" w:space="0" w:color="auto"/>
            </w:tcBorders>
            <w:noWrap/>
            <w:vAlign w:val="bottom"/>
          </w:tcPr>
          <w:p w14:paraId="52981346"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1</w:t>
            </w:r>
          </w:p>
        </w:tc>
        <w:tc>
          <w:tcPr>
            <w:tcW w:w="5015" w:type="dxa"/>
            <w:tcBorders>
              <w:top w:val="nil"/>
              <w:left w:val="nil"/>
              <w:bottom w:val="single" w:sz="4" w:space="0" w:color="auto"/>
              <w:right w:val="single" w:sz="4" w:space="0" w:color="auto"/>
            </w:tcBorders>
            <w:noWrap/>
            <w:vAlign w:val="bottom"/>
          </w:tcPr>
          <w:p w14:paraId="52981347" w14:textId="77777777" w:rsidR="008748C1" w:rsidRDefault="008748C1">
            <w:pPr>
              <w:spacing w:after="0" w:line="240" w:lineRule="auto"/>
              <w:rPr>
                <w:rFonts w:eastAsia="Times New Roman" w:cs="Times New Roman"/>
                <w:lang w:eastAsia="es-PE"/>
              </w:rPr>
            </w:pPr>
          </w:p>
        </w:tc>
      </w:tr>
      <w:tr w:rsidR="008748C1" w14:paraId="5298134B" w14:textId="77777777">
        <w:trPr>
          <w:trHeight w:val="276"/>
        </w:trPr>
        <w:tc>
          <w:tcPr>
            <w:tcW w:w="792" w:type="dxa"/>
            <w:tcBorders>
              <w:top w:val="nil"/>
              <w:left w:val="single" w:sz="4" w:space="0" w:color="auto"/>
              <w:bottom w:val="single" w:sz="4" w:space="0" w:color="auto"/>
              <w:right w:val="single" w:sz="4" w:space="0" w:color="auto"/>
            </w:tcBorders>
            <w:noWrap/>
            <w:vAlign w:val="bottom"/>
          </w:tcPr>
          <w:p w14:paraId="52981349"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2</w:t>
            </w:r>
          </w:p>
        </w:tc>
        <w:tc>
          <w:tcPr>
            <w:tcW w:w="5015" w:type="dxa"/>
            <w:tcBorders>
              <w:top w:val="nil"/>
              <w:left w:val="nil"/>
              <w:bottom w:val="single" w:sz="4" w:space="0" w:color="auto"/>
              <w:right w:val="single" w:sz="4" w:space="0" w:color="auto"/>
            </w:tcBorders>
            <w:noWrap/>
            <w:vAlign w:val="bottom"/>
          </w:tcPr>
          <w:p w14:paraId="5298134A"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Caja Rural de Ahorro y Crédito PRYMERA </w:t>
            </w:r>
          </w:p>
        </w:tc>
      </w:tr>
      <w:tr w:rsidR="008748C1" w14:paraId="5298134E" w14:textId="77777777">
        <w:trPr>
          <w:trHeight w:val="276"/>
        </w:trPr>
        <w:tc>
          <w:tcPr>
            <w:tcW w:w="792" w:type="dxa"/>
            <w:tcBorders>
              <w:top w:val="nil"/>
              <w:left w:val="single" w:sz="4" w:space="0" w:color="auto"/>
              <w:bottom w:val="single" w:sz="4" w:space="0" w:color="auto"/>
              <w:right w:val="single" w:sz="4" w:space="0" w:color="auto"/>
            </w:tcBorders>
            <w:noWrap/>
            <w:vAlign w:val="bottom"/>
          </w:tcPr>
          <w:p w14:paraId="5298134C"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3</w:t>
            </w:r>
          </w:p>
        </w:tc>
        <w:tc>
          <w:tcPr>
            <w:tcW w:w="5015" w:type="dxa"/>
            <w:tcBorders>
              <w:top w:val="nil"/>
              <w:left w:val="nil"/>
              <w:bottom w:val="single" w:sz="4" w:space="0" w:color="auto"/>
              <w:right w:val="single" w:sz="4" w:space="0" w:color="auto"/>
            </w:tcBorders>
            <w:noWrap/>
            <w:vAlign w:val="bottom"/>
          </w:tcPr>
          <w:p w14:paraId="5298134D"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Rural de Ahorro y Crédito Los Andes</w:t>
            </w:r>
          </w:p>
        </w:tc>
      </w:tr>
      <w:tr w:rsidR="008748C1" w14:paraId="52981351" w14:textId="77777777">
        <w:trPr>
          <w:trHeight w:val="276"/>
        </w:trPr>
        <w:tc>
          <w:tcPr>
            <w:tcW w:w="792" w:type="dxa"/>
            <w:tcBorders>
              <w:top w:val="nil"/>
              <w:left w:val="single" w:sz="4" w:space="0" w:color="auto"/>
              <w:bottom w:val="single" w:sz="4" w:space="0" w:color="auto"/>
              <w:right w:val="single" w:sz="4" w:space="0" w:color="auto"/>
            </w:tcBorders>
            <w:noWrap/>
            <w:vAlign w:val="bottom"/>
          </w:tcPr>
          <w:p w14:paraId="5298134F"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4</w:t>
            </w:r>
          </w:p>
        </w:tc>
        <w:tc>
          <w:tcPr>
            <w:tcW w:w="5015" w:type="dxa"/>
            <w:tcBorders>
              <w:top w:val="nil"/>
              <w:left w:val="nil"/>
              <w:bottom w:val="single" w:sz="4" w:space="0" w:color="auto"/>
              <w:right w:val="single" w:sz="4" w:space="0" w:color="auto"/>
            </w:tcBorders>
            <w:noWrap/>
            <w:vAlign w:val="bottom"/>
          </w:tcPr>
          <w:p w14:paraId="52981350"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Rural de Ahorro y Crédito INCASUR</w:t>
            </w:r>
          </w:p>
        </w:tc>
      </w:tr>
      <w:tr w:rsidR="008748C1" w14:paraId="52981354" w14:textId="77777777">
        <w:trPr>
          <w:trHeight w:val="276"/>
        </w:trPr>
        <w:tc>
          <w:tcPr>
            <w:tcW w:w="792" w:type="dxa"/>
            <w:tcBorders>
              <w:top w:val="nil"/>
              <w:left w:val="single" w:sz="4" w:space="0" w:color="auto"/>
              <w:bottom w:val="single" w:sz="4" w:space="0" w:color="auto"/>
              <w:right w:val="single" w:sz="4" w:space="0" w:color="auto"/>
            </w:tcBorders>
            <w:noWrap/>
            <w:vAlign w:val="bottom"/>
          </w:tcPr>
          <w:p w14:paraId="52981352"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5</w:t>
            </w:r>
          </w:p>
        </w:tc>
        <w:tc>
          <w:tcPr>
            <w:tcW w:w="5015" w:type="dxa"/>
            <w:tcBorders>
              <w:top w:val="nil"/>
              <w:left w:val="nil"/>
              <w:bottom w:val="single" w:sz="4" w:space="0" w:color="auto"/>
              <w:right w:val="single" w:sz="4" w:space="0" w:color="auto"/>
            </w:tcBorders>
            <w:noWrap/>
            <w:vAlign w:val="bottom"/>
          </w:tcPr>
          <w:p w14:paraId="52981353" w14:textId="77777777" w:rsidR="008748C1" w:rsidRDefault="00000000">
            <w:pPr>
              <w:spacing w:after="0" w:line="240" w:lineRule="auto"/>
              <w:rPr>
                <w:rFonts w:eastAsia="Times New Roman" w:cs="Times New Roman"/>
                <w:lang w:eastAsia="es-PE"/>
              </w:rPr>
            </w:pPr>
            <w:r>
              <w:rPr>
                <w:rFonts w:eastAsia="Times New Roman" w:cs="Times New Roman"/>
                <w:lang w:eastAsia="es-PE"/>
              </w:rPr>
              <w:t>Caja Rural de Ahorro y Crédito del CENTRO</w:t>
            </w:r>
          </w:p>
        </w:tc>
      </w:tr>
      <w:tr w:rsidR="008748C1" w14:paraId="52981357" w14:textId="77777777">
        <w:trPr>
          <w:trHeight w:val="276"/>
        </w:trPr>
        <w:tc>
          <w:tcPr>
            <w:tcW w:w="792" w:type="dxa"/>
            <w:tcBorders>
              <w:top w:val="nil"/>
              <w:left w:val="single" w:sz="4" w:space="0" w:color="auto"/>
              <w:bottom w:val="single" w:sz="4" w:space="0" w:color="auto"/>
              <w:right w:val="single" w:sz="4" w:space="0" w:color="auto"/>
            </w:tcBorders>
            <w:noWrap/>
            <w:vAlign w:val="bottom"/>
          </w:tcPr>
          <w:p w14:paraId="52981355"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6</w:t>
            </w:r>
          </w:p>
        </w:tc>
        <w:tc>
          <w:tcPr>
            <w:tcW w:w="5015" w:type="dxa"/>
            <w:tcBorders>
              <w:top w:val="nil"/>
              <w:left w:val="nil"/>
              <w:bottom w:val="single" w:sz="4" w:space="0" w:color="auto"/>
              <w:right w:val="single" w:sz="4" w:space="0" w:color="auto"/>
            </w:tcBorders>
            <w:noWrap/>
            <w:vAlign w:val="bottom"/>
          </w:tcPr>
          <w:p w14:paraId="52981356" w14:textId="77777777" w:rsidR="008748C1" w:rsidRDefault="00000000">
            <w:pPr>
              <w:spacing w:after="0" w:line="240" w:lineRule="auto"/>
              <w:rPr>
                <w:rFonts w:eastAsia="Times New Roman" w:cs="Times New Roman"/>
                <w:lang w:eastAsia="es-PE"/>
              </w:rPr>
            </w:pPr>
            <w:r>
              <w:rPr>
                <w:rFonts w:eastAsia="Times New Roman" w:cs="Times New Roman"/>
                <w:lang w:eastAsia="es-PE"/>
              </w:rPr>
              <w:t xml:space="preserve">Caja Rural de Ahorro y Crédito Cencosud </w:t>
            </w:r>
            <w:proofErr w:type="spellStart"/>
            <w:r>
              <w:rPr>
                <w:rFonts w:eastAsia="Times New Roman" w:cs="Times New Roman"/>
                <w:lang w:eastAsia="es-PE"/>
              </w:rPr>
              <w:t>Scotia</w:t>
            </w:r>
            <w:proofErr w:type="spellEnd"/>
            <w:r>
              <w:rPr>
                <w:rFonts w:eastAsia="Times New Roman" w:cs="Times New Roman"/>
                <w:lang w:eastAsia="es-PE"/>
              </w:rPr>
              <w:t xml:space="preserve"> Perú</w:t>
            </w:r>
          </w:p>
        </w:tc>
      </w:tr>
      <w:tr w:rsidR="008748C1" w14:paraId="5298135A" w14:textId="77777777">
        <w:trPr>
          <w:trHeight w:val="276"/>
        </w:trPr>
        <w:tc>
          <w:tcPr>
            <w:tcW w:w="792" w:type="dxa"/>
            <w:tcBorders>
              <w:top w:val="nil"/>
              <w:left w:val="single" w:sz="4" w:space="0" w:color="auto"/>
              <w:bottom w:val="single" w:sz="4" w:space="0" w:color="auto"/>
              <w:right w:val="single" w:sz="4" w:space="0" w:color="auto"/>
            </w:tcBorders>
            <w:noWrap/>
            <w:vAlign w:val="bottom"/>
          </w:tcPr>
          <w:p w14:paraId="52981358" w14:textId="77777777" w:rsidR="008748C1" w:rsidRDefault="00000000">
            <w:pPr>
              <w:spacing w:after="0" w:line="240" w:lineRule="auto"/>
              <w:jc w:val="center"/>
              <w:rPr>
                <w:rFonts w:eastAsia="Times New Roman" w:cs="Times New Roman"/>
                <w:lang w:eastAsia="es-PE"/>
              </w:rPr>
            </w:pPr>
            <w:r>
              <w:rPr>
                <w:rFonts w:eastAsia="Times New Roman" w:cs="Times New Roman"/>
                <w:lang w:eastAsia="es-PE"/>
              </w:rPr>
              <w:t>9</w:t>
            </w:r>
          </w:p>
        </w:tc>
        <w:tc>
          <w:tcPr>
            <w:tcW w:w="5015" w:type="dxa"/>
            <w:tcBorders>
              <w:top w:val="nil"/>
              <w:left w:val="nil"/>
              <w:bottom w:val="single" w:sz="4" w:space="0" w:color="auto"/>
              <w:right w:val="single" w:sz="4" w:space="0" w:color="auto"/>
            </w:tcBorders>
            <w:noWrap/>
            <w:vAlign w:val="bottom"/>
          </w:tcPr>
          <w:p w14:paraId="52981359" w14:textId="77777777" w:rsidR="008748C1" w:rsidRDefault="00000000">
            <w:pPr>
              <w:spacing w:after="0" w:line="240" w:lineRule="auto"/>
              <w:rPr>
                <w:rFonts w:eastAsia="Times New Roman" w:cs="Times New Roman"/>
                <w:lang w:eastAsia="es-PE"/>
              </w:rPr>
            </w:pPr>
            <w:r>
              <w:rPr>
                <w:rFonts w:eastAsia="Times New Roman" w:cs="Times New Roman"/>
                <w:lang w:eastAsia="es-PE"/>
              </w:rPr>
              <w:t>Instituciones Financieras del Exterior</w:t>
            </w:r>
          </w:p>
        </w:tc>
      </w:tr>
    </w:tbl>
    <w:p w14:paraId="5298135B" w14:textId="77777777" w:rsidR="008748C1" w:rsidRDefault="008748C1"/>
    <w:sectPr w:rsidR="008748C1">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DC512" w14:textId="77777777" w:rsidR="002D4CF9" w:rsidRDefault="002D4CF9">
      <w:pPr>
        <w:spacing w:line="240" w:lineRule="auto"/>
      </w:pPr>
      <w:r>
        <w:separator/>
      </w:r>
    </w:p>
  </w:endnote>
  <w:endnote w:type="continuationSeparator" w:id="0">
    <w:p w14:paraId="3DF112A3" w14:textId="77777777" w:rsidR="002D4CF9" w:rsidRDefault="002D4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tzerland">
    <w:altName w:val="Courier New"/>
    <w:charset w:val="00"/>
    <w:family w:val="swiss"/>
    <w:pitch w:val="default"/>
    <w:sig w:usb0="00000000" w:usb1="00000000" w:usb2="00000000" w:usb3="00000000" w:csb0="00000001" w:csb1="00000000"/>
  </w:font>
  <w:font w:name="Ottawa">
    <w:altName w:val="Courier New"/>
    <w:charset w:val="00"/>
    <w:family w:val="swiss"/>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TimesNewRomanPSMT">
    <w:altName w:val="Times New Roman"/>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LTStd-Regular">
    <w:altName w:val="Cambria"/>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722521"/>
      <w:docPartObj>
        <w:docPartGallery w:val="AutoText"/>
      </w:docPartObj>
    </w:sdtPr>
    <w:sdtEndPr>
      <w:rPr>
        <w:rFonts w:ascii="Arial Narrow" w:hAnsi="Arial Narrow"/>
        <w:sz w:val="20"/>
        <w:szCs w:val="20"/>
      </w:rPr>
    </w:sdtEndPr>
    <w:sdtContent>
      <w:p w14:paraId="52981366" w14:textId="77777777" w:rsidR="008748C1" w:rsidRDefault="00000000">
        <w:pPr>
          <w:pStyle w:val="Piedepgina"/>
          <w:pBdr>
            <w:top w:val="single" w:sz="4" w:space="1" w:color="auto"/>
          </w:pBdr>
          <w:tabs>
            <w:tab w:val="clear" w:pos="9360"/>
          </w:tabs>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PAGE   \* MERGEFORMAT</w:instrText>
        </w:r>
        <w:r>
          <w:rPr>
            <w:rFonts w:ascii="Arial Narrow" w:hAnsi="Arial Narrow"/>
            <w:sz w:val="20"/>
            <w:szCs w:val="20"/>
          </w:rPr>
          <w:fldChar w:fldCharType="separate"/>
        </w:r>
        <w:r>
          <w:rPr>
            <w:rFonts w:ascii="Arial Narrow" w:hAnsi="Arial Narrow"/>
            <w:sz w:val="20"/>
            <w:szCs w:val="20"/>
            <w:lang w:val="es-ES"/>
          </w:rPr>
          <w:t>2</w:t>
        </w:r>
        <w:r>
          <w:rPr>
            <w:rFonts w:ascii="Arial Narrow" w:hAnsi="Arial Narrow"/>
            <w:sz w:val="20"/>
            <w:szCs w:val="20"/>
          </w:rPr>
          <w:fldChar w:fldCharType="end"/>
        </w:r>
      </w:p>
    </w:sdtContent>
  </w:sdt>
  <w:p w14:paraId="52981367" w14:textId="77777777" w:rsidR="008748C1" w:rsidRDefault="008748C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61F0" w14:textId="77777777" w:rsidR="002D4CF9" w:rsidRDefault="002D4CF9">
      <w:pPr>
        <w:spacing w:after="0"/>
      </w:pPr>
      <w:r>
        <w:separator/>
      </w:r>
    </w:p>
  </w:footnote>
  <w:footnote w:type="continuationSeparator" w:id="0">
    <w:p w14:paraId="0D3DD731" w14:textId="77777777" w:rsidR="002D4CF9" w:rsidRDefault="002D4CF9">
      <w:pPr>
        <w:spacing w:after="0"/>
      </w:pPr>
      <w:r>
        <w:continuationSeparator/>
      </w:r>
    </w:p>
  </w:footnote>
  <w:footnote w:id="1">
    <w:p w14:paraId="5298136C" w14:textId="77777777" w:rsidR="008748C1" w:rsidRDefault="00000000">
      <w:pPr>
        <w:pStyle w:val="Textonotapie"/>
        <w:jc w:val="both"/>
        <w:rPr>
          <w:rFonts w:ascii="Arial Narrow" w:hAnsi="Arial Narrow"/>
          <w:lang w:val="es-ES"/>
        </w:rPr>
      </w:pPr>
      <w:r>
        <w:rPr>
          <w:rStyle w:val="Refdenotaalpie"/>
          <w:rFonts w:ascii="Arial Narrow" w:hAnsi="Arial Narrow"/>
          <w:sz w:val="16"/>
          <w:szCs w:val="16"/>
        </w:rPr>
        <w:footnoteRef/>
      </w:r>
      <w:r>
        <w:rPr>
          <w:rFonts w:ascii="Arial Narrow" w:hAnsi="Arial Narrow"/>
          <w:sz w:val="16"/>
          <w:szCs w:val="16"/>
        </w:rPr>
        <w:t xml:space="preserve"> Capítulo I sustituido mediante Resolución SBS N° 2148-2025, publicada el 20/06/2025 vigente a partir de la información correspondiente a enero de 2026.</w:t>
      </w:r>
    </w:p>
  </w:footnote>
  <w:footnote w:id="2">
    <w:p w14:paraId="5298136D" w14:textId="77777777" w:rsidR="008748C1" w:rsidRPr="00811C93" w:rsidRDefault="00000000">
      <w:pPr>
        <w:pStyle w:val="Textonotapie"/>
        <w:snapToGrid w:val="0"/>
        <w:rPr>
          <w:rFonts w:ascii="Arial Narrow" w:hAnsi="Arial Narrow" w:cs="Arial Narrow"/>
          <w:sz w:val="16"/>
          <w:szCs w:val="16"/>
        </w:rPr>
      </w:pPr>
      <w:r w:rsidRPr="00811C93">
        <w:rPr>
          <w:rStyle w:val="Refdenotaalpie"/>
          <w:rFonts w:ascii="Arial Narrow" w:hAnsi="Arial Narrow" w:cs="Arial Narrow"/>
          <w:sz w:val="16"/>
          <w:szCs w:val="16"/>
        </w:rPr>
        <w:footnoteRef/>
      </w:r>
      <w:r w:rsidRPr="00811C93">
        <w:rPr>
          <w:rFonts w:ascii="Arial Narrow" w:hAnsi="Arial Narrow" w:cs="Arial Narrow"/>
          <w:sz w:val="16"/>
          <w:szCs w:val="16"/>
        </w:rPr>
        <w:t xml:space="preserve"> Código incorporado por Oficio Múltiple 43923-2025-SBS del 20.08.2025.</w:t>
      </w:r>
    </w:p>
  </w:footnote>
  <w:footnote w:id="3">
    <w:p w14:paraId="5298136E" w14:textId="77777777" w:rsidR="008748C1" w:rsidRPr="00811C93" w:rsidRDefault="00000000">
      <w:pPr>
        <w:pStyle w:val="Textonotapie"/>
        <w:snapToGrid w:val="0"/>
        <w:rPr>
          <w:rFonts w:ascii="Arial Narrow" w:hAnsi="Arial Narrow" w:cs="Arial Narrow"/>
          <w:sz w:val="16"/>
          <w:szCs w:val="16"/>
        </w:rPr>
      </w:pPr>
      <w:r w:rsidRPr="00811C93">
        <w:rPr>
          <w:rStyle w:val="Refdenotaalpie"/>
          <w:rFonts w:ascii="Arial Narrow" w:hAnsi="Arial Narrow" w:cs="Arial Narrow"/>
          <w:sz w:val="16"/>
          <w:szCs w:val="16"/>
        </w:rPr>
        <w:footnoteRef/>
      </w:r>
      <w:r w:rsidRPr="00811C93">
        <w:rPr>
          <w:rFonts w:ascii="Arial Narrow" w:hAnsi="Arial Narrow" w:cs="Arial Narrow"/>
          <w:sz w:val="16"/>
          <w:szCs w:val="16"/>
        </w:rPr>
        <w:t xml:space="preserve"> Eliminado por Oficio Múltiple 43923-2025-SBS del 20.08.2025.</w:t>
      </w:r>
    </w:p>
  </w:footnote>
  <w:footnote w:id="4">
    <w:p w14:paraId="5298136F" w14:textId="77777777" w:rsidR="008748C1" w:rsidRPr="00811C93" w:rsidRDefault="00000000">
      <w:pPr>
        <w:pStyle w:val="Textonotapie"/>
        <w:snapToGrid w:val="0"/>
        <w:rPr>
          <w:rFonts w:ascii="Arial Narrow" w:hAnsi="Arial Narrow" w:cs="Arial Narrow"/>
          <w:sz w:val="16"/>
          <w:szCs w:val="16"/>
        </w:rPr>
      </w:pPr>
      <w:r w:rsidRPr="00811C93">
        <w:rPr>
          <w:rStyle w:val="Refdenotaalpie"/>
          <w:rFonts w:ascii="Arial Narrow" w:hAnsi="Arial Narrow" w:cs="Arial Narrow"/>
          <w:sz w:val="16"/>
          <w:szCs w:val="16"/>
        </w:rPr>
        <w:footnoteRef/>
      </w:r>
      <w:r w:rsidRPr="00811C93">
        <w:rPr>
          <w:rFonts w:ascii="Arial Narrow" w:hAnsi="Arial Narrow" w:cs="Arial Narrow"/>
          <w:sz w:val="16"/>
          <w:szCs w:val="16"/>
        </w:rPr>
        <w:t xml:space="preserve"> Eliminado por Oficio Múltiple 43923-2025-SBS del 20.08.2025.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1360" w14:textId="77777777" w:rsidR="008748C1" w:rsidRDefault="00000000">
    <w:pPr>
      <w:pStyle w:val="Encabezado"/>
      <w:pBdr>
        <w:top w:val="single" w:sz="24" w:space="0" w:color="auto"/>
      </w:pBdr>
      <w:tabs>
        <w:tab w:val="right" w:pos="8820"/>
      </w:tabs>
      <w:ind w:right="-316"/>
      <w:jc w:val="center"/>
      <w:rPr>
        <w:b/>
        <w:sz w:val="28"/>
      </w:rPr>
    </w:pPr>
    <w:r>
      <w:tab/>
    </w:r>
    <w:r>
      <w:tab/>
    </w:r>
    <w:r>
      <w:rPr>
        <w:noProof/>
      </w:rPr>
      <w:drawing>
        <wp:anchor distT="0" distB="0" distL="114300" distR="114300" simplePos="0" relativeHeight="251660288" behindDoc="1" locked="0" layoutInCell="1" allowOverlap="1" wp14:anchorId="52981368" wp14:editId="52981369">
          <wp:simplePos x="0" y="0"/>
          <wp:positionH relativeFrom="column">
            <wp:posOffset>321310</wp:posOffset>
          </wp:positionH>
          <wp:positionV relativeFrom="paragraph">
            <wp:posOffset>134620</wp:posOffset>
          </wp:positionV>
          <wp:extent cx="1188085" cy="711835"/>
          <wp:effectExtent l="0" t="0" r="0" b="0"/>
          <wp:wrapNone/>
          <wp:docPr id="99132994" name="Imagen 2" descr="LOGO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2994" name="Imagen 2" descr="LOGO 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88085" cy="711835"/>
                  </a:xfrm>
                  <a:prstGeom prst="rect">
                    <a:avLst/>
                  </a:prstGeom>
                  <a:noFill/>
                  <a:ln>
                    <a:noFill/>
                  </a:ln>
                </pic:spPr>
              </pic:pic>
            </a:graphicData>
          </a:graphic>
        </wp:anchor>
      </w:drawing>
    </w:r>
  </w:p>
  <w:p w14:paraId="52981361" w14:textId="77777777" w:rsidR="008748C1" w:rsidRDefault="00000000">
    <w:pPr>
      <w:pStyle w:val="Encabezado"/>
      <w:tabs>
        <w:tab w:val="center" w:pos="5245"/>
        <w:tab w:val="right" w:pos="8789"/>
      </w:tabs>
      <w:ind w:left="3261"/>
      <w:jc w:val="center"/>
      <w:rPr>
        <w:rFonts w:ascii="Arial Narrow" w:hAnsi="Arial Narrow"/>
        <w:b/>
        <w:sz w:val="24"/>
        <w:szCs w:val="24"/>
      </w:rPr>
    </w:pPr>
    <w:r>
      <w:rPr>
        <w:rFonts w:ascii="Arial Narrow" w:hAnsi="Arial Narrow"/>
        <w:b/>
        <w:sz w:val="24"/>
        <w:szCs w:val="24"/>
      </w:rPr>
      <w:t>MANUAL DE CONTABILIDAD</w:t>
    </w:r>
  </w:p>
  <w:p w14:paraId="52981362" w14:textId="77777777" w:rsidR="008748C1" w:rsidRDefault="00000000">
    <w:pPr>
      <w:pStyle w:val="Encabezado"/>
      <w:tabs>
        <w:tab w:val="center" w:pos="5245"/>
      </w:tabs>
      <w:ind w:left="3261"/>
      <w:jc w:val="center"/>
      <w:rPr>
        <w:rFonts w:ascii="Arial Narrow" w:hAnsi="Arial Narrow"/>
        <w:b/>
        <w:sz w:val="24"/>
        <w:szCs w:val="24"/>
      </w:rPr>
    </w:pPr>
    <w:r>
      <w:rPr>
        <w:rFonts w:ascii="Arial Narrow" w:hAnsi="Arial Narrow"/>
        <w:b/>
        <w:sz w:val="24"/>
        <w:szCs w:val="24"/>
      </w:rPr>
      <w:t>PARA LAS ADMINISTRADORAS PRIVADAS DE FONDOS DE PENSIONES</w:t>
    </w:r>
  </w:p>
  <w:p w14:paraId="52981363" w14:textId="77777777" w:rsidR="008748C1" w:rsidRDefault="00000000">
    <w:pPr>
      <w:pStyle w:val="Encabezado"/>
      <w:tabs>
        <w:tab w:val="right" w:pos="9000"/>
      </w:tabs>
      <w:ind w:right="-496"/>
      <w:jc w:val="center"/>
      <w:rPr>
        <w:rFonts w:ascii="Switzerland" w:hAnsi="Switzerland"/>
        <w:b/>
        <w:sz w:val="26"/>
      </w:rPr>
    </w:pPr>
    <w:r>
      <w:rPr>
        <w:rFonts w:ascii="Switzerland" w:hAnsi="Switzerland"/>
        <w:b/>
        <w:noProof/>
        <w:sz w:val="26"/>
      </w:rPr>
      <mc:AlternateContent>
        <mc:Choice Requires="wps">
          <w:drawing>
            <wp:inline distT="0" distB="0" distL="0" distR="0" wp14:anchorId="5298136A" wp14:editId="5298136B">
              <wp:extent cx="5806440" cy="7620"/>
              <wp:effectExtent l="0" t="0" r="0" b="0"/>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7620"/>
                      </a:xfrm>
                      <a:prstGeom prst="rect">
                        <a:avLst/>
                      </a:prstGeom>
                      <a:solidFill>
                        <a:srgbClr val="808080"/>
                      </a:solid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 o:spid="_x0000_s1026" o:spt="1" style="height:0.6pt;width:457.2pt;" fillcolor="#808080" filled="t" stroked="f" coordsize="21600,21600" o:gfxdata="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TpZM0gAAAAMBAAAPAAAAAAAAAAEAIAAAACIA&#10;AABkcnMvZG93bnJldi54bWxQSwECFAAUAAAACACHTuJAvJbhBQ8CAAAnBAAADgAAAAAAAAABACAA&#10;AAAhAQAAZHJzL2Uyb0RvYy54bWxQSwUGAAAAAAYABgBZAQAAogUAAAAA&#10;">
              <v:fill on="t" focussize="0,0"/>
              <v:stroke on="f"/>
              <v:imagedata o:title=""/>
              <o:lock v:ext="edit" aspectratio="f"/>
              <w10:wrap type="none"/>
              <w10:anchorlock/>
            </v:rect>
          </w:pict>
        </mc:Fallback>
      </mc:AlternateContent>
    </w:r>
  </w:p>
  <w:p w14:paraId="52981364" w14:textId="77777777" w:rsidR="008748C1" w:rsidRDefault="00000000">
    <w:pPr>
      <w:pStyle w:val="Encabezado"/>
      <w:tabs>
        <w:tab w:val="right" w:pos="9000"/>
      </w:tabs>
      <w:ind w:right="-496"/>
      <w:jc w:val="center"/>
    </w:pPr>
    <w:r>
      <w:tab/>
    </w:r>
  </w:p>
  <w:p w14:paraId="52981365" w14:textId="77777777" w:rsidR="008748C1" w:rsidRDefault="008748C1">
    <w:pPr>
      <w:pStyle w:val="Encabezado"/>
      <w:tabs>
        <w:tab w:val="right" w:pos="9000"/>
      </w:tabs>
      <w:ind w:right="-496"/>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31D"/>
    <w:multiLevelType w:val="multilevel"/>
    <w:tmpl w:val="00A4331D"/>
    <w:lvl w:ilvl="0">
      <w:start w:val="1"/>
      <w:numFmt w:val="bullet"/>
      <w:lvlText w:val="-"/>
      <w:lvlJc w:val="left"/>
      <w:pPr>
        <w:ind w:left="360" w:hanging="360"/>
      </w:pPr>
      <w:rPr>
        <w:rFonts w:ascii="Arial Narrow" w:hAnsi="Arial Narrow" w:cs="Times New Roman"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C2972"/>
    <w:multiLevelType w:val="multilevel"/>
    <w:tmpl w:val="00DC2972"/>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15D0CD7"/>
    <w:multiLevelType w:val="multilevel"/>
    <w:tmpl w:val="015D0CD7"/>
    <w:lvl w:ilvl="0">
      <w:start w:val="1"/>
      <w:numFmt w:val="lowerLetter"/>
      <w:lvlText w:val="%1)"/>
      <w:lvlJc w:val="left"/>
      <w:pPr>
        <w:tabs>
          <w:tab w:val="left" w:pos="1134"/>
        </w:tabs>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1D5265"/>
    <w:multiLevelType w:val="multilevel"/>
    <w:tmpl w:val="021D5265"/>
    <w:lvl w:ilvl="0">
      <w:start w:val="1"/>
      <w:numFmt w:val="decimal"/>
      <w:lvlText w:val="%1)"/>
      <w:lvlJc w:val="left"/>
      <w:pPr>
        <w:tabs>
          <w:tab w:val="left" w:pos="709"/>
        </w:tabs>
        <w:ind w:left="709" w:hanging="284"/>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4C6432"/>
    <w:multiLevelType w:val="multilevel"/>
    <w:tmpl w:val="054C6432"/>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32FEA"/>
    <w:multiLevelType w:val="multilevel"/>
    <w:tmpl w:val="05732FEA"/>
    <w:lvl w:ilvl="0">
      <w:start w:val="1"/>
      <w:numFmt w:val="lowerLetter"/>
      <w:lvlText w:val="%1)"/>
      <w:lvlJc w:val="left"/>
      <w:pPr>
        <w:ind w:left="1276" w:hanging="425"/>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0361DA"/>
    <w:multiLevelType w:val="multilevel"/>
    <w:tmpl w:val="060361DA"/>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0B7C96"/>
    <w:multiLevelType w:val="multilevel"/>
    <w:tmpl w:val="060B7C96"/>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62D0A22"/>
    <w:multiLevelType w:val="multilevel"/>
    <w:tmpl w:val="062D0A22"/>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068C6335"/>
    <w:multiLevelType w:val="multilevel"/>
    <w:tmpl w:val="068C6335"/>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995B22"/>
    <w:multiLevelType w:val="multilevel"/>
    <w:tmpl w:val="06995B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06215B"/>
    <w:multiLevelType w:val="multilevel"/>
    <w:tmpl w:val="0706215B"/>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074A49FD"/>
    <w:multiLevelType w:val="multilevel"/>
    <w:tmpl w:val="074A49FD"/>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08321B4A"/>
    <w:multiLevelType w:val="multilevel"/>
    <w:tmpl w:val="08321B4A"/>
    <w:lvl w:ilvl="0">
      <w:numFmt w:val="bullet"/>
      <w:lvlText w:val="-"/>
      <w:lvlJc w:val="left"/>
      <w:pPr>
        <w:ind w:left="786" w:hanging="360"/>
      </w:pPr>
      <w:rPr>
        <w:rFonts w:ascii="Arial Narrow" w:eastAsia="Aptos" w:hAnsi="Arial Narrow"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4" w15:restartNumberingAfterBreak="0">
    <w:nsid w:val="08E566F5"/>
    <w:multiLevelType w:val="multilevel"/>
    <w:tmpl w:val="08E566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B25B30"/>
    <w:multiLevelType w:val="multilevel"/>
    <w:tmpl w:val="0BB25B30"/>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3E48C8"/>
    <w:multiLevelType w:val="multilevel"/>
    <w:tmpl w:val="0C3E48C8"/>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B754BE"/>
    <w:multiLevelType w:val="multilevel"/>
    <w:tmpl w:val="0DB754BE"/>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F643E2"/>
    <w:multiLevelType w:val="multilevel"/>
    <w:tmpl w:val="0DF643E2"/>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034035"/>
    <w:multiLevelType w:val="multilevel"/>
    <w:tmpl w:val="0E034035"/>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F112958"/>
    <w:multiLevelType w:val="multilevel"/>
    <w:tmpl w:val="0F112958"/>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F711AF5"/>
    <w:multiLevelType w:val="multilevel"/>
    <w:tmpl w:val="0F711AF5"/>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15157"/>
    <w:multiLevelType w:val="multilevel"/>
    <w:tmpl w:val="10415157"/>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3F1C59"/>
    <w:multiLevelType w:val="multilevel"/>
    <w:tmpl w:val="123F1C59"/>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246E8C"/>
    <w:multiLevelType w:val="multilevel"/>
    <w:tmpl w:val="13246E8C"/>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B75D58"/>
    <w:multiLevelType w:val="multilevel"/>
    <w:tmpl w:val="14B75D58"/>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4E74FE"/>
    <w:multiLevelType w:val="multilevel"/>
    <w:tmpl w:val="154E74FE"/>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183F9C"/>
    <w:multiLevelType w:val="multilevel"/>
    <w:tmpl w:val="16183F9C"/>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C960EE"/>
    <w:multiLevelType w:val="multilevel"/>
    <w:tmpl w:val="16C960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6FF6C20"/>
    <w:multiLevelType w:val="multilevel"/>
    <w:tmpl w:val="16FF6C20"/>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17327C5E"/>
    <w:multiLevelType w:val="multilevel"/>
    <w:tmpl w:val="17327C5E"/>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5E1A29"/>
    <w:multiLevelType w:val="multilevel"/>
    <w:tmpl w:val="175E1A29"/>
    <w:lvl w:ilvl="0">
      <w:start w:val="1"/>
      <w:numFmt w:val="decimal"/>
      <w:lvlText w:val="%1)"/>
      <w:lvlJc w:val="left"/>
      <w:pPr>
        <w:tabs>
          <w:tab w:val="left" w:pos="710"/>
        </w:tabs>
        <w:ind w:left="851" w:hanging="425"/>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C0636F"/>
    <w:multiLevelType w:val="multilevel"/>
    <w:tmpl w:val="17C0636F"/>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89A71FA"/>
    <w:multiLevelType w:val="multilevel"/>
    <w:tmpl w:val="189A71FA"/>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7B26D9"/>
    <w:multiLevelType w:val="multilevel"/>
    <w:tmpl w:val="197B26D9"/>
    <w:lvl w:ilvl="0">
      <w:start w:val="1"/>
      <w:numFmt w:val="decimal"/>
      <w:lvlText w:val="%1)"/>
      <w:lvlJc w:val="left"/>
      <w:pPr>
        <w:ind w:left="786" w:hanging="360"/>
      </w:pPr>
      <w:rPr>
        <w:rFonts w:ascii="Arial Narrow" w:eastAsia="Aptos" w:hAnsi="Arial Narrow" w:cs="Times New Roman"/>
      </w:rPr>
    </w:lvl>
    <w:lvl w:ilvl="1">
      <w:start w:val="1"/>
      <w:numFmt w:val="lowerRoman"/>
      <w:lvlText w:val="%2)"/>
      <w:lvlJc w:val="left"/>
      <w:pPr>
        <w:tabs>
          <w:tab w:val="left" w:pos="1701"/>
        </w:tabs>
        <w:ind w:left="1701" w:hanging="567"/>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19866053"/>
    <w:multiLevelType w:val="multilevel"/>
    <w:tmpl w:val="19866053"/>
    <w:lvl w:ilvl="0">
      <w:numFmt w:val="bullet"/>
      <w:lvlText w:val="-"/>
      <w:lvlJc w:val="left"/>
      <w:pPr>
        <w:ind w:left="786" w:hanging="360"/>
      </w:pPr>
      <w:rPr>
        <w:rFonts w:ascii="Arial Narrow" w:eastAsia="Aptos" w:hAnsi="Arial Narrow"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6" w15:restartNumberingAfterBreak="0">
    <w:nsid w:val="1A166270"/>
    <w:multiLevelType w:val="multilevel"/>
    <w:tmpl w:val="1A166270"/>
    <w:lvl w:ilvl="0">
      <w:start w:val="1"/>
      <w:numFmt w:val="lowerRoman"/>
      <w:lvlText w:val="%1)"/>
      <w:lvlJc w:val="left"/>
      <w:pPr>
        <w:tabs>
          <w:tab w:val="left" w:pos="1701"/>
        </w:tabs>
        <w:ind w:left="1701"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B280596"/>
    <w:multiLevelType w:val="multilevel"/>
    <w:tmpl w:val="1B280596"/>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DB25D89"/>
    <w:multiLevelType w:val="multilevel"/>
    <w:tmpl w:val="1DB25D89"/>
    <w:lvl w:ilvl="0">
      <w:start w:val="1"/>
      <w:numFmt w:val="lowerLetter"/>
      <w:lvlText w:val="%1)"/>
      <w:lvlJc w:val="left"/>
      <w:pPr>
        <w:tabs>
          <w:tab w:val="left" w:pos="1134"/>
        </w:tabs>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EB405C9"/>
    <w:multiLevelType w:val="multilevel"/>
    <w:tmpl w:val="1EB405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EF72E4C"/>
    <w:multiLevelType w:val="multilevel"/>
    <w:tmpl w:val="1EF72E4C"/>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947500"/>
    <w:multiLevelType w:val="multilevel"/>
    <w:tmpl w:val="20947500"/>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160179"/>
    <w:multiLevelType w:val="multilevel"/>
    <w:tmpl w:val="21160179"/>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D7180C"/>
    <w:multiLevelType w:val="multilevel"/>
    <w:tmpl w:val="24D7180C"/>
    <w:lvl w:ilvl="0">
      <w:start w:val="1"/>
      <w:numFmt w:val="lowerLetter"/>
      <w:lvlText w:val="%1)"/>
      <w:lvlJc w:val="left"/>
      <w:pPr>
        <w:ind w:left="786" w:hanging="360"/>
      </w:pPr>
    </w:lvl>
    <w:lvl w:ilvl="1">
      <w:start w:val="1"/>
      <w:numFmt w:val="lowerRoman"/>
      <w:lvlText w:val="%2)"/>
      <w:lvlJc w:val="left"/>
      <w:pPr>
        <w:tabs>
          <w:tab w:val="left" w:pos="1701"/>
        </w:tabs>
        <w:ind w:left="1701" w:hanging="567"/>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258E74CF"/>
    <w:multiLevelType w:val="multilevel"/>
    <w:tmpl w:val="258E74CF"/>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D35AD4"/>
    <w:multiLevelType w:val="multilevel"/>
    <w:tmpl w:val="25D35AD4"/>
    <w:lvl w:ilvl="0">
      <w:start w:val="1"/>
      <w:numFmt w:val="lowerLetter"/>
      <w:lvlText w:val="%1)"/>
      <w:lvlJc w:val="left"/>
      <w:pPr>
        <w:ind w:left="786" w:hanging="360"/>
      </w:pPr>
    </w:lvl>
    <w:lvl w:ilvl="1">
      <w:start w:val="1"/>
      <w:numFmt w:val="lowerRoman"/>
      <w:lvlText w:val="%2)"/>
      <w:lvlJc w:val="left"/>
      <w:pPr>
        <w:tabs>
          <w:tab w:val="left" w:pos="1701"/>
        </w:tabs>
        <w:ind w:left="1701" w:hanging="567"/>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26357C54"/>
    <w:multiLevelType w:val="multilevel"/>
    <w:tmpl w:val="26357C54"/>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7" w15:restartNumberingAfterBreak="0">
    <w:nsid w:val="266C496B"/>
    <w:multiLevelType w:val="multilevel"/>
    <w:tmpl w:val="266C496B"/>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15:restartNumberingAfterBreak="0">
    <w:nsid w:val="27495952"/>
    <w:multiLevelType w:val="multilevel"/>
    <w:tmpl w:val="27495952"/>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78B2EC1"/>
    <w:multiLevelType w:val="multilevel"/>
    <w:tmpl w:val="278B2EC1"/>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8107A2"/>
    <w:multiLevelType w:val="multilevel"/>
    <w:tmpl w:val="288107A2"/>
    <w:lvl w:ilvl="0">
      <w:start w:val="1"/>
      <w:numFmt w:val="lowerLetter"/>
      <w:lvlText w:val="%1)"/>
      <w:lvlJc w:val="left"/>
      <w:pPr>
        <w:tabs>
          <w:tab w:val="left" w:pos="1276"/>
        </w:tabs>
        <w:ind w:left="1276" w:hanging="283"/>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1" w15:restartNumberingAfterBreak="0">
    <w:nsid w:val="288C4462"/>
    <w:multiLevelType w:val="multilevel"/>
    <w:tmpl w:val="288C4462"/>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8E46D54"/>
    <w:multiLevelType w:val="multilevel"/>
    <w:tmpl w:val="28E46D5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683BF7"/>
    <w:multiLevelType w:val="multilevel"/>
    <w:tmpl w:val="29683B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3C695F"/>
    <w:multiLevelType w:val="multilevel"/>
    <w:tmpl w:val="2B3C695F"/>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5" w15:restartNumberingAfterBreak="0">
    <w:nsid w:val="2E106640"/>
    <w:multiLevelType w:val="multilevel"/>
    <w:tmpl w:val="2E106640"/>
    <w:lvl w:ilvl="0">
      <w:start w:val="1"/>
      <w:numFmt w:val="upperLetter"/>
      <w:lvlText w:val="%1."/>
      <w:lvlJc w:val="left"/>
      <w:pPr>
        <w:ind w:left="720" w:hanging="360"/>
      </w:pPr>
      <w:rPr>
        <w:rFonts w:hint="default"/>
      </w:rPr>
    </w:lvl>
    <w:lvl w:ilvl="1">
      <w:start w:val="1"/>
      <w:numFmt w:val="decimal"/>
      <w:lvlText w:val="%2."/>
      <w:lvlJc w:val="left"/>
      <w:pPr>
        <w:ind w:left="992" w:hanging="992"/>
      </w:pPr>
      <w:rPr>
        <w:rFonts w:hint="default"/>
        <w:b/>
        <w:bCs w:val="0"/>
      </w:rPr>
    </w:lvl>
    <w:lvl w:ilvl="2">
      <w:start w:val="1"/>
      <w:numFmt w:val="decimal"/>
      <w:lvlText w:val="%2.%3."/>
      <w:lvlJc w:val="left"/>
      <w:pPr>
        <w:tabs>
          <w:tab w:val="left" w:pos="567"/>
        </w:tabs>
        <w:ind w:left="567" w:hanging="425"/>
      </w:pPr>
      <w:rPr>
        <w:rFonts w:hint="default"/>
        <w:b/>
        <w:bCs w:val="0"/>
      </w:rPr>
    </w:lvl>
    <w:lvl w:ilvl="3">
      <w:start w:val="1"/>
      <w:numFmt w:val="decimal"/>
      <w:lvlText w:val="%4."/>
      <w:lvlJc w:val="left"/>
      <w:pPr>
        <w:ind w:left="2880" w:hanging="360"/>
      </w:pPr>
      <w:rPr>
        <w:rFonts w:hint="default"/>
      </w:rPr>
    </w:lvl>
    <w:lvl w:ilvl="4">
      <w:start w:val="1"/>
      <w:numFmt w:val="lowerLetter"/>
      <w:lvlText w:val="%5."/>
      <w:lvlJc w:val="left"/>
      <w:pPr>
        <w:tabs>
          <w:tab w:val="left" w:pos="851"/>
        </w:tabs>
        <w:ind w:left="851" w:hanging="426"/>
      </w:pPr>
      <w:rPr>
        <w:rFonts w:hint="default"/>
      </w:rPr>
    </w:lvl>
    <w:lvl w:ilvl="5">
      <w:start w:val="1"/>
      <w:numFmt w:val="decimal"/>
      <w:lvlText w:val="%5.%6."/>
      <w:lvlJc w:val="left"/>
      <w:pPr>
        <w:ind w:left="851" w:hanging="426"/>
      </w:pPr>
      <w:rPr>
        <w:rFonts w:ascii="Arial Narrow" w:hAnsi="Arial Narrow" w:hint="default"/>
        <w:b/>
        <w:bCs/>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F5E7447"/>
    <w:multiLevelType w:val="multilevel"/>
    <w:tmpl w:val="2F5E7447"/>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15:restartNumberingAfterBreak="0">
    <w:nsid w:val="30E74C7B"/>
    <w:multiLevelType w:val="multilevel"/>
    <w:tmpl w:val="30E74C7B"/>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15:restartNumberingAfterBreak="0">
    <w:nsid w:val="31C63693"/>
    <w:multiLevelType w:val="multilevel"/>
    <w:tmpl w:val="31C63693"/>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1C815A6"/>
    <w:multiLevelType w:val="multilevel"/>
    <w:tmpl w:val="31C815A6"/>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1D8643C"/>
    <w:multiLevelType w:val="multilevel"/>
    <w:tmpl w:val="31D8643C"/>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25A66D0"/>
    <w:multiLevelType w:val="multilevel"/>
    <w:tmpl w:val="325A66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783664"/>
    <w:multiLevelType w:val="multilevel"/>
    <w:tmpl w:val="33783664"/>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952089"/>
    <w:multiLevelType w:val="multilevel"/>
    <w:tmpl w:val="33952089"/>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4" w15:restartNumberingAfterBreak="0">
    <w:nsid w:val="33D121C7"/>
    <w:multiLevelType w:val="multilevel"/>
    <w:tmpl w:val="33D121C7"/>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4A3588"/>
    <w:multiLevelType w:val="multilevel"/>
    <w:tmpl w:val="344A3588"/>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8472A6"/>
    <w:multiLevelType w:val="multilevel"/>
    <w:tmpl w:val="348472A6"/>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7" w15:restartNumberingAfterBreak="0">
    <w:nsid w:val="34BC5103"/>
    <w:multiLevelType w:val="multilevel"/>
    <w:tmpl w:val="34BC5103"/>
    <w:lvl w:ilvl="0">
      <w:start w:val="1"/>
      <w:numFmt w:val="lowerRoman"/>
      <w:lvlText w:val="%1)"/>
      <w:lvlJc w:val="left"/>
      <w:pPr>
        <w:tabs>
          <w:tab w:val="left" w:pos="1701"/>
        </w:tabs>
        <w:ind w:left="1701"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C919F6"/>
    <w:multiLevelType w:val="multilevel"/>
    <w:tmpl w:val="35C919F6"/>
    <w:lvl w:ilvl="0">
      <w:start w:val="1"/>
      <w:numFmt w:val="lowerLetter"/>
      <w:lvlText w:val="%1)"/>
      <w:lvlJc w:val="left"/>
      <w:pPr>
        <w:tabs>
          <w:tab w:val="left" w:pos="851"/>
        </w:tabs>
        <w:ind w:left="85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9" w15:restartNumberingAfterBreak="0">
    <w:nsid w:val="363550BD"/>
    <w:multiLevelType w:val="multilevel"/>
    <w:tmpl w:val="363550B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0" w15:restartNumberingAfterBreak="0">
    <w:nsid w:val="37637D77"/>
    <w:multiLevelType w:val="multilevel"/>
    <w:tmpl w:val="37637D77"/>
    <w:lvl w:ilvl="0">
      <w:start w:val="1"/>
      <w:numFmt w:val="lowerLetter"/>
      <w:lvlText w:val="%1)"/>
      <w:lvlJc w:val="left"/>
      <w:pPr>
        <w:tabs>
          <w:tab w:val="left" w:pos="1276"/>
        </w:tabs>
        <w:ind w:left="1276" w:hanging="283"/>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1" w15:restartNumberingAfterBreak="0">
    <w:nsid w:val="39D02116"/>
    <w:multiLevelType w:val="multilevel"/>
    <w:tmpl w:val="39D02116"/>
    <w:lvl w:ilvl="0">
      <w:start w:val="1"/>
      <w:numFmt w:val="lowerRoman"/>
      <w:lvlText w:val="%1)"/>
      <w:lvlJc w:val="left"/>
      <w:pPr>
        <w:ind w:left="851" w:hanging="284"/>
      </w:pPr>
      <w:rPr>
        <w:rFonts w:hint="default"/>
      </w:rPr>
    </w:lvl>
    <w:lvl w:ilvl="1">
      <w:start w:val="1"/>
      <w:numFmt w:val="lowerLetter"/>
      <w:lvlText w:val="%2."/>
      <w:lvlJc w:val="left"/>
      <w:pPr>
        <w:ind w:left="1440" w:hanging="360"/>
      </w:pPr>
    </w:lvl>
    <w:lvl w:ilvl="2">
      <w:start w:val="1"/>
      <w:numFmt w:val="lowerRoman"/>
      <w:pStyle w:val="Norm-Sub-Ctas1"/>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A191D0E"/>
    <w:multiLevelType w:val="multilevel"/>
    <w:tmpl w:val="3A191D0E"/>
    <w:lvl w:ilvl="0">
      <w:start w:val="1"/>
      <w:numFmt w:val="bullet"/>
      <w:lvlText w:val="-"/>
      <w:lvlJc w:val="left"/>
      <w:pPr>
        <w:ind w:left="284" w:hanging="284"/>
      </w:pPr>
      <w:rPr>
        <w:rFonts w:ascii="Arial Narrow" w:hAnsi="Arial Narrow"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BDE61AB"/>
    <w:multiLevelType w:val="multilevel"/>
    <w:tmpl w:val="3BDE61AB"/>
    <w:lvl w:ilvl="0">
      <w:start w:val="1"/>
      <w:numFmt w:val="lowerRoman"/>
      <w:lvlText w:val="%1)"/>
      <w:lvlJc w:val="left"/>
      <w:pPr>
        <w:tabs>
          <w:tab w:val="left" w:pos="1701"/>
        </w:tabs>
        <w:ind w:left="1701"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231"/>
    <w:multiLevelType w:val="multilevel"/>
    <w:tmpl w:val="3E1A3231"/>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256172"/>
    <w:multiLevelType w:val="multilevel"/>
    <w:tmpl w:val="3E256172"/>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E602F45"/>
    <w:multiLevelType w:val="multilevel"/>
    <w:tmpl w:val="3E602F45"/>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E7417DD"/>
    <w:multiLevelType w:val="multilevel"/>
    <w:tmpl w:val="3E7417DD"/>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8" w15:restartNumberingAfterBreak="0">
    <w:nsid w:val="3FF440A8"/>
    <w:multiLevelType w:val="multilevel"/>
    <w:tmpl w:val="3FF440A8"/>
    <w:lvl w:ilvl="0">
      <w:start w:val="1"/>
      <w:numFmt w:val="lowerLetter"/>
      <w:lvlText w:val="%1)"/>
      <w:lvlJc w:val="left"/>
      <w:pPr>
        <w:tabs>
          <w:tab w:val="left" w:pos="851"/>
        </w:tabs>
        <w:ind w:left="85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15:restartNumberingAfterBreak="0">
    <w:nsid w:val="40280CDA"/>
    <w:multiLevelType w:val="multilevel"/>
    <w:tmpl w:val="40280CDA"/>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0" w15:restartNumberingAfterBreak="0">
    <w:nsid w:val="424F1377"/>
    <w:multiLevelType w:val="multilevel"/>
    <w:tmpl w:val="424F1377"/>
    <w:lvl w:ilvl="0">
      <w:start w:val="1"/>
      <w:numFmt w:val="lowerRoman"/>
      <w:lvlText w:val="%1)"/>
      <w:lvlJc w:val="left"/>
      <w:pPr>
        <w:tabs>
          <w:tab w:val="left" w:pos="1701"/>
        </w:tabs>
        <w:ind w:left="1701"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40667D3"/>
    <w:multiLevelType w:val="multilevel"/>
    <w:tmpl w:val="440667D3"/>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2" w15:restartNumberingAfterBreak="0">
    <w:nsid w:val="45963D43"/>
    <w:multiLevelType w:val="multilevel"/>
    <w:tmpl w:val="45963D43"/>
    <w:lvl w:ilvl="0">
      <w:start w:val="1"/>
      <w:numFmt w:val="lowerLetter"/>
      <w:lvlText w:val="%1)"/>
      <w:lvlJc w:val="left"/>
      <w:pPr>
        <w:ind w:left="786" w:hanging="360"/>
      </w:pPr>
    </w:lvl>
    <w:lvl w:ilvl="1">
      <w:start w:val="1"/>
      <w:numFmt w:val="lowerRoman"/>
      <w:lvlText w:val="%2)"/>
      <w:lvlJc w:val="left"/>
      <w:pPr>
        <w:tabs>
          <w:tab w:val="left" w:pos="1701"/>
        </w:tabs>
        <w:ind w:left="1701" w:hanging="567"/>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3" w15:restartNumberingAfterBreak="0">
    <w:nsid w:val="460A1E53"/>
    <w:multiLevelType w:val="multilevel"/>
    <w:tmpl w:val="460A1E53"/>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64474BF"/>
    <w:multiLevelType w:val="multilevel"/>
    <w:tmpl w:val="464474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9161408"/>
    <w:multiLevelType w:val="multilevel"/>
    <w:tmpl w:val="49161408"/>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D963CDB"/>
    <w:multiLevelType w:val="multilevel"/>
    <w:tmpl w:val="4D963CDB"/>
    <w:lvl w:ilvl="0">
      <w:start w:val="1"/>
      <w:numFmt w:val="lowerLetter"/>
      <w:lvlText w:val="%1)"/>
      <w:lvlJc w:val="left"/>
      <w:pPr>
        <w:tabs>
          <w:tab w:val="left" w:pos="851"/>
        </w:tabs>
        <w:ind w:left="85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7" w15:restartNumberingAfterBreak="0">
    <w:nsid w:val="4E677A81"/>
    <w:multiLevelType w:val="multilevel"/>
    <w:tmpl w:val="4E677A81"/>
    <w:lvl w:ilvl="0">
      <w:start w:val="1"/>
      <w:numFmt w:val="lowerLetter"/>
      <w:lvlText w:val="%1)"/>
      <w:lvlJc w:val="left"/>
      <w:pPr>
        <w:ind w:left="1276" w:hanging="425"/>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E7A6D33"/>
    <w:multiLevelType w:val="multilevel"/>
    <w:tmpl w:val="4E7A6D33"/>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9" w15:restartNumberingAfterBreak="0">
    <w:nsid w:val="4E99787E"/>
    <w:multiLevelType w:val="multilevel"/>
    <w:tmpl w:val="4E99787E"/>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F391499"/>
    <w:multiLevelType w:val="multilevel"/>
    <w:tmpl w:val="4F391499"/>
    <w:lvl w:ilvl="0">
      <w:start w:val="1"/>
      <w:numFmt w:val="bullet"/>
      <w:lvlText w:val="-"/>
      <w:lvlJc w:val="left"/>
      <w:pPr>
        <w:tabs>
          <w:tab w:val="left" w:pos="1559"/>
        </w:tabs>
        <w:ind w:left="2126" w:hanging="850"/>
      </w:pPr>
      <w:rPr>
        <w:rFonts w:ascii="Arial Narrow" w:hAnsi="Arial Narrow" w:cs="Times New Roman" w:hint="default"/>
        <w:b w:val="0"/>
        <w:bCs w:val="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91" w15:restartNumberingAfterBreak="0">
    <w:nsid w:val="506D1EE0"/>
    <w:multiLevelType w:val="multilevel"/>
    <w:tmpl w:val="506D1EE0"/>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0D412FE"/>
    <w:multiLevelType w:val="multilevel"/>
    <w:tmpl w:val="50D412FE"/>
    <w:lvl w:ilvl="0">
      <w:start w:val="1"/>
      <w:numFmt w:val="bullet"/>
      <w:lvlText w:val="-"/>
      <w:lvlJc w:val="left"/>
      <w:pPr>
        <w:tabs>
          <w:tab w:val="left" w:pos="1559"/>
        </w:tabs>
        <w:ind w:left="2126" w:hanging="850"/>
      </w:pPr>
      <w:rPr>
        <w:rFonts w:ascii="Arial Narrow" w:hAnsi="Arial Narrow" w:cs="Times New Roman" w:hint="default"/>
        <w:b w:val="0"/>
        <w:bCs w:val="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93" w15:restartNumberingAfterBreak="0">
    <w:nsid w:val="51FD29FC"/>
    <w:multiLevelType w:val="multilevel"/>
    <w:tmpl w:val="51FD29FC"/>
    <w:lvl w:ilvl="0">
      <w:start w:val="1"/>
      <w:numFmt w:val="lowerRoman"/>
      <w:lvlText w:val="%1)"/>
      <w:lvlJc w:val="left"/>
      <w:pPr>
        <w:ind w:left="786" w:hanging="360"/>
      </w:pPr>
      <w:rPr>
        <w:rFonts w:ascii="Arial Narrow" w:hAnsi="Arial Narrow" w:hint="default"/>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4" w15:restartNumberingAfterBreak="0">
    <w:nsid w:val="52420215"/>
    <w:multiLevelType w:val="multilevel"/>
    <w:tmpl w:val="52420215"/>
    <w:lvl w:ilvl="0">
      <w:start w:val="1"/>
      <w:numFmt w:val="decimal"/>
      <w:lvlText w:val="%1)"/>
      <w:lvlJc w:val="left"/>
      <w:pPr>
        <w:tabs>
          <w:tab w:val="left" w:pos="709"/>
        </w:tabs>
        <w:ind w:left="709" w:hanging="284"/>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26E026B"/>
    <w:multiLevelType w:val="multilevel"/>
    <w:tmpl w:val="526E026B"/>
    <w:lvl w:ilvl="0">
      <w:start w:val="1"/>
      <w:numFmt w:val="lowerRoman"/>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6" w15:restartNumberingAfterBreak="0">
    <w:nsid w:val="52942BE4"/>
    <w:multiLevelType w:val="multilevel"/>
    <w:tmpl w:val="52942BE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7" w15:restartNumberingAfterBreak="0">
    <w:nsid w:val="52C5053B"/>
    <w:multiLevelType w:val="multilevel"/>
    <w:tmpl w:val="52C5053B"/>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3775498"/>
    <w:multiLevelType w:val="multilevel"/>
    <w:tmpl w:val="53775498"/>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49D4BD6"/>
    <w:multiLevelType w:val="multilevel"/>
    <w:tmpl w:val="549D4BD6"/>
    <w:lvl w:ilvl="0">
      <w:start w:val="1"/>
      <w:numFmt w:val="lowerLetter"/>
      <w:lvlText w:val="%1)"/>
      <w:lvlJc w:val="left"/>
      <w:pPr>
        <w:ind w:left="786" w:hanging="360"/>
      </w:pPr>
    </w:lvl>
    <w:lvl w:ilvl="1">
      <w:start w:val="1"/>
      <w:numFmt w:val="lowerRoman"/>
      <w:lvlText w:val="%2)"/>
      <w:lvlJc w:val="left"/>
      <w:pPr>
        <w:tabs>
          <w:tab w:val="left" w:pos="1701"/>
        </w:tabs>
        <w:ind w:left="1701" w:hanging="567"/>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0" w15:restartNumberingAfterBreak="0">
    <w:nsid w:val="556011D0"/>
    <w:multiLevelType w:val="multilevel"/>
    <w:tmpl w:val="556011D0"/>
    <w:lvl w:ilvl="0">
      <w:start w:val="1"/>
      <w:numFmt w:val="lowerLetter"/>
      <w:lvlText w:val="%1)"/>
      <w:lvlJc w:val="left"/>
      <w:pPr>
        <w:tabs>
          <w:tab w:val="left" w:pos="851"/>
        </w:tabs>
        <w:ind w:left="85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1" w15:restartNumberingAfterBreak="0">
    <w:nsid w:val="56955CAB"/>
    <w:multiLevelType w:val="multilevel"/>
    <w:tmpl w:val="56955CAB"/>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70C2C0D"/>
    <w:multiLevelType w:val="multilevel"/>
    <w:tmpl w:val="570C2C0D"/>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7215C8C"/>
    <w:multiLevelType w:val="multilevel"/>
    <w:tmpl w:val="57215C8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4" w15:restartNumberingAfterBreak="0">
    <w:nsid w:val="59403143"/>
    <w:multiLevelType w:val="multilevel"/>
    <w:tmpl w:val="59403143"/>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A3A1999"/>
    <w:multiLevelType w:val="multilevel"/>
    <w:tmpl w:val="5A3A1999"/>
    <w:lvl w:ilvl="0">
      <w:start w:val="1"/>
      <w:numFmt w:val="bullet"/>
      <w:lvlText w:val="-"/>
      <w:lvlJc w:val="left"/>
      <w:pPr>
        <w:ind w:left="720" w:hanging="360"/>
      </w:pPr>
      <w:rPr>
        <w:rFonts w:ascii="Arial Narrow"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C3A6D5E"/>
    <w:multiLevelType w:val="multilevel"/>
    <w:tmpl w:val="5C3A6D5E"/>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D3929AA"/>
    <w:multiLevelType w:val="multilevel"/>
    <w:tmpl w:val="5D3929AA"/>
    <w:lvl w:ilvl="0">
      <w:start w:val="1"/>
      <w:numFmt w:val="lowerLetter"/>
      <w:pStyle w:val="Listaconvietas3"/>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8" w15:restartNumberingAfterBreak="0">
    <w:nsid w:val="5D6D72BA"/>
    <w:multiLevelType w:val="multilevel"/>
    <w:tmpl w:val="5D6D72BA"/>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DF9722F"/>
    <w:multiLevelType w:val="multilevel"/>
    <w:tmpl w:val="5DF9722F"/>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EB33CF4"/>
    <w:multiLevelType w:val="multilevel"/>
    <w:tmpl w:val="5EB33CF4"/>
    <w:lvl w:ilvl="0">
      <w:start w:val="2101"/>
      <w:numFmt w:val="decimal"/>
      <w:lvlText w:val="%1"/>
      <w:lvlJc w:val="left"/>
      <w:pPr>
        <w:tabs>
          <w:tab w:val="left" w:pos="360"/>
        </w:tabs>
        <w:ind w:left="360" w:hanging="360"/>
      </w:pPr>
      <w:rPr>
        <w:rFonts w:hint="default"/>
      </w:rPr>
    </w:lvl>
    <w:lvl w:ilvl="1">
      <w:start w:val="1"/>
      <w:numFmt w:val="decimalZero"/>
      <w:lvlText w:val="%1.%2"/>
      <w:lvlJc w:val="left"/>
      <w:pPr>
        <w:tabs>
          <w:tab w:val="left" w:pos="1635"/>
        </w:tabs>
        <w:ind w:left="1635" w:hanging="360"/>
      </w:pPr>
      <w:rPr>
        <w:rFonts w:hint="default"/>
      </w:rPr>
    </w:lvl>
    <w:lvl w:ilvl="2">
      <w:start w:val="1"/>
      <w:numFmt w:val="decimalZero"/>
      <w:pStyle w:val="normalsangr1"/>
      <w:lvlText w:val="%1.%2.%3"/>
      <w:lvlJc w:val="left"/>
      <w:pPr>
        <w:tabs>
          <w:tab w:val="left" w:pos="3270"/>
        </w:tabs>
        <w:ind w:left="3270" w:hanging="720"/>
      </w:pPr>
      <w:rPr>
        <w:rFonts w:hint="default"/>
      </w:rPr>
    </w:lvl>
    <w:lvl w:ilvl="3">
      <w:start w:val="1"/>
      <w:numFmt w:val="decimal"/>
      <w:lvlText w:val="%1.%2.%3.%4"/>
      <w:lvlJc w:val="left"/>
      <w:pPr>
        <w:tabs>
          <w:tab w:val="left" w:pos="4545"/>
        </w:tabs>
        <w:ind w:left="4545" w:hanging="720"/>
      </w:pPr>
      <w:rPr>
        <w:rFonts w:hint="default"/>
      </w:rPr>
    </w:lvl>
    <w:lvl w:ilvl="4">
      <w:start w:val="1"/>
      <w:numFmt w:val="decimal"/>
      <w:lvlText w:val="%1.%2.%3.%4.%5"/>
      <w:lvlJc w:val="left"/>
      <w:pPr>
        <w:tabs>
          <w:tab w:val="left" w:pos="6180"/>
        </w:tabs>
        <w:ind w:left="6180" w:hanging="1080"/>
      </w:pPr>
      <w:rPr>
        <w:rFonts w:hint="default"/>
      </w:rPr>
    </w:lvl>
    <w:lvl w:ilvl="5">
      <w:start w:val="1"/>
      <w:numFmt w:val="decimal"/>
      <w:lvlText w:val="%1.%2.%3.%4.%5.%6"/>
      <w:lvlJc w:val="left"/>
      <w:pPr>
        <w:tabs>
          <w:tab w:val="left" w:pos="7455"/>
        </w:tabs>
        <w:ind w:left="7455" w:hanging="1080"/>
      </w:pPr>
      <w:rPr>
        <w:rFonts w:hint="default"/>
      </w:rPr>
    </w:lvl>
    <w:lvl w:ilvl="6">
      <w:start w:val="1"/>
      <w:numFmt w:val="decimal"/>
      <w:lvlText w:val="%1.%2.%3.%4.%5.%6.%7"/>
      <w:lvlJc w:val="left"/>
      <w:pPr>
        <w:tabs>
          <w:tab w:val="left" w:pos="9090"/>
        </w:tabs>
        <w:ind w:left="9090" w:hanging="1440"/>
      </w:pPr>
      <w:rPr>
        <w:rFonts w:hint="default"/>
      </w:rPr>
    </w:lvl>
    <w:lvl w:ilvl="7">
      <w:start w:val="1"/>
      <w:numFmt w:val="decimal"/>
      <w:lvlText w:val="%1.%2.%3.%4.%5.%6.%7.%8"/>
      <w:lvlJc w:val="left"/>
      <w:pPr>
        <w:tabs>
          <w:tab w:val="left" w:pos="10365"/>
        </w:tabs>
        <w:ind w:left="10365" w:hanging="1440"/>
      </w:pPr>
      <w:rPr>
        <w:rFonts w:hint="default"/>
      </w:rPr>
    </w:lvl>
    <w:lvl w:ilvl="8">
      <w:start w:val="1"/>
      <w:numFmt w:val="decimal"/>
      <w:lvlText w:val="%1.%2.%3.%4.%5.%6.%7.%8.%9"/>
      <w:lvlJc w:val="left"/>
      <w:pPr>
        <w:tabs>
          <w:tab w:val="left" w:pos="12000"/>
        </w:tabs>
        <w:ind w:left="12000" w:hanging="1800"/>
      </w:pPr>
      <w:rPr>
        <w:rFonts w:hint="default"/>
      </w:rPr>
    </w:lvl>
  </w:abstractNum>
  <w:abstractNum w:abstractNumId="111" w15:restartNumberingAfterBreak="0">
    <w:nsid w:val="603C3290"/>
    <w:multiLevelType w:val="multilevel"/>
    <w:tmpl w:val="603C3290"/>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04504AD"/>
    <w:multiLevelType w:val="multilevel"/>
    <w:tmpl w:val="604504AD"/>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1EE302A"/>
    <w:multiLevelType w:val="multilevel"/>
    <w:tmpl w:val="61EE302A"/>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28B3F6F"/>
    <w:multiLevelType w:val="multilevel"/>
    <w:tmpl w:val="628B3F6F"/>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5" w15:restartNumberingAfterBreak="0">
    <w:nsid w:val="6923436B"/>
    <w:multiLevelType w:val="multilevel"/>
    <w:tmpl w:val="6923436B"/>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A1A2D55"/>
    <w:multiLevelType w:val="multilevel"/>
    <w:tmpl w:val="6A1A2D55"/>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7" w15:restartNumberingAfterBreak="0">
    <w:nsid w:val="6A853F44"/>
    <w:multiLevelType w:val="multilevel"/>
    <w:tmpl w:val="6A853F44"/>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8" w15:restartNumberingAfterBreak="0">
    <w:nsid w:val="6BF9055A"/>
    <w:multiLevelType w:val="multilevel"/>
    <w:tmpl w:val="6BF9055A"/>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DD5485B"/>
    <w:multiLevelType w:val="multilevel"/>
    <w:tmpl w:val="6DD5485B"/>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EA6279B"/>
    <w:multiLevelType w:val="multilevel"/>
    <w:tmpl w:val="6EA627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F241318"/>
    <w:multiLevelType w:val="multilevel"/>
    <w:tmpl w:val="6F241318"/>
    <w:lvl w:ilvl="0">
      <w:start w:val="1"/>
      <w:numFmt w:val="lowerLetter"/>
      <w:lvlText w:val="%1)"/>
      <w:lvlJc w:val="left"/>
      <w:pPr>
        <w:tabs>
          <w:tab w:val="left" w:pos="851"/>
        </w:tabs>
        <w:ind w:left="85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2" w15:restartNumberingAfterBreak="0">
    <w:nsid w:val="6FFE3E76"/>
    <w:multiLevelType w:val="multilevel"/>
    <w:tmpl w:val="6FFE3E76"/>
    <w:lvl w:ilvl="0">
      <w:start w:val="1"/>
      <w:numFmt w:val="lowerRoman"/>
      <w:lvlText w:val="%1)"/>
      <w:lvlJc w:val="left"/>
      <w:pPr>
        <w:ind w:left="1701" w:hanging="425"/>
      </w:pPr>
      <w:rPr>
        <w:rFonts w:hint="default"/>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3" w15:restartNumberingAfterBreak="0">
    <w:nsid w:val="719B1184"/>
    <w:multiLevelType w:val="multilevel"/>
    <w:tmpl w:val="719B1184"/>
    <w:lvl w:ilvl="0">
      <w:start w:val="1"/>
      <w:numFmt w:val="lowerLetter"/>
      <w:lvlText w:val="%1)"/>
      <w:lvlJc w:val="left"/>
      <w:pPr>
        <w:ind w:left="851"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22C46BF"/>
    <w:multiLevelType w:val="multilevel"/>
    <w:tmpl w:val="722C46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2A15985"/>
    <w:multiLevelType w:val="multilevel"/>
    <w:tmpl w:val="72A1598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32E7EEC"/>
    <w:multiLevelType w:val="multilevel"/>
    <w:tmpl w:val="732E7EEC"/>
    <w:lvl w:ilvl="0">
      <w:start w:val="1"/>
      <w:numFmt w:val="decimal"/>
      <w:lvlText w:val="%1."/>
      <w:lvlJc w:val="left"/>
      <w:pPr>
        <w:ind w:left="720" w:hanging="360"/>
      </w:pPr>
    </w:lvl>
    <w:lvl w:ilvl="1">
      <w:start w:val="1"/>
      <w:numFmt w:val="lowerLetter"/>
      <w:lvlText w:val="%2)"/>
      <w:lvlJc w:val="left"/>
      <w:pPr>
        <w:ind w:left="786" w:hanging="360"/>
      </w:pPr>
    </w:lvl>
    <w:lvl w:ilvl="2">
      <w:start w:val="1"/>
      <w:numFmt w:val="lowerLetter"/>
      <w:lvlText w:val="%3)"/>
      <w:lvlJc w:val="left"/>
      <w:pPr>
        <w:tabs>
          <w:tab w:val="left" w:pos="1134"/>
        </w:tabs>
        <w:ind w:left="1134" w:hanging="283"/>
      </w:pPr>
      <w:rPr>
        <w:rFonts w:hint="default"/>
      </w:rPr>
    </w:lvl>
    <w:lvl w:ilvl="3">
      <w:start w:val="1"/>
      <w:numFmt w:val="decimal"/>
      <w:lvlText w:val="%4."/>
      <w:lvlJc w:val="left"/>
      <w:pPr>
        <w:ind w:left="2880" w:hanging="360"/>
      </w:pPr>
    </w:lvl>
    <w:lvl w:ilvl="4">
      <w:start w:val="1"/>
      <w:numFmt w:val="lowerRoman"/>
      <w:lvlText w:val="(%5)"/>
      <w:lvlJc w:val="left"/>
      <w:pPr>
        <w:ind w:left="3960" w:hanging="720"/>
      </w:pPr>
      <w:rPr>
        <w:rFonts w:hint="default"/>
      </w:rPr>
    </w:lvl>
    <w:lvl w:ilvl="5">
      <w:start w:val="1"/>
      <w:numFmt w:val="lowerLetter"/>
      <w:lvlText w:val="%6)"/>
      <w:lvlJc w:val="left"/>
      <w:pPr>
        <w:ind w:left="4500" w:hanging="360"/>
      </w:pPr>
      <w:rPr>
        <w:rFonts w:ascii="Arial Narrow" w:hAnsi="Arial Narrow" w:cs="Arial" w:hint="default"/>
      </w:rPr>
    </w:lvl>
    <w:lvl w:ilvl="6">
      <w:start w:val="1"/>
      <w:numFmt w:val="lowerRoman"/>
      <w:lvlText w:val="%7."/>
      <w:lvlJc w:val="left"/>
      <w:pPr>
        <w:ind w:left="5400" w:hanging="72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3B414CD"/>
    <w:multiLevelType w:val="multilevel"/>
    <w:tmpl w:val="73B414C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6601A9D"/>
    <w:multiLevelType w:val="multilevel"/>
    <w:tmpl w:val="76601A9D"/>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71939DF"/>
    <w:multiLevelType w:val="multilevel"/>
    <w:tmpl w:val="771939DF"/>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82B4CAE"/>
    <w:multiLevelType w:val="multilevel"/>
    <w:tmpl w:val="782B4CAE"/>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ABA73B1"/>
    <w:multiLevelType w:val="multilevel"/>
    <w:tmpl w:val="7ABA73B1"/>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AD17DFC"/>
    <w:multiLevelType w:val="multilevel"/>
    <w:tmpl w:val="7AD17DFC"/>
    <w:lvl w:ilvl="0">
      <w:start w:val="1"/>
      <w:numFmt w:val="lowerLetter"/>
      <w:lvlText w:val="%1)"/>
      <w:lvlJc w:val="lef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B0005D9"/>
    <w:multiLevelType w:val="multilevel"/>
    <w:tmpl w:val="7B0005D9"/>
    <w:lvl w:ilvl="0">
      <w:start w:val="1"/>
      <w:numFmt w:val="lowerRoman"/>
      <w:lvlText w:val="%1)"/>
      <w:lvlJc w:val="left"/>
      <w:pPr>
        <w:ind w:left="1701" w:hanging="42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4" w15:restartNumberingAfterBreak="0">
    <w:nsid w:val="7F7323D9"/>
    <w:multiLevelType w:val="multilevel"/>
    <w:tmpl w:val="7F7323D9"/>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8817040">
    <w:abstractNumId w:val="107"/>
  </w:num>
  <w:num w:numId="2" w16cid:durableId="1553493136">
    <w:abstractNumId w:val="71"/>
  </w:num>
  <w:num w:numId="3" w16cid:durableId="2101681970">
    <w:abstractNumId w:val="110"/>
  </w:num>
  <w:num w:numId="4" w16cid:durableId="1535196740">
    <w:abstractNumId w:val="55"/>
  </w:num>
  <w:num w:numId="5" w16cid:durableId="1336803704">
    <w:abstractNumId w:val="105"/>
  </w:num>
  <w:num w:numId="6" w16cid:durableId="1079327316">
    <w:abstractNumId w:val="123"/>
  </w:num>
  <w:num w:numId="7" w16cid:durableId="1011377527">
    <w:abstractNumId w:val="84"/>
  </w:num>
  <w:num w:numId="8" w16cid:durableId="1310475454">
    <w:abstractNumId w:val="50"/>
  </w:num>
  <w:num w:numId="9" w16cid:durableId="1160729122">
    <w:abstractNumId w:val="92"/>
  </w:num>
  <w:num w:numId="10" w16cid:durableId="653921162">
    <w:abstractNumId w:val="70"/>
  </w:num>
  <w:num w:numId="11" w16cid:durableId="1311130284">
    <w:abstractNumId w:val="22"/>
  </w:num>
  <w:num w:numId="12" w16cid:durableId="471026704">
    <w:abstractNumId w:val="86"/>
  </w:num>
  <w:num w:numId="13" w16cid:durableId="1020813087">
    <w:abstractNumId w:val="121"/>
  </w:num>
  <w:num w:numId="14" w16cid:durableId="768697000">
    <w:abstractNumId w:val="66"/>
  </w:num>
  <w:num w:numId="15" w16cid:durableId="1058673816">
    <w:abstractNumId w:val="100"/>
  </w:num>
  <w:num w:numId="16" w16cid:durableId="1246888317">
    <w:abstractNumId w:val="78"/>
  </w:num>
  <w:num w:numId="17" w16cid:durableId="1966422438">
    <w:abstractNumId w:val="3"/>
  </w:num>
  <w:num w:numId="18" w16cid:durableId="287274510">
    <w:abstractNumId w:val="31"/>
  </w:num>
  <w:num w:numId="19" w16cid:durableId="1074474812">
    <w:abstractNumId w:val="126"/>
  </w:num>
  <w:num w:numId="20" w16cid:durableId="1899975815">
    <w:abstractNumId w:val="38"/>
  </w:num>
  <w:num w:numId="21" w16cid:durableId="1637687223">
    <w:abstractNumId w:val="90"/>
  </w:num>
  <w:num w:numId="22" w16cid:durableId="783691331">
    <w:abstractNumId w:val="2"/>
  </w:num>
  <w:num w:numId="23" w16cid:durableId="564800470">
    <w:abstractNumId w:val="28"/>
  </w:num>
  <w:num w:numId="24" w16cid:durableId="275452448">
    <w:abstractNumId w:val="97"/>
  </w:num>
  <w:num w:numId="25" w16cid:durableId="278413699">
    <w:abstractNumId w:val="35"/>
  </w:num>
  <w:num w:numId="26" w16cid:durableId="889268351">
    <w:abstractNumId w:val="103"/>
  </w:num>
  <w:num w:numId="27" w16cid:durableId="1529249591">
    <w:abstractNumId w:val="13"/>
  </w:num>
  <w:num w:numId="28" w16cid:durableId="1464881137">
    <w:abstractNumId w:val="134"/>
  </w:num>
  <w:num w:numId="29" w16cid:durableId="1864828126">
    <w:abstractNumId w:val="34"/>
  </w:num>
  <w:num w:numId="30" w16cid:durableId="443306377">
    <w:abstractNumId w:val="0"/>
  </w:num>
  <w:num w:numId="31" w16cid:durableId="2555939">
    <w:abstractNumId w:val="82"/>
  </w:num>
  <w:num w:numId="32" w16cid:durableId="1478035039">
    <w:abstractNumId w:val="43"/>
  </w:num>
  <w:num w:numId="33" w16cid:durableId="2094159149">
    <w:abstractNumId w:val="53"/>
  </w:num>
  <w:num w:numId="34" w16cid:durableId="1136605017">
    <w:abstractNumId w:val="106"/>
  </w:num>
  <w:num w:numId="35" w16cid:durableId="2059666690">
    <w:abstractNumId w:val="80"/>
  </w:num>
  <w:num w:numId="36" w16cid:durableId="1613174232">
    <w:abstractNumId w:val="20"/>
  </w:num>
  <w:num w:numId="37" w16cid:durableId="605618939">
    <w:abstractNumId w:val="72"/>
  </w:num>
  <w:num w:numId="38" w16cid:durableId="7173627">
    <w:abstractNumId w:val="67"/>
  </w:num>
  <w:num w:numId="39" w16cid:durableId="682393104">
    <w:abstractNumId w:val="15"/>
  </w:num>
  <w:num w:numId="40" w16cid:durableId="101340744">
    <w:abstractNumId w:val="73"/>
  </w:num>
  <w:num w:numId="41" w16cid:durableId="1066605806">
    <w:abstractNumId w:val="64"/>
  </w:num>
  <w:num w:numId="42" w16cid:durableId="813260442">
    <w:abstractNumId w:val="89"/>
  </w:num>
  <w:num w:numId="43" w16cid:durableId="1970698042">
    <w:abstractNumId w:val="27"/>
  </w:num>
  <w:num w:numId="44" w16cid:durableId="1782648324">
    <w:abstractNumId w:val="25"/>
  </w:num>
  <w:num w:numId="45" w16cid:durableId="1572353065">
    <w:abstractNumId w:val="52"/>
  </w:num>
  <w:num w:numId="46" w16cid:durableId="1243636533">
    <w:abstractNumId w:val="36"/>
  </w:num>
  <w:num w:numId="47" w16cid:durableId="1605843203">
    <w:abstractNumId w:val="41"/>
  </w:num>
  <w:num w:numId="48" w16cid:durableId="1932010714">
    <w:abstractNumId w:val="32"/>
  </w:num>
  <w:num w:numId="49" w16cid:durableId="664628649">
    <w:abstractNumId w:val="23"/>
  </w:num>
  <w:num w:numId="50" w16cid:durableId="1416704643">
    <w:abstractNumId w:val="58"/>
  </w:num>
  <w:num w:numId="51" w16cid:durableId="1957250366">
    <w:abstractNumId w:val="127"/>
  </w:num>
  <w:num w:numId="52" w16cid:durableId="730886105">
    <w:abstractNumId w:val="14"/>
  </w:num>
  <w:num w:numId="53" w16cid:durableId="1078215708">
    <w:abstractNumId w:val="93"/>
  </w:num>
  <w:num w:numId="54" w16cid:durableId="2009747667">
    <w:abstractNumId w:val="95"/>
  </w:num>
  <w:num w:numId="55" w16cid:durableId="1383290017">
    <w:abstractNumId w:val="61"/>
  </w:num>
  <w:num w:numId="56" w16cid:durableId="1765766035">
    <w:abstractNumId w:val="124"/>
  </w:num>
  <w:num w:numId="57" w16cid:durableId="1794322870">
    <w:abstractNumId w:val="77"/>
  </w:num>
  <w:num w:numId="58" w16cid:durableId="410471189">
    <w:abstractNumId w:val="120"/>
  </w:num>
  <w:num w:numId="59" w16cid:durableId="2114934916">
    <w:abstractNumId w:val="39"/>
  </w:num>
  <w:num w:numId="60" w16cid:durableId="736822323">
    <w:abstractNumId w:val="125"/>
  </w:num>
  <w:num w:numId="61" w16cid:durableId="347296561">
    <w:abstractNumId w:val="10"/>
  </w:num>
  <w:num w:numId="62" w16cid:durableId="1498115383">
    <w:abstractNumId w:val="109"/>
  </w:num>
  <w:num w:numId="63" w16cid:durableId="407968483">
    <w:abstractNumId w:val="131"/>
  </w:num>
  <w:num w:numId="64" w16cid:durableId="1132599433">
    <w:abstractNumId w:val="11"/>
  </w:num>
  <w:num w:numId="65" w16cid:durableId="1759935197">
    <w:abstractNumId w:val="30"/>
  </w:num>
  <w:num w:numId="66" w16cid:durableId="1349217130">
    <w:abstractNumId w:val="16"/>
  </w:num>
  <w:num w:numId="67" w16cid:durableId="1643315864">
    <w:abstractNumId w:val="132"/>
  </w:num>
  <w:num w:numId="68" w16cid:durableId="2053071613">
    <w:abstractNumId w:val="112"/>
  </w:num>
  <w:num w:numId="69" w16cid:durableId="14887969">
    <w:abstractNumId w:val="40"/>
  </w:num>
  <w:num w:numId="70" w16cid:durableId="790708601">
    <w:abstractNumId w:val="46"/>
  </w:num>
  <w:num w:numId="71" w16cid:durableId="348338192">
    <w:abstractNumId w:val="7"/>
  </w:num>
  <w:num w:numId="72" w16cid:durableId="1403984973">
    <w:abstractNumId w:val="12"/>
  </w:num>
  <w:num w:numId="73" w16cid:durableId="661662814">
    <w:abstractNumId w:val="9"/>
  </w:num>
  <w:num w:numId="74" w16cid:durableId="1991866664">
    <w:abstractNumId w:val="99"/>
  </w:num>
  <w:num w:numId="75" w16cid:durableId="782190256">
    <w:abstractNumId w:val="130"/>
  </w:num>
  <w:num w:numId="76" w16cid:durableId="1616524959">
    <w:abstractNumId w:val="118"/>
  </w:num>
  <w:num w:numId="77" w16cid:durableId="1620531253">
    <w:abstractNumId w:val="62"/>
  </w:num>
  <w:num w:numId="78" w16cid:durableId="1327980541">
    <w:abstractNumId w:val="56"/>
  </w:num>
  <w:num w:numId="79" w16cid:durableId="595478410">
    <w:abstractNumId w:val="101"/>
  </w:num>
  <w:num w:numId="80" w16cid:durableId="182746991">
    <w:abstractNumId w:val="87"/>
  </w:num>
  <w:num w:numId="81" w16cid:durableId="1461611494">
    <w:abstractNumId w:val="5"/>
  </w:num>
  <w:num w:numId="82" w16cid:durableId="2133405091">
    <w:abstractNumId w:val="133"/>
  </w:num>
  <w:num w:numId="83" w16cid:durableId="488374837">
    <w:abstractNumId w:val="74"/>
  </w:num>
  <w:num w:numId="84" w16cid:durableId="348408891">
    <w:abstractNumId w:val="60"/>
  </w:num>
  <w:num w:numId="85" w16cid:durableId="747045494">
    <w:abstractNumId w:val="19"/>
  </w:num>
  <w:num w:numId="86" w16cid:durableId="1389650381">
    <w:abstractNumId w:val="47"/>
  </w:num>
  <w:num w:numId="87" w16cid:durableId="1847596034">
    <w:abstractNumId w:val="18"/>
  </w:num>
  <w:num w:numId="88" w16cid:durableId="905840671">
    <w:abstractNumId w:val="91"/>
  </w:num>
  <w:num w:numId="89" w16cid:durableId="1136068243">
    <w:abstractNumId w:val="104"/>
  </w:num>
  <w:num w:numId="90" w16cid:durableId="1333875965">
    <w:abstractNumId w:val="81"/>
  </w:num>
  <w:num w:numId="91" w16cid:durableId="296380207">
    <w:abstractNumId w:val="129"/>
  </w:num>
  <w:num w:numId="92" w16cid:durableId="1887377591">
    <w:abstractNumId w:val="108"/>
  </w:num>
  <w:num w:numId="93" w16cid:durableId="686101919">
    <w:abstractNumId w:val="4"/>
  </w:num>
  <w:num w:numId="94" w16cid:durableId="1182890875">
    <w:abstractNumId w:val="57"/>
  </w:num>
  <w:num w:numId="95" w16cid:durableId="1927038356">
    <w:abstractNumId w:val="85"/>
  </w:num>
  <w:num w:numId="96" w16cid:durableId="1731684930">
    <w:abstractNumId w:val="6"/>
  </w:num>
  <w:num w:numId="97" w16cid:durableId="1594700832">
    <w:abstractNumId w:val="51"/>
  </w:num>
  <w:num w:numId="98" w16cid:durableId="92820112">
    <w:abstractNumId w:val="59"/>
  </w:num>
  <w:num w:numId="99" w16cid:durableId="130364849">
    <w:abstractNumId w:val="8"/>
  </w:num>
  <w:num w:numId="100" w16cid:durableId="770784625">
    <w:abstractNumId w:val="79"/>
  </w:num>
  <w:num w:numId="101" w16cid:durableId="732119519">
    <w:abstractNumId w:val="75"/>
  </w:num>
  <w:num w:numId="102" w16cid:durableId="586577281">
    <w:abstractNumId w:val="65"/>
  </w:num>
  <w:num w:numId="103" w16cid:durableId="1345941183">
    <w:abstractNumId w:val="49"/>
  </w:num>
  <w:num w:numId="104" w16cid:durableId="1125663114">
    <w:abstractNumId w:val="29"/>
  </w:num>
  <w:num w:numId="105" w16cid:durableId="852651171">
    <w:abstractNumId w:val="116"/>
  </w:num>
  <w:num w:numId="106" w16cid:durableId="766080542">
    <w:abstractNumId w:val="24"/>
  </w:num>
  <w:num w:numId="107" w16cid:durableId="1628778593">
    <w:abstractNumId w:val="122"/>
  </w:num>
  <w:num w:numId="108" w16cid:durableId="996227926">
    <w:abstractNumId w:val="44"/>
  </w:num>
  <w:num w:numId="109" w16cid:durableId="1481656794">
    <w:abstractNumId w:val="48"/>
  </w:num>
  <w:num w:numId="110" w16cid:durableId="1586457510">
    <w:abstractNumId w:val="21"/>
  </w:num>
  <w:num w:numId="111" w16cid:durableId="2057391340">
    <w:abstractNumId w:val="117"/>
  </w:num>
  <w:num w:numId="112" w16cid:durableId="724181661">
    <w:abstractNumId w:val="63"/>
  </w:num>
  <w:num w:numId="113" w16cid:durableId="595404969">
    <w:abstractNumId w:val="83"/>
  </w:num>
  <w:num w:numId="114" w16cid:durableId="1173371733">
    <w:abstractNumId w:val="113"/>
  </w:num>
  <w:num w:numId="115" w16cid:durableId="828521480">
    <w:abstractNumId w:val="128"/>
  </w:num>
  <w:num w:numId="116" w16cid:durableId="1085299705">
    <w:abstractNumId w:val="115"/>
  </w:num>
  <w:num w:numId="117" w16cid:durableId="1789162362">
    <w:abstractNumId w:val="1"/>
  </w:num>
  <w:num w:numId="118" w16cid:durableId="1751930153">
    <w:abstractNumId w:val="54"/>
  </w:num>
  <w:num w:numId="119" w16cid:durableId="1113550640">
    <w:abstractNumId w:val="98"/>
  </w:num>
  <w:num w:numId="120" w16cid:durableId="1460150584">
    <w:abstractNumId w:val="42"/>
  </w:num>
  <w:num w:numId="121" w16cid:durableId="1821774121">
    <w:abstractNumId w:val="102"/>
  </w:num>
  <w:num w:numId="122" w16cid:durableId="268002839">
    <w:abstractNumId w:val="76"/>
  </w:num>
  <w:num w:numId="123" w16cid:durableId="214706364">
    <w:abstractNumId w:val="33"/>
  </w:num>
  <w:num w:numId="124" w16cid:durableId="2126541134">
    <w:abstractNumId w:val="17"/>
  </w:num>
  <w:num w:numId="125" w16cid:durableId="1823039481">
    <w:abstractNumId w:val="119"/>
  </w:num>
  <w:num w:numId="126" w16cid:durableId="808979906">
    <w:abstractNumId w:val="114"/>
  </w:num>
  <w:num w:numId="127" w16cid:durableId="1003167287">
    <w:abstractNumId w:val="26"/>
  </w:num>
  <w:num w:numId="128" w16cid:durableId="967585645">
    <w:abstractNumId w:val="94"/>
  </w:num>
  <w:num w:numId="129" w16cid:durableId="872577147">
    <w:abstractNumId w:val="45"/>
  </w:num>
  <w:num w:numId="130" w16cid:durableId="1673140423">
    <w:abstractNumId w:val="111"/>
  </w:num>
  <w:num w:numId="131" w16cid:durableId="802041012">
    <w:abstractNumId w:val="37"/>
  </w:num>
  <w:num w:numId="132" w16cid:durableId="855844292">
    <w:abstractNumId w:val="68"/>
  </w:num>
  <w:num w:numId="133" w16cid:durableId="1788811043">
    <w:abstractNumId w:val="88"/>
  </w:num>
  <w:num w:numId="134" w16cid:durableId="974677451">
    <w:abstractNumId w:val="96"/>
  </w:num>
  <w:num w:numId="135" w16cid:durableId="180238130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18"/>
    <w:rsid w:val="0000677F"/>
    <w:rsid w:val="00276F96"/>
    <w:rsid w:val="002D4CF9"/>
    <w:rsid w:val="00383E62"/>
    <w:rsid w:val="00385B9F"/>
    <w:rsid w:val="0040471F"/>
    <w:rsid w:val="0045580D"/>
    <w:rsid w:val="00512F88"/>
    <w:rsid w:val="00516D80"/>
    <w:rsid w:val="005328D5"/>
    <w:rsid w:val="005A7CA9"/>
    <w:rsid w:val="005A7F81"/>
    <w:rsid w:val="006057EB"/>
    <w:rsid w:val="00631659"/>
    <w:rsid w:val="006E267F"/>
    <w:rsid w:val="00712EF3"/>
    <w:rsid w:val="00747196"/>
    <w:rsid w:val="00811C93"/>
    <w:rsid w:val="0086181F"/>
    <w:rsid w:val="008748C1"/>
    <w:rsid w:val="008D7289"/>
    <w:rsid w:val="00A13721"/>
    <w:rsid w:val="00BB7D2B"/>
    <w:rsid w:val="00BF2D20"/>
    <w:rsid w:val="00CD7A8F"/>
    <w:rsid w:val="00D03AD7"/>
    <w:rsid w:val="00D0660B"/>
    <w:rsid w:val="00D5371A"/>
    <w:rsid w:val="00DE3A1A"/>
    <w:rsid w:val="00E813CE"/>
    <w:rsid w:val="00F70B1D"/>
    <w:rsid w:val="00FA1018"/>
    <w:rsid w:val="778D5BD6"/>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0CFA"/>
  <w15:docId w15:val="{FBA25B21-986D-4D3F-A7D4-0DAD7ACD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lsdException w:name="List Continue" w:semiHidden="1" w:unhideWhenUsed="1"/>
    <w:lsdException w:name="List Continue 2" w:semiHidden="1" w:unhideWhenUsed="1"/>
    <w:lsdException w:name="List Continue 3"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lsdException w:name="Note Heading" w:uiPriority="0"/>
    <w:lsdException w:name="Body Text 2" w:unhideWhenUsed="1"/>
    <w:lsdException w:name="Body Text 3" w:uiPriority="0"/>
    <w:lsdException w:name="Body Text Indent 2" w:uiPriority="0"/>
    <w:lsdException w:name="Body Text Indent 3" w:uiPriority="0"/>
    <w:lsdException w:name="Block Text" w:uiPriority="0"/>
    <w:lsdException w:name="Hyperlink" w:unhideWhenUsed="1" w:qFormat="1"/>
    <w:lsdException w:name="FollowedHyperlink" w:unhideWhenUsed="1"/>
    <w:lsdException w:name="Strong" w:uiPriority="22" w:qFormat="1"/>
    <w:lsdException w:name="Emphasis" w:uiPriority="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Narrow" w:hAnsi="Arial Narrow"/>
      <w:sz w:val="22"/>
      <w:szCs w:val="22"/>
      <w:lang w:eastAsia="en-US"/>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rPr>
      <w:vertAlign w:val="superscript"/>
    </w:rPr>
  </w:style>
  <w:style w:type="character" w:styleId="Refdecomentario">
    <w:name w:val="annotation reference"/>
    <w:basedOn w:val="Fuentedeprrafopredeter"/>
    <w:uiPriority w:val="99"/>
    <w:unhideWhenUsed/>
    <w:qFormat/>
    <w:rPr>
      <w:sz w:val="16"/>
      <w:szCs w:val="16"/>
    </w:rPr>
  </w:style>
  <w:style w:type="character" w:styleId="Refdenotaalpie">
    <w:name w:val="footnote reference"/>
    <w:qFormat/>
    <w:rPr>
      <w:vertAlign w:val="superscript"/>
    </w:rPr>
  </w:style>
  <w:style w:type="character" w:styleId="nfasis">
    <w:name w:val="Emphasis"/>
    <w:qFormat/>
    <w:rPr>
      <w:i/>
      <w:iCs/>
    </w:rPr>
  </w:style>
  <w:style w:type="character" w:styleId="Hipervnculo">
    <w:name w:val="Hyperlink"/>
    <w:basedOn w:val="Fuentedeprrafopredeter"/>
    <w:uiPriority w:val="99"/>
    <w:unhideWhenUsed/>
    <w:qFormat/>
    <w:rPr>
      <w:color w:val="467886" w:themeColor="hyperlink"/>
      <w:u w:val="single"/>
    </w:rPr>
  </w:style>
  <w:style w:type="character" w:styleId="Hipervnculovisitado">
    <w:name w:val="FollowedHyperlink"/>
    <w:basedOn w:val="Fuentedeprrafopredeter"/>
    <w:uiPriority w:val="99"/>
    <w:unhideWhenUsed/>
    <w:rPr>
      <w:color w:val="96607D" w:themeColor="followedHyperlink"/>
      <w:u w:val="single"/>
    </w:rPr>
  </w:style>
  <w:style w:type="character" w:styleId="Nmerodepgina">
    <w:name w:val="page number"/>
    <w:basedOn w:val="Fuentedeprrafopredeter"/>
  </w:style>
  <w:style w:type="paragraph" w:styleId="TDC3">
    <w:name w:val="toc 3"/>
    <w:basedOn w:val="Normal"/>
    <w:next w:val="Normal"/>
    <w:autoRedefine/>
    <w:uiPriority w:val="39"/>
    <w:unhideWhenUsed/>
    <w:qFormat/>
    <w:pPr>
      <w:tabs>
        <w:tab w:val="left" w:pos="993"/>
        <w:tab w:val="right" w:leader="dot" w:pos="8494"/>
      </w:tabs>
      <w:spacing w:after="100" w:line="259" w:lineRule="auto"/>
      <w:ind w:left="709"/>
    </w:pPr>
    <w:rPr>
      <w:rFonts w:asciiTheme="minorHAnsi" w:hAnsiTheme="minorHAnsi"/>
    </w:rPr>
  </w:style>
  <w:style w:type="paragraph" w:styleId="Textonotapie">
    <w:name w:val="footnote text"/>
    <w:basedOn w:val="Normal"/>
    <w:link w:val="TextonotapieCar"/>
    <w:qFormat/>
    <w:pPr>
      <w:spacing w:after="0" w:line="240" w:lineRule="auto"/>
    </w:pPr>
    <w:rPr>
      <w:rFonts w:ascii="Arial" w:eastAsia="Times New Roman" w:hAnsi="Arial" w:cs="Times New Roman"/>
      <w:sz w:val="20"/>
      <w:szCs w:val="20"/>
      <w:lang w:eastAsia="es-ES"/>
    </w:rPr>
  </w:style>
  <w:style w:type="paragraph" w:styleId="TDC9">
    <w:name w:val="toc 9"/>
    <w:basedOn w:val="Normal"/>
    <w:next w:val="Normal"/>
    <w:autoRedefine/>
    <w:uiPriority w:val="39"/>
    <w:unhideWhenUsed/>
    <w:pPr>
      <w:spacing w:after="100" w:line="278" w:lineRule="auto"/>
      <w:ind w:left="1920"/>
    </w:pPr>
    <w:rPr>
      <w:rFonts w:asciiTheme="minorHAnsi" w:eastAsiaTheme="minorEastAsia" w:hAnsiTheme="minorHAnsi"/>
      <w:kern w:val="2"/>
      <w:sz w:val="24"/>
      <w:szCs w:val="24"/>
      <w:lang w:eastAsia="es-PE"/>
      <w14:ligatures w14:val="standardContextual"/>
    </w:rPr>
  </w:style>
  <w:style w:type="paragraph" w:styleId="TDC7">
    <w:name w:val="toc 7"/>
    <w:basedOn w:val="Normal"/>
    <w:next w:val="Normal"/>
    <w:autoRedefine/>
    <w:uiPriority w:val="39"/>
    <w:unhideWhenUsed/>
    <w:pPr>
      <w:spacing w:after="100" w:line="278" w:lineRule="auto"/>
      <w:ind w:left="1440"/>
    </w:pPr>
    <w:rPr>
      <w:rFonts w:asciiTheme="minorHAnsi" w:eastAsiaTheme="minorEastAsia" w:hAnsiTheme="minorHAnsi"/>
      <w:kern w:val="2"/>
      <w:sz w:val="24"/>
      <w:szCs w:val="24"/>
      <w:lang w:eastAsia="es-PE"/>
      <w14:ligatures w14:val="standardContextual"/>
    </w:rPr>
  </w:style>
  <w:style w:type="paragraph" w:styleId="TDC1">
    <w:name w:val="toc 1"/>
    <w:basedOn w:val="Normal"/>
    <w:next w:val="Normal"/>
    <w:autoRedefine/>
    <w:uiPriority w:val="39"/>
    <w:unhideWhenUsed/>
    <w:qFormat/>
    <w:pPr>
      <w:tabs>
        <w:tab w:val="right" w:leader="dot" w:pos="8494"/>
      </w:tabs>
      <w:spacing w:after="100" w:line="259" w:lineRule="auto"/>
    </w:pPr>
    <w:rPr>
      <w:b/>
      <w:bCs/>
    </w:rPr>
  </w:style>
  <w:style w:type="paragraph" w:styleId="Mapadeldocumento">
    <w:name w:val="Document Map"/>
    <w:basedOn w:val="Normal"/>
    <w:link w:val="MapadeldocumentoCar"/>
    <w:semiHidden/>
    <w:pPr>
      <w:shd w:val="clear" w:color="auto" w:fill="000080"/>
      <w:spacing w:after="0" w:line="240" w:lineRule="auto"/>
    </w:pPr>
    <w:rPr>
      <w:rFonts w:ascii="Tahoma" w:eastAsia="Times New Roman" w:hAnsi="Tahoma" w:cs="Tahoma"/>
      <w:sz w:val="20"/>
      <w:szCs w:val="20"/>
      <w:lang w:eastAsia="es-ES"/>
    </w:rPr>
  </w:style>
  <w:style w:type="paragraph" w:styleId="TDC8">
    <w:name w:val="toc 8"/>
    <w:basedOn w:val="Normal"/>
    <w:next w:val="Normal"/>
    <w:autoRedefine/>
    <w:uiPriority w:val="39"/>
    <w:unhideWhenUsed/>
    <w:pPr>
      <w:spacing w:after="100" w:line="278" w:lineRule="auto"/>
      <w:ind w:left="1680"/>
    </w:pPr>
    <w:rPr>
      <w:rFonts w:asciiTheme="minorHAnsi" w:eastAsiaTheme="minorEastAsia" w:hAnsiTheme="minorHAnsi"/>
      <w:kern w:val="2"/>
      <w:sz w:val="24"/>
      <w:szCs w:val="24"/>
      <w:lang w:eastAsia="es-PE"/>
      <w14:ligatures w14:val="standardContextual"/>
    </w:rPr>
  </w:style>
  <w:style w:type="paragraph" w:styleId="TDC2">
    <w:name w:val="toc 2"/>
    <w:basedOn w:val="Normal"/>
    <w:next w:val="Normal"/>
    <w:autoRedefine/>
    <w:uiPriority w:val="39"/>
    <w:unhideWhenUsed/>
    <w:qFormat/>
    <w:pPr>
      <w:tabs>
        <w:tab w:val="left" w:pos="709"/>
        <w:tab w:val="right" w:leader="dot" w:pos="8494"/>
      </w:tabs>
      <w:spacing w:after="100" w:line="259" w:lineRule="auto"/>
      <w:ind w:left="220"/>
    </w:pPr>
    <w:rPr>
      <w:rFonts w:asciiTheme="minorHAnsi" w:hAnsiTheme="minorHAnsi"/>
    </w:rPr>
  </w:style>
  <w:style w:type="paragraph" w:styleId="Textonotaalfinal">
    <w:name w:val="endnote text"/>
    <w:basedOn w:val="Normal"/>
    <w:link w:val="TextonotaalfinalCar"/>
    <w:pPr>
      <w:spacing w:after="0" w:line="240" w:lineRule="auto"/>
    </w:pPr>
    <w:rPr>
      <w:rFonts w:ascii="Times New Roman" w:eastAsia="Times New Roman" w:hAnsi="Times New Roman" w:cs="Times New Roman"/>
      <w:sz w:val="20"/>
      <w:szCs w:val="20"/>
      <w:lang w:eastAsia="es-ES"/>
    </w:rPr>
  </w:style>
  <w:style w:type="paragraph" w:styleId="Continuarlista3">
    <w:name w:val="List Continue 3"/>
    <w:basedOn w:val="Normal"/>
    <w:pPr>
      <w:spacing w:after="120" w:line="240" w:lineRule="auto"/>
      <w:ind w:left="849"/>
    </w:pPr>
    <w:rPr>
      <w:rFonts w:eastAsia="Times New Roman" w:cs="Times New Roman"/>
      <w:szCs w:val="20"/>
      <w:lang w:eastAsia="es-ES"/>
    </w:rPr>
  </w:style>
  <w:style w:type="paragraph" w:styleId="Asuntodelcomentario">
    <w:name w:val="annotation subject"/>
    <w:basedOn w:val="Textocomentario"/>
    <w:next w:val="Textocomentario"/>
    <w:link w:val="AsuntodelcomentarioCar"/>
    <w:uiPriority w:val="99"/>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pPr>
      <w:spacing w:after="0" w:line="240" w:lineRule="auto"/>
    </w:pPr>
    <w:rPr>
      <w:rFonts w:ascii="Tahoma" w:eastAsia="Times New Roman" w:hAnsi="Tahoma" w:cs="Tahoma"/>
      <w:sz w:val="16"/>
      <w:szCs w:val="16"/>
      <w:lang w:eastAsia="es-ES"/>
    </w:rPr>
  </w:style>
  <w:style w:type="paragraph" w:styleId="TDC6">
    <w:name w:val="toc 6"/>
    <w:basedOn w:val="Normal"/>
    <w:next w:val="Normal"/>
    <w:autoRedefine/>
    <w:uiPriority w:val="39"/>
    <w:unhideWhenUsed/>
    <w:pPr>
      <w:spacing w:after="100" w:line="278" w:lineRule="auto"/>
      <w:ind w:left="1200"/>
    </w:pPr>
    <w:rPr>
      <w:rFonts w:asciiTheme="minorHAnsi" w:eastAsiaTheme="minorEastAsia" w:hAnsiTheme="minorHAnsi"/>
      <w:kern w:val="2"/>
      <w:sz w:val="24"/>
      <w:szCs w:val="24"/>
      <w:lang w:eastAsia="es-PE"/>
      <w14:ligatures w14:val="standardContextual"/>
    </w:rPr>
  </w:style>
  <w:style w:type="paragraph" w:styleId="TDC5">
    <w:name w:val="toc 5"/>
    <w:basedOn w:val="Normal"/>
    <w:next w:val="Normal"/>
    <w:autoRedefine/>
    <w:uiPriority w:val="39"/>
    <w:unhideWhenUsed/>
    <w:pPr>
      <w:spacing w:after="100" w:line="278" w:lineRule="auto"/>
      <w:ind w:left="960"/>
    </w:pPr>
    <w:rPr>
      <w:rFonts w:asciiTheme="minorHAnsi" w:eastAsiaTheme="minorEastAsia" w:hAnsiTheme="minorHAnsi"/>
      <w:kern w:val="2"/>
      <w:sz w:val="24"/>
      <w:szCs w:val="24"/>
      <w:lang w:eastAsia="es-PE"/>
      <w14:ligatures w14:val="standardContextual"/>
    </w:rPr>
  </w:style>
  <w:style w:type="paragraph" w:styleId="TDC4">
    <w:name w:val="toc 4"/>
    <w:basedOn w:val="Normal"/>
    <w:next w:val="Normal"/>
    <w:autoRedefine/>
    <w:uiPriority w:val="39"/>
    <w:unhideWhenUsed/>
    <w:pPr>
      <w:spacing w:after="100" w:line="278" w:lineRule="auto"/>
      <w:ind w:left="720"/>
    </w:pPr>
    <w:rPr>
      <w:rFonts w:asciiTheme="minorHAnsi" w:eastAsiaTheme="minorEastAsia" w:hAnsiTheme="minorHAnsi"/>
      <w:kern w:val="2"/>
      <w:sz w:val="24"/>
      <w:szCs w:val="24"/>
      <w:lang w:eastAsia="es-PE"/>
      <w14:ligatures w14:val="standardContextual"/>
    </w:rPr>
  </w:style>
  <w:style w:type="paragraph" w:styleId="Textoindependiente2">
    <w:name w:val="Body Text 2"/>
    <w:basedOn w:val="Normal"/>
    <w:link w:val="Textoindependiente2Car"/>
    <w:uiPriority w:val="99"/>
    <w:unhideWhenUsed/>
    <w:pPr>
      <w:spacing w:after="120" w:line="480" w:lineRule="auto"/>
    </w:pPr>
  </w:style>
  <w:style w:type="paragraph" w:styleId="Lista3">
    <w:name w:val="List 3"/>
    <w:basedOn w:val="Normal"/>
    <w:pPr>
      <w:spacing w:after="0" w:line="240" w:lineRule="auto"/>
      <w:ind w:left="849" w:hanging="283"/>
    </w:pPr>
    <w:rPr>
      <w:rFonts w:ascii="Times New Roman" w:eastAsia="Times New Roman" w:hAnsi="Times New Roman" w:cs="Times New Roman"/>
      <w:snapToGrid w:val="0"/>
      <w:sz w:val="20"/>
      <w:szCs w:val="20"/>
      <w:lang w:eastAsia="es-ES"/>
    </w:rPr>
  </w:style>
  <w:style w:type="paragraph" w:styleId="Encabezadodenota">
    <w:name w:val="Note Heading"/>
    <w:basedOn w:val="Normal"/>
    <w:next w:val="Normal"/>
    <w:link w:val="EncabezadodenotaCar"/>
    <w:pPr>
      <w:spacing w:after="0" w:line="240" w:lineRule="auto"/>
    </w:pPr>
    <w:rPr>
      <w:rFonts w:eastAsia="Times New Roman" w:cs="Times New Roman"/>
      <w:szCs w:val="20"/>
      <w:lang w:eastAsia="es-ES"/>
    </w:rPr>
  </w:style>
  <w:style w:type="paragraph" w:styleId="Encabezado">
    <w:name w:val="header"/>
    <w:basedOn w:val="Normal"/>
    <w:link w:val="EncabezadoCar"/>
    <w:uiPriority w:val="99"/>
    <w:unhideWhenUsed/>
    <w:qFormat/>
    <w:pPr>
      <w:tabs>
        <w:tab w:val="center" w:pos="4680"/>
        <w:tab w:val="right" w:pos="9360"/>
      </w:tabs>
      <w:spacing w:after="0" w:line="240" w:lineRule="auto"/>
    </w:pPr>
    <w:rPr>
      <w:rFonts w:asciiTheme="minorHAnsi" w:hAnsiTheme="minorHAnsi"/>
    </w:rPr>
  </w:style>
  <w:style w:type="paragraph" w:styleId="Sangra3detindependiente">
    <w:name w:val="Body Text Indent 3"/>
    <w:basedOn w:val="Normal"/>
    <w:link w:val="Sangra3detindependienteCar"/>
    <w:pPr>
      <w:spacing w:before="120" w:after="240" w:line="240" w:lineRule="auto"/>
      <w:ind w:left="357"/>
      <w:jc w:val="both"/>
    </w:pPr>
    <w:rPr>
      <w:rFonts w:eastAsia="Times New Roman" w:cs="Times New Roman"/>
      <w:szCs w:val="20"/>
      <w:lang w:eastAsia="es-ES"/>
    </w:rPr>
  </w:style>
  <w:style w:type="paragraph" w:styleId="Sangradetextonormal">
    <w:name w:val="Body Text Indent"/>
    <w:basedOn w:val="Normal"/>
    <w:link w:val="SangradetextonormalCar"/>
    <w:unhideWhenUsed/>
    <w:pPr>
      <w:spacing w:after="120" w:line="259" w:lineRule="auto"/>
      <w:ind w:left="283"/>
    </w:pPr>
    <w:rPr>
      <w:rFonts w:asciiTheme="minorHAnsi" w:hAnsiTheme="minorHAnsi"/>
    </w:rPr>
  </w:style>
  <w:style w:type="paragraph" w:styleId="Lista2">
    <w:name w:val="List 2"/>
    <w:basedOn w:val="Normal"/>
    <w:pPr>
      <w:widowControl w:val="0"/>
      <w:spacing w:after="0" w:line="240" w:lineRule="auto"/>
      <w:ind w:left="566" w:hanging="283"/>
    </w:pPr>
    <w:rPr>
      <w:rFonts w:ascii="Arial" w:eastAsia="Times New Roman" w:hAnsi="Arial" w:cs="Times New Roman"/>
      <w:snapToGrid w:val="0"/>
      <w:sz w:val="20"/>
      <w:szCs w:val="20"/>
      <w:lang w:eastAsia="es-ES"/>
    </w:rPr>
  </w:style>
  <w:style w:type="paragraph" w:styleId="Listaconvietas3">
    <w:name w:val="List Bullet 3"/>
    <w:basedOn w:val="Normal"/>
    <w:pPr>
      <w:numPr>
        <w:numId w:val="1"/>
      </w:numPr>
      <w:spacing w:after="0" w:line="240" w:lineRule="auto"/>
      <w:contextualSpacing/>
    </w:pPr>
    <w:rPr>
      <w:rFonts w:ascii="Arial" w:eastAsia="Times New Roman" w:hAnsi="Arial" w:cs="Times New Roman"/>
      <w:snapToGrid w:val="0"/>
      <w:szCs w:val="20"/>
      <w:lang w:eastAsia="es-ES"/>
    </w:rPr>
  </w:style>
  <w:style w:type="paragraph" w:styleId="Lista5">
    <w:name w:val="List 5"/>
    <w:basedOn w:val="Normal"/>
    <w:pPr>
      <w:spacing w:after="0" w:line="240" w:lineRule="auto"/>
      <w:ind w:left="1415" w:hanging="283"/>
    </w:pPr>
    <w:rPr>
      <w:rFonts w:ascii="Times New Roman" w:eastAsia="Times New Roman" w:hAnsi="Times New Roman" w:cs="Times New Roman"/>
      <w:snapToGrid w:val="0"/>
      <w:sz w:val="20"/>
      <w:szCs w:val="20"/>
      <w:lang w:eastAsia="es-ES"/>
    </w:rPr>
  </w:style>
  <w:style w:type="paragraph" w:styleId="Lista">
    <w:name w:val="List"/>
    <w:basedOn w:val="Normal"/>
    <w:pPr>
      <w:widowControl w:val="0"/>
      <w:spacing w:after="0" w:line="240" w:lineRule="auto"/>
      <w:ind w:left="283" w:hanging="283"/>
    </w:pPr>
    <w:rPr>
      <w:rFonts w:ascii="Arial" w:eastAsia="Times New Roman" w:hAnsi="Arial" w:cs="Times New Roman"/>
      <w:snapToGrid w:val="0"/>
      <w:sz w:val="20"/>
      <w:szCs w:val="20"/>
      <w:lang w:eastAsia="es-ES"/>
    </w:rPr>
  </w:style>
  <w:style w:type="paragraph" w:styleId="Lista4">
    <w:name w:val="List 4"/>
    <w:basedOn w:val="Normal"/>
    <w:pPr>
      <w:spacing w:after="0" w:line="240" w:lineRule="auto"/>
      <w:ind w:left="1132" w:hanging="283"/>
    </w:pPr>
    <w:rPr>
      <w:rFonts w:ascii="Times New Roman" w:eastAsia="Times New Roman" w:hAnsi="Times New Roman" w:cs="Times New Roman"/>
      <w:snapToGrid w:val="0"/>
      <w:sz w:val="20"/>
      <w:szCs w:val="20"/>
      <w:lang w:eastAsia="es-ES"/>
    </w:rPr>
  </w:style>
  <w:style w:type="paragraph" w:styleId="Listaconvietas2">
    <w:name w:val="List Bullet 2"/>
    <w:basedOn w:val="Normal"/>
    <w:autoRedefin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142" w:hanging="283"/>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qFormat/>
    <w:pPr>
      <w:tabs>
        <w:tab w:val="center" w:pos="4680"/>
        <w:tab w:val="right" w:pos="9360"/>
      </w:tabs>
      <w:spacing w:after="0" w:line="240" w:lineRule="auto"/>
    </w:pPr>
    <w:rPr>
      <w:rFonts w:asciiTheme="minorHAnsi" w:hAnsiTheme="minorHAnsi"/>
    </w:rPr>
  </w:style>
  <w:style w:type="paragraph" w:styleId="Sangra2detindependiente">
    <w:name w:val="Body Text Indent 2"/>
    <w:basedOn w:val="Normal"/>
    <w:link w:val="Sangra2detindependienteCar"/>
    <w:pPr>
      <w:spacing w:after="0" w:line="240" w:lineRule="auto"/>
      <w:ind w:left="993" w:hanging="567"/>
    </w:pPr>
    <w:rPr>
      <w:rFonts w:eastAsia="Times New Roman" w:cs="Times New Roman"/>
      <w:szCs w:val="20"/>
      <w:lang w:eastAsia="es-ES"/>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paragraph" w:styleId="Textodebloque">
    <w:name w:val="Block Text"/>
    <w:basedOn w:val="Normal"/>
    <w:pPr>
      <w:spacing w:after="0" w:line="240" w:lineRule="auto"/>
      <w:ind w:left="426" w:right="396" w:hanging="426"/>
      <w:jc w:val="both"/>
    </w:pPr>
    <w:rPr>
      <w:rFonts w:eastAsia="Times New Roman" w:cs="Times New Roman"/>
      <w:sz w:val="18"/>
      <w:szCs w:val="20"/>
      <w:lang w:eastAsia="es-ES"/>
    </w:rPr>
  </w:style>
  <w:style w:type="paragraph" w:styleId="Textoindependiente">
    <w:name w:val="Body Text"/>
    <w:basedOn w:val="Normal"/>
    <w:link w:val="TextoindependienteCar"/>
    <w:unhideWhenUsed/>
    <w:qFormat/>
    <w:pPr>
      <w:spacing w:after="120"/>
    </w:pPr>
  </w:style>
  <w:style w:type="paragraph" w:styleId="Textoindependiente3">
    <w:name w:val="Body Text 3"/>
    <w:basedOn w:val="Normal"/>
    <w:link w:val="Textoindependiente3Car"/>
    <w:pPr>
      <w:spacing w:after="0" w:line="240" w:lineRule="auto"/>
    </w:pPr>
    <w:rPr>
      <w:rFonts w:eastAsia="Times New Roman" w:cs="Times New Roman"/>
      <w:b/>
      <w:sz w:val="18"/>
      <w:szCs w:val="20"/>
      <w:lang w:eastAsia="es-ES"/>
    </w:rPr>
  </w:style>
  <w:style w:type="paragraph" w:styleId="Textoindependienteprimerasangra2">
    <w:name w:val="Body Text First Indent 2"/>
    <w:basedOn w:val="Sangradetextonormal"/>
    <w:link w:val="Textoindependienteprimerasangra2Car"/>
    <w:pPr>
      <w:spacing w:line="240" w:lineRule="auto"/>
      <w:ind w:firstLine="210"/>
    </w:pPr>
    <w:rPr>
      <w:rFonts w:ascii="Arial" w:eastAsia="Times New Roman" w:hAnsi="Arial" w:cs="Times New Roman"/>
      <w:snapToGrid w:val="0"/>
      <w:szCs w:val="20"/>
      <w:lang w:eastAsia="es-ES"/>
    </w:rPr>
  </w:style>
  <w:style w:type="paragraph" w:styleId="Textosinformato">
    <w:name w:val="Plain Text"/>
    <w:basedOn w:val="Normal"/>
    <w:link w:val="TextosinformatoCar"/>
    <w:uiPriority w:val="99"/>
    <w:unhideWhenUsed/>
    <w:pPr>
      <w:spacing w:after="0" w:line="240" w:lineRule="auto"/>
    </w:pPr>
    <w:rPr>
      <w:rFonts w:ascii="Calibri" w:eastAsia="Calibri" w:hAnsi="Calibri" w:cs="Consolas"/>
      <w:szCs w:val="21"/>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Tablabsica2">
    <w:name w:val="Table Simple 2"/>
    <w:basedOn w:val="Tablanormal"/>
    <w:rPr>
      <w:rFonts w:ascii="Times New Roman" w:eastAsia="Times New Roman" w:hAnsi="Times New Roman" w:cs="Times New Roman"/>
      <w:lang w:val="es-ES"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qFormat/>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qFormat/>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qFormat/>
    <w:rPr>
      <w:rFonts w:eastAsiaTheme="majorEastAsia" w:cstheme="majorBidi"/>
      <w:color w:val="0F4761" w:themeColor="accent1" w:themeShade="BF"/>
    </w:rPr>
  </w:style>
  <w:style w:type="character" w:customStyle="1" w:styleId="Ttulo6Car">
    <w:name w:val="Título 6 Car"/>
    <w:basedOn w:val="Fuentedeprrafopredeter"/>
    <w:link w:val="Ttulo6"/>
    <w:uiPriority w:val="9"/>
    <w:qFormat/>
    <w:rPr>
      <w:rFonts w:eastAsiaTheme="majorEastAsia" w:cstheme="majorBidi"/>
      <w:i/>
      <w:iCs/>
      <w:color w:val="595959" w:themeColor="text1" w:themeTint="A6"/>
    </w:rPr>
  </w:style>
  <w:style w:type="character" w:customStyle="1" w:styleId="Ttulo7Car">
    <w:name w:val="Título 7 Car"/>
    <w:basedOn w:val="Fuentedeprrafopredeter"/>
    <w:link w:val="Ttulo7"/>
    <w:uiPriority w:val="9"/>
    <w:qFormat/>
    <w:rPr>
      <w:rFonts w:eastAsiaTheme="majorEastAsia" w:cstheme="majorBidi"/>
      <w:color w:val="595959" w:themeColor="text1" w:themeTint="A6"/>
    </w:rPr>
  </w:style>
  <w:style w:type="character" w:customStyle="1" w:styleId="Ttulo8Car">
    <w:name w:val="Título 8 Car"/>
    <w:basedOn w:val="Fuentedeprrafopredeter"/>
    <w:link w:val="Ttulo8"/>
    <w:uiPriority w:val="9"/>
    <w:qFormat/>
    <w:rPr>
      <w:rFonts w:eastAsiaTheme="majorEastAsia" w:cstheme="majorBidi"/>
      <w:i/>
      <w:iCs/>
      <w:color w:val="262626" w:themeColor="text1" w:themeTint="D9"/>
    </w:rPr>
  </w:style>
  <w:style w:type="character" w:customStyle="1" w:styleId="Ttulo9Car">
    <w:name w:val="Título 9 Car"/>
    <w:basedOn w:val="Fuentedeprrafopredeter"/>
    <w:link w:val="Ttulo9"/>
    <w:uiPriority w:val="9"/>
    <w:qFormat/>
    <w:rPr>
      <w:rFonts w:eastAsiaTheme="majorEastAsia" w:cstheme="majorBidi"/>
      <w:color w:val="262626" w:themeColor="text1" w:themeTint="D9"/>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qFormat/>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qFormat/>
    <w:rPr>
      <w:i/>
      <w:iCs/>
      <w:color w:val="404040" w:themeColor="text1" w:themeTint="BF"/>
    </w:rPr>
  </w:style>
  <w:style w:type="paragraph" w:styleId="Prrafodelista">
    <w:name w:val="List Paragraph"/>
    <w:basedOn w:val="Normal"/>
    <w:link w:val="PrrafodelistaCar"/>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qFormat/>
    <w:rPr>
      <w:i/>
      <w:iCs/>
      <w:color w:val="0F4761" w:themeColor="accent1" w:themeShade="BF"/>
    </w:rPr>
  </w:style>
  <w:style w:type="character" w:customStyle="1" w:styleId="Referenciaintensa1">
    <w:name w:val="Referencia intensa1"/>
    <w:basedOn w:val="Fuentedeprrafopredeter"/>
    <w:uiPriority w:val="32"/>
    <w:qFormat/>
    <w:rPr>
      <w:b/>
      <w:bCs/>
      <w:smallCaps/>
      <w:color w:val="0F4761" w:themeColor="accent1" w:themeShade="BF"/>
      <w:spacing w:val="5"/>
    </w:rPr>
  </w:style>
  <w:style w:type="character" w:customStyle="1" w:styleId="TextoindependienteCar">
    <w:name w:val="Texto independiente Car"/>
    <w:basedOn w:val="Fuentedeprrafopredeter"/>
    <w:link w:val="Textoindependiente"/>
    <w:qFormat/>
    <w:rPr>
      <w:rFonts w:ascii="Arial Narrow" w:hAnsi="Arial Narrow"/>
      <w:kern w:val="0"/>
      <w14:ligatures w14:val="none"/>
    </w:rPr>
  </w:style>
  <w:style w:type="character" w:customStyle="1" w:styleId="PrrafodelistaCar">
    <w:name w:val="Párrafo de lista Car"/>
    <w:link w:val="Prrafodelista"/>
    <w:uiPriority w:val="34"/>
    <w:qFormat/>
    <w:locked/>
  </w:style>
  <w:style w:type="paragraph" w:customStyle="1" w:styleId="Revisin1">
    <w:name w:val="Revisión1"/>
    <w:hidden/>
    <w:uiPriority w:val="99"/>
    <w:semiHidden/>
    <w:qFormat/>
    <w:rPr>
      <w:rFonts w:ascii="Arial Narrow" w:hAnsi="Arial Narrow"/>
      <w:sz w:val="22"/>
      <w:szCs w:val="22"/>
      <w:lang w:val="es-ES" w:eastAsia="en-US"/>
    </w:rPr>
  </w:style>
  <w:style w:type="character" w:customStyle="1" w:styleId="TextocomentarioCar">
    <w:name w:val="Texto comentario Car"/>
    <w:basedOn w:val="Fuentedeprrafopredeter"/>
    <w:link w:val="Textocomentario"/>
    <w:uiPriority w:val="99"/>
    <w:qFormat/>
    <w:rPr>
      <w:rFonts w:ascii="Arial Narrow" w:hAnsi="Arial Narrow"/>
      <w:kern w:val="0"/>
      <w:sz w:val="20"/>
      <w:szCs w:val="20"/>
      <w14:ligatures w14:val="none"/>
    </w:rPr>
  </w:style>
  <w:style w:type="character" w:customStyle="1" w:styleId="AsuntodelcomentarioCar">
    <w:name w:val="Asunto del comentario Car"/>
    <w:basedOn w:val="TextocomentarioCar"/>
    <w:link w:val="Asuntodelcomentario"/>
    <w:uiPriority w:val="99"/>
    <w:qFormat/>
    <w:rPr>
      <w:rFonts w:ascii="Arial Narrow" w:hAnsi="Arial Narrow"/>
      <w:b/>
      <w:bCs/>
      <w:kern w:val="0"/>
      <w:sz w:val="20"/>
      <w:szCs w:val="20"/>
      <w14:ligatures w14:val="none"/>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paragraph" w:customStyle="1" w:styleId="forparrafo">
    <w:name w:val="forparrafo"/>
    <w:basedOn w:val="Normal"/>
    <w:qFormat/>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notapieCar">
    <w:name w:val="Texto nota pie Car"/>
    <w:basedOn w:val="Fuentedeprrafopredeter"/>
    <w:link w:val="Textonotapie"/>
    <w:qFormat/>
    <w:rPr>
      <w:rFonts w:ascii="Arial" w:eastAsia="Times New Roman" w:hAnsi="Arial" w:cs="Times New Roman"/>
      <w:kern w:val="0"/>
      <w:sz w:val="20"/>
      <w:szCs w:val="20"/>
      <w:lang w:eastAsia="es-ES"/>
      <w14:ligatures w14:val="none"/>
    </w:rPr>
  </w:style>
  <w:style w:type="paragraph" w:customStyle="1" w:styleId="normalsangr2">
    <w:name w:val="normal sangr 2"/>
    <w:basedOn w:val="Normal"/>
    <w:qFormat/>
    <w:pPr>
      <w:tabs>
        <w:tab w:val="left" w:pos="567"/>
        <w:tab w:val="left" w:pos="709"/>
        <w:tab w:val="left" w:pos="1417"/>
        <w:tab w:val="left" w:pos="2154"/>
        <w:tab w:val="left" w:pos="2832"/>
      </w:tabs>
      <w:spacing w:after="80" w:line="240" w:lineRule="auto"/>
      <w:ind w:left="568" w:right="142" w:hanging="284"/>
      <w:jc w:val="both"/>
    </w:pPr>
    <w:rPr>
      <w:rFonts w:ascii="Arial" w:eastAsia="Times New Roman" w:hAnsi="Arial" w:cs="Times New Roman"/>
      <w:snapToGrid w:val="0"/>
      <w:sz w:val="20"/>
      <w:szCs w:val="20"/>
      <w:lang w:eastAsia="es-ES"/>
    </w:rPr>
  </w:style>
  <w:style w:type="character" w:customStyle="1" w:styleId="EncabezadoCar">
    <w:name w:val="Encabezado Car"/>
    <w:basedOn w:val="Fuentedeprrafopredeter"/>
    <w:link w:val="Encabezado"/>
    <w:uiPriority w:val="99"/>
    <w:qFormat/>
    <w:rPr>
      <w:kern w:val="0"/>
      <w14:ligatures w14:val="none"/>
    </w:rPr>
  </w:style>
  <w:style w:type="character" w:customStyle="1" w:styleId="PiedepginaCar">
    <w:name w:val="Pie de página Car"/>
    <w:basedOn w:val="Fuentedeprrafopredeter"/>
    <w:link w:val="Piedepgina"/>
    <w:uiPriority w:val="99"/>
    <w:qFormat/>
    <w:rPr>
      <w:kern w:val="0"/>
      <w14:ligatures w14:val="none"/>
    </w:rPr>
  </w:style>
  <w:style w:type="character" w:customStyle="1" w:styleId="Mencinsinresolver1">
    <w:name w:val="Mención sin resolver1"/>
    <w:basedOn w:val="Fuentedeprrafopredeter"/>
    <w:uiPriority w:val="99"/>
    <w:unhideWhenUsed/>
    <w:qFormat/>
    <w:rPr>
      <w:color w:val="605E5C"/>
      <w:shd w:val="clear" w:color="auto" w:fill="E1DFDD"/>
    </w:rPr>
  </w:style>
  <w:style w:type="character" w:customStyle="1" w:styleId="Mencionar1">
    <w:name w:val="Mencionar1"/>
    <w:basedOn w:val="Fuentedeprrafopredeter"/>
    <w:uiPriority w:val="99"/>
    <w:unhideWhenUsed/>
    <w:qFormat/>
    <w:rPr>
      <w:color w:val="2B579A"/>
      <w:shd w:val="clear" w:color="auto" w:fill="E1DFDD"/>
    </w:rPr>
  </w:style>
  <w:style w:type="character" w:customStyle="1" w:styleId="SangradetextonormalCar">
    <w:name w:val="Sangría de texto normal Car"/>
    <w:basedOn w:val="Fuentedeprrafopredeter"/>
    <w:link w:val="Sangradetextonormal"/>
    <w:qFormat/>
    <w:rPr>
      <w:kern w:val="0"/>
      <w14:ligatures w14:val="none"/>
    </w:rPr>
  </w:style>
  <w:style w:type="paragraph" w:customStyle="1" w:styleId="TtuloTDC1">
    <w:name w:val="Título TDC1"/>
    <w:basedOn w:val="Ttulo1"/>
    <w:next w:val="Normal"/>
    <w:uiPriority w:val="39"/>
    <w:unhideWhenUsed/>
    <w:qFormat/>
    <w:pPr>
      <w:spacing w:before="240" w:after="240"/>
      <w:jc w:val="center"/>
      <w:outlineLvl w:val="9"/>
    </w:pPr>
    <w:rPr>
      <w:sz w:val="32"/>
      <w:szCs w:val="32"/>
      <w:lang w:eastAsia="es-PE"/>
    </w:rPr>
  </w:style>
  <w:style w:type="character" w:customStyle="1" w:styleId="ui-provider">
    <w:name w:val="ui-provider"/>
    <w:basedOn w:val="Fuentedeprrafopredeter"/>
  </w:style>
  <w:style w:type="character" w:customStyle="1" w:styleId="Textoindependiente2Car">
    <w:name w:val="Texto independiente 2 Car"/>
    <w:basedOn w:val="Fuentedeprrafopredeter"/>
    <w:link w:val="Textoindependiente2"/>
    <w:uiPriority w:val="99"/>
    <w:rPr>
      <w:rFonts w:ascii="Arial Narrow" w:hAnsi="Arial Narrow"/>
      <w:kern w:val="0"/>
      <w14:ligatures w14:val="none"/>
    </w:rPr>
  </w:style>
  <w:style w:type="character" w:customStyle="1" w:styleId="Sangra3detindependienteCar">
    <w:name w:val="Sangría 3 de t. independiente Car"/>
    <w:basedOn w:val="Fuentedeprrafopredeter"/>
    <w:link w:val="Sangra3detindependiente"/>
    <w:rPr>
      <w:rFonts w:ascii="Arial Narrow" w:eastAsia="Times New Roman" w:hAnsi="Arial Narrow" w:cs="Times New Roman"/>
      <w:kern w:val="0"/>
      <w:szCs w:val="20"/>
      <w:lang w:eastAsia="es-ES"/>
      <w14:ligatures w14:val="none"/>
    </w:rPr>
  </w:style>
  <w:style w:type="character" w:customStyle="1" w:styleId="Sangra2detindependienteCar">
    <w:name w:val="Sangría 2 de t. independiente Car"/>
    <w:basedOn w:val="Fuentedeprrafopredeter"/>
    <w:link w:val="Sangra2detindependiente"/>
    <w:rPr>
      <w:rFonts w:ascii="Arial Narrow" w:eastAsia="Times New Roman" w:hAnsi="Arial Narrow" w:cs="Times New Roman"/>
      <w:kern w:val="0"/>
      <w:szCs w:val="20"/>
      <w:lang w:eastAsia="es-ES"/>
      <w14:ligatures w14:val="none"/>
    </w:rPr>
  </w:style>
  <w:style w:type="character" w:customStyle="1" w:styleId="Textoindependiente3Car">
    <w:name w:val="Texto independiente 3 Car"/>
    <w:basedOn w:val="Fuentedeprrafopredeter"/>
    <w:link w:val="Textoindependiente3"/>
    <w:rPr>
      <w:rFonts w:ascii="Arial Narrow" w:eastAsia="Times New Roman" w:hAnsi="Arial Narrow" w:cs="Times New Roman"/>
      <w:b/>
      <w:kern w:val="0"/>
      <w:sz w:val="18"/>
      <w:szCs w:val="20"/>
      <w:lang w:eastAsia="es-ES"/>
      <w14:ligatures w14:val="none"/>
    </w:rPr>
  </w:style>
  <w:style w:type="paragraph" w:customStyle="1" w:styleId="BodyText21">
    <w:name w:val="Body Text 21"/>
    <w:basedOn w:val="Normal"/>
    <w:pPr>
      <w:spacing w:after="0" w:line="240" w:lineRule="auto"/>
      <w:ind w:left="1560"/>
    </w:pPr>
    <w:rPr>
      <w:rFonts w:ascii="Arial" w:eastAsia="Times New Roman" w:hAnsi="Arial" w:cs="Times New Roman"/>
      <w:b/>
      <w:sz w:val="24"/>
      <w:szCs w:val="20"/>
    </w:rPr>
  </w:style>
  <w:style w:type="paragraph" w:customStyle="1" w:styleId="Normal1san">
    <w:name w:val="Normal.1san"/>
    <w:pPr>
      <w:tabs>
        <w:tab w:val="left" w:pos="454"/>
        <w:tab w:val="left" w:pos="851"/>
        <w:tab w:val="left" w:pos="1304"/>
        <w:tab w:val="left" w:pos="1701"/>
        <w:tab w:val="left" w:pos="1985"/>
      </w:tabs>
      <w:ind w:left="851" w:hanging="851"/>
      <w:jc w:val="both"/>
    </w:pPr>
    <w:rPr>
      <w:rFonts w:ascii="Arial" w:eastAsia="Times New Roman" w:hAnsi="Arial" w:cs="Times New Roman"/>
      <w:sz w:val="24"/>
      <w:lang w:eastAsia="es-ES"/>
    </w:rPr>
  </w:style>
  <w:style w:type="character" w:customStyle="1" w:styleId="hw">
    <w:name w:val="hw"/>
    <w:basedOn w:val="Fuentedeprrafopredeter"/>
  </w:style>
  <w:style w:type="character" w:customStyle="1" w:styleId="TextodegloboCar">
    <w:name w:val="Texto de globo Car"/>
    <w:basedOn w:val="Fuentedeprrafopredeter"/>
    <w:link w:val="Textodeglobo"/>
    <w:rPr>
      <w:rFonts w:ascii="Tahoma" w:eastAsia="Times New Roman" w:hAnsi="Tahoma" w:cs="Tahoma"/>
      <w:kern w:val="0"/>
      <w:sz w:val="16"/>
      <w:szCs w:val="16"/>
      <w:lang w:eastAsia="es-ES"/>
      <w14:ligatures w14:val="none"/>
    </w:rPr>
  </w:style>
  <w:style w:type="character" w:customStyle="1" w:styleId="TextonotaalfinalCar">
    <w:name w:val="Texto nota al final Car"/>
    <w:basedOn w:val="Fuentedeprrafopredeter"/>
    <w:link w:val="Textonotaalfinal"/>
    <w:rPr>
      <w:rFonts w:ascii="Times New Roman" w:eastAsia="Times New Roman" w:hAnsi="Times New Roman" w:cs="Times New Roman"/>
      <w:kern w:val="0"/>
      <w:sz w:val="20"/>
      <w:szCs w:val="20"/>
      <w:lang w:eastAsia="es-ES"/>
      <w14:ligatures w14:val="none"/>
    </w:rPr>
  </w:style>
  <w:style w:type="character" w:customStyle="1" w:styleId="MapadeldocumentoCar">
    <w:name w:val="Mapa del documento Car"/>
    <w:basedOn w:val="Fuentedeprrafopredeter"/>
    <w:link w:val="Mapadeldocumento"/>
    <w:semiHidden/>
    <w:rPr>
      <w:rFonts w:ascii="Tahoma" w:eastAsia="Times New Roman" w:hAnsi="Tahoma" w:cs="Tahoma"/>
      <w:kern w:val="0"/>
      <w:sz w:val="20"/>
      <w:szCs w:val="20"/>
      <w:shd w:val="clear" w:color="auto" w:fill="000080"/>
      <w:lang w:eastAsia="es-ES"/>
      <w14:ligatures w14:val="none"/>
    </w:rPr>
  </w:style>
  <w:style w:type="character" w:customStyle="1" w:styleId="EstiloCorreo43">
    <w:name w:val="EstiloCorreo43"/>
    <w:semiHidden/>
    <w:rPr>
      <w:rFonts w:ascii="Arial" w:hAnsi="Arial" w:cs="Arial"/>
      <w:color w:val="000080"/>
      <w:sz w:val="20"/>
      <w:szCs w:val="20"/>
    </w:rPr>
  </w:style>
  <w:style w:type="paragraph" w:customStyle="1" w:styleId="izquierda">
    <w:name w:val="izquierda"/>
    <w:basedOn w:val="Normal"/>
    <w:pPr>
      <w:spacing w:before="85" w:after="113" w:line="240" w:lineRule="auto"/>
      <w:jc w:val="both"/>
    </w:pPr>
    <w:rPr>
      <w:rFonts w:ascii="Switzerland" w:eastAsia="Times New Roman" w:hAnsi="Switzerland" w:cs="Times New Roman"/>
      <w:snapToGrid w:val="0"/>
      <w:sz w:val="16"/>
      <w:szCs w:val="20"/>
      <w:lang w:eastAsia="es-ES"/>
    </w:rPr>
  </w:style>
  <w:style w:type="character" w:customStyle="1" w:styleId="TextosinformatoCar">
    <w:name w:val="Texto sin formato Car"/>
    <w:basedOn w:val="Fuentedeprrafopredeter"/>
    <w:link w:val="Textosinformato"/>
    <w:uiPriority w:val="99"/>
    <w:rPr>
      <w:rFonts w:ascii="Calibri" w:eastAsia="Calibri" w:hAnsi="Calibri" w:cs="Consolas"/>
      <w:kern w:val="0"/>
      <w:szCs w:val="21"/>
      <w14:ligatures w14:val="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customStyle="1" w:styleId="PLNCUENTAXX">
    <w:name w:val="PLN CUENTA XX"/>
    <w:pPr>
      <w:tabs>
        <w:tab w:val="left" w:pos="1559"/>
        <w:tab w:val="left" w:pos="2552"/>
        <w:tab w:val="left" w:pos="3969"/>
      </w:tabs>
      <w:snapToGrid w:val="0"/>
      <w:ind w:left="3969" w:hanging="3402"/>
    </w:pPr>
    <w:rPr>
      <w:rFonts w:ascii="Times New Roman" w:eastAsia="Times New Roman" w:hAnsi="Times New Roman" w:cs="Times New Roman"/>
      <w:b/>
      <w:sz w:val="22"/>
      <w:lang w:val="es-ES" w:eastAsia="es-ES"/>
    </w:rPr>
  </w:style>
  <w:style w:type="paragraph" w:customStyle="1" w:styleId="NORMALSUB-CUENTAS">
    <w:name w:val="NORMAL SUB-CUENTAS"/>
    <w:basedOn w:val="Normal"/>
    <w:pPr>
      <w:tabs>
        <w:tab w:val="left" w:pos="3906"/>
        <w:tab w:val="left" w:pos="4956"/>
        <w:tab w:val="left" w:pos="5664"/>
        <w:tab w:val="left" w:pos="6372"/>
        <w:tab w:val="left" w:pos="7080"/>
      </w:tabs>
      <w:spacing w:after="60" w:line="240" w:lineRule="auto"/>
      <w:ind w:left="3912" w:hanging="1361"/>
      <w:jc w:val="both"/>
    </w:pPr>
    <w:rPr>
      <w:rFonts w:ascii="Ottawa" w:eastAsia="Times New Roman" w:hAnsi="Ottawa" w:cs="Times New Roman"/>
      <w:snapToGrid w:val="0"/>
      <w:sz w:val="20"/>
      <w:szCs w:val="20"/>
      <w:lang w:eastAsia="es-ES"/>
    </w:rPr>
  </w:style>
  <w:style w:type="paragraph" w:customStyle="1" w:styleId="BODYCUENTAS">
    <w:name w:val="BODY CUENTAS"/>
    <w:basedOn w:val="Normal"/>
    <w:pPr>
      <w:tabs>
        <w:tab w:val="left" w:pos="2126"/>
        <w:tab w:val="left" w:pos="2551"/>
        <w:tab w:val="left" w:pos="3515"/>
        <w:tab w:val="left" w:pos="4248"/>
        <w:tab w:val="left" w:pos="4956"/>
        <w:tab w:val="left" w:pos="5664"/>
        <w:tab w:val="left" w:pos="6372"/>
        <w:tab w:val="left" w:pos="7080"/>
      </w:tabs>
      <w:spacing w:after="60" w:line="240" w:lineRule="auto"/>
      <w:ind w:left="3515" w:hanging="2948"/>
      <w:jc w:val="both"/>
    </w:pPr>
    <w:rPr>
      <w:rFonts w:ascii="Arial" w:eastAsia="Times New Roman" w:hAnsi="Arial" w:cs="Times New Roman"/>
      <w:b/>
      <w:snapToGrid w:val="0"/>
      <w:sz w:val="20"/>
      <w:szCs w:val="20"/>
      <w:lang w:eastAsia="es-ES"/>
    </w:rPr>
  </w:style>
  <w:style w:type="paragraph" w:customStyle="1" w:styleId="BODINDICE1">
    <w:name w:val="BOD INDICE1"/>
    <w:basedOn w:val="Ttulo1"/>
    <w:pPr>
      <w:keepLines w:val="0"/>
      <w:widowControl w:val="0"/>
      <w:tabs>
        <w:tab w:val="left" w:pos="567"/>
        <w:tab w:val="right" w:leader="dot" w:pos="8080"/>
        <w:tab w:val="right" w:pos="8647"/>
      </w:tabs>
      <w:spacing w:before="240" w:after="60" w:line="240" w:lineRule="auto"/>
      <w:ind w:left="1418" w:right="992" w:hanging="1418"/>
      <w:jc w:val="both"/>
      <w:outlineLvl w:val="9"/>
    </w:pPr>
    <w:rPr>
      <w:rFonts w:ascii="Arial" w:eastAsia="Times New Roman" w:hAnsi="Arial" w:cs="Times New Roman"/>
      <w:i/>
      <w:snapToGrid w:val="0"/>
      <w:color w:val="auto"/>
      <w:kern w:val="28"/>
      <w:sz w:val="22"/>
      <w:szCs w:val="20"/>
      <w:lang w:eastAsia="es-ES"/>
    </w:rPr>
  </w:style>
  <w:style w:type="paragraph" w:customStyle="1" w:styleId="spc6">
    <w:name w:val="spc 6"/>
    <w:basedOn w:val="Normal"/>
    <w:pPr>
      <w:spacing w:after="0" w:line="140" w:lineRule="exact"/>
      <w:jc w:val="both"/>
    </w:pPr>
    <w:rPr>
      <w:rFonts w:ascii="Arial" w:eastAsia="Times New Roman" w:hAnsi="Arial" w:cs="Times New Roman"/>
      <w:b/>
      <w:snapToGrid w:val="0"/>
      <w:sz w:val="24"/>
      <w:szCs w:val="20"/>
      <w:lang w:eastAsia="es-ES"/>
    </w:rPr>
  </w:style>
  <w:style w:type="paragraph" w:customStyle="1" w:styleId="BodyTextIndent21">
    <w:name w:val="Body Text Indent 21"/>
    <w:basedOn w:val="Normal"/>
    <w:pPr>
      <w:spacing w:after="0" w:line="240" w:lineRule="auto"/>
      <w:ind w:left="426" w:hanging="284"/>
      <w:jc w:val="both"/>
    </w:pPr>
    <w:rPr>
      <w:rFonts w:ascii="Arial" w:eastAsia="Times New Roman" w:hAnsi="Arial" w:cs="Times New Roman"/>
      <w:snapToGrid w:val="0"/>
      <w:sz w:val="23"/>
      <w:szCs w:val="20"/>
      <w:lang w:eastAsia="es-ES"/>
    </w:rPr>
  </w:style>
  <w:style w:type="paragraph" w:customStyle="1" w:styleId="PLNDSCRIP">
    <w:name w:val="PLN DSCRIP +"/>
    <w:pPr>
      <w:tabs>
        <w:tab w:val="left" w:pos="2552"/>
      </w:tabs>
      <w:ind w:left="2552" w:hanging="1985"/>
      <w:jc w:val="both"/>
    </w:pPr>
    <w:rPr>
      <w:rFonts w:ascii="Times New Roman" w:eastAsia="Times New Roman" w:hAnsi="Times New Roman" w:cs="Times New Roman"/>
      <w:snapToGrid w:val="0"/>
      <w:sz w:val="22"/>
      <w:lang w:val="es-ES" w:eastAsia="es-ES"/>
    </w:rPr>
  </w:style>
  <w:style w:type="paragraph" w:customStyle="1" w:styleId="planseg">
    <w:name w:val="planseg"/>
    <w:pPr>
      <w:tabs>
        <w:tab w:val="left" w:pos="2126"/>
        <w:tab w:val="left" w:pos="2552"/>
        <w:tab w:val="left" w:pos="3119"/>
        <w:tab w:val="left" w:pos="3969"/>
        <w:tab w:val="left" w:pos="5103"/>
        <w:tab w:val="center" w:pos="7796"/>
        <w:tab w:val="center" w:pos="8222"/>
        <w:tab w:val="center" w:pos="8647"/>
      </w:tabs>
      <w:spacing w:after="60"/>
      <w:ind w:left="567" w:right="567"/>
      <w:jc w:val="both"/>
    </w:pPr>
    <w:rPr>
      <w:rFonts w:ascii="Arial" w:eastAsia="Times New Roman" w:hAnsi="Arial" w:cs="Times New Roman"/>
      <w:snapToGrid w:val="0"/>
      <w:lang w:val="es-ES" w:eastAsia="es-ES"/>
    </w:rPr>
  </w:style>
  <w:style w:type="paragraph" w:customStyle="1" w:styleId="plandescr">
    <w:name w:val="plandescr"/>
    <w:basedOn w:val="planseg"/>
    <w:pPr>
      <w:tabs>
        <w:tab w:val="clear" w:pos="3969"/>
        <w:tab w:val="left" w:pos="3240"/>
      </w:tabs>
      <w:ind w:left="2552" w:right="0" w:hanging="1985"/>
    </w:pPr>
    <w:rPr>
      <w:rFonts w:ascii="Times New Roman" w:hAnsi="Times New Roman"/>
      <w:b/>
      <w:sz w:val="24"/>
    </w:rPr>
  </w:style>
  <w:style w:type="paragraph" w:customStyle="1" w:styleId="spc3">
    <w:name w:val="sp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cs="Times New Roman"/>
      <w:snapToGrid w:val="0"/>
      <w:sz w:val="8"/>
      <w:lang w:val="es-ES" w:eastAsia="es-ES"/>
    </w:rPr>
  </w:style>
  <w:style w:type="paragraph" w:customStyle="1" w:styleId="BODYSUB-CUENTAS">
    <w:name w:val="BODY SUB-CUENTAS"/>
    <w:basedOn w:val="BODYDESCRIPCION"/>
    <w:next w:val="BODYDESCRIPCION"/>
  </w:style>
  <w:style w:type="paragraph" w:customStyle="1" w:styleId="BODYDESCRIPCION">
    <w:name w:val="BODYDESCRIPCION"/>
    <w:basedOn w:val="plandescr"/>
    <w:next w:val="plandescr"/>
    <w:pPr>
      <w:tabs>
        <w:tab w:val="clear" w:pos="2126"/>
        <w:tab w:val="clear" w:pos="2552"/>
        <w:tab w:val="clear" w:pos="3119"/>
        <w:tab w:val="clear" w:pos="3240"/>
        <w:tab w:val="clear" w:pos="5103"/>
        <w:tab w:val="clear" w:pos="7796"/>
        <w:tab w:val="clear" w:pos="8222"/>
        <w:tab w:val="clear" w:pos="8647"/>
        <w:tab w:val="left" w:pos="2551"/>
        <w:tab w:val="left" w:pos="3540"/>
        <w:tab w:val="left" w:pos="4248"/>
        <w:tab w:val="left" w:pos="4956"/>
        <w:tab w:val="left" w:pos="5664"/>
        <w:tab w:val="left" w:pos="6372"/>
        <w:tab w:val="left" w:pos="7080"/>
      </w:tabs>
      <w:ind w:left="2551" w:hanging="1984"/>
    </w:pPr>
    <w:rPr>
      <w:rFonts w:ascii="Ottawa" w:hAnsi="Ottawa"/>
      <w:b w:val="0"/>
      <w:sz w:val="20"/>
    </w:rPr>
  </w:style>
  <w:style w:type="paragraph" w:customStyle="1" w:styleId="SPC60">
    <w:name w:val="SPC 6"/>
    <w:basedOn w:val="Normal"/>
    <w:pPr>
      <w:spacing w:after="0" w:line="140" w:lineRule="atLeast"/>
      <w:ind w:left="1418" w:hanging="1418"/>
      <w:jc w:val="both"/>
    </w:pPr>
    <w:rPr>
      <w:rFonts w:ascii="Times New Roman" w:eastAsia="Times New Roman" w:hAnsi="Times New Roman" w:cs="Times New Roman"/>
      <w:snapToGrid w:val="0"/>
      <w:szCs w:val="20"/>
      <w:lang w:eastAsia="es-ES"/>
    </w:rPr>
  </w:style>
  <w:style w:type="paragraph" w:customStyle="1" w:styleId="RAYA--TABSANGR">
    <w:name w:val="RAYA (-) - TAB SANGR"/>
    <w:basedOn w:val="plandebit"/>
  </w:style>
  <w:style w:type="paragraph" w:customStyle="1" w:styleId="plandebit">
    <w:name w:val="plan debit"/>
    <w:basedOn w:val="plandescr"/>
    <w:pPr>
      <w:tabs>
        <w:tab w:val="left" w:pos="1985"/>
      </w:tabs>
      <w:ind w:left="567" w:firstLine="1701"/>
    </w:pPr>
    <w:rPr>
      <w:b w:val="0"/>
    </w:rPr>
  </w:style>
  <w:style w:type="paragraph" w:customStyle="1" w:styleId="plansubcta">
    <w:name w:val="plansubcta"/>
    <w:basedOn w:val="plandescr"/>
    <w:pPr>
      <w:tabs>
        <w:tab w:val="clear" w:pos="3240"/>
        <w:tab w:val="left" w:pos="3969"/>
      </w:tabs>
      <w:spacing w:after="0"/>
      <w:ind w:left="567" w:firstLine="0"/>
      <w:jc w:val="left"/>
    </w:pPr>
  </w:style>
  <w:style w:type="paragraph" w:customStyle="1" w:styleId="normtab-2">
    <w:name w:val="norm tab-2"/>
    <w:link w:val="normtab-2Car"/>
    <w:pPr>
      <w:tabs>
        <w:tab w:val="left" w:pos="1361"/>
        <w:tab w:val="left" w:pos="1701"/>
        <w:tab w:val="left" w:pos="2835"/>
        <w:tab w:val="left" w:pos="4252"/>
        <w:tab w:val="left" w:pos="5499"/>
      </w:tabs>
      <w:ind w:left="1361" w:hanging="680"/>
      <w:jc w:val="both"/>
    </w:pPr>
    <w:rPr>
      <w:rFonts w:ascii="Arial Narrow" w:eastAsia="Times New Roman" w:hAnsi="Arial Narrow" w:cs="Times New Roman"/>
      <w:snapToGrid w:val="0"/>
      <w:sz w:val="18"/>
      <w:lang w:val="es-ES" w:eastAsia="es-ES"/>
    </w:rPr>
  </w:style>
  <w:style w:type="paragraph" w:customStyle="1" w:styleId="SUB-CTATABSANGR">
    <w:name w:val="SUB-CTA TAB SANGR"/>
    <w:pPr>
      <w:tabs>
        <w:tab w:val="left" w:pos="1418"/>
        <w:tab w:val="left" w:pos="3970"/>
      </w:tabs>
      <w:ind w:left="3970" w:hanging="1418"/>
      <w:jc w:val="both"/>
    </w:pPr>
    <w:rPr>
      <w:rFonts w:ascii="Times New Roman" w:eastAsia="Times New Roman" w:hAnsi="Times New Roman" w:cs="Times New Roman"/>
      <w:snapToGrid w:val="0"/>
      <w:sz w:val="22"/>
      <w:lang w:val="es-ES" w:eastAsia="es-ES"/>
    </w:rPr>
  </w:style>
  <w:style w:type="paragraph" w:customStyle="1" w:styleId="normtab-4">
    <w:name w:val="norm tab-4"/>
    <w:basedOn w:val="normtab-3"/>
    <w:link w:val="normtab-4Car"/>
    <w:pPr>
      <w:tabs>
        <w:tab w:val="left" w:pos="2324"/>
      </w:tabs>
      <w:ind w:left="2324" w:hanging="1134"/>
    </w:pPr>
  </w:style>
  <w:style w:type="paragraph" w:customStyle="1" w:styleId="normtab-3">
    <w:name w:val="norm tab-3"/>
    <w:basedOn w:val="normtab-2"/>
    <w:link w:val="normtab-3Car"/>
  </w:style>
  <w:style w:type="paragraph" w:customStyle="1" w:styleId="Normal1">
    <w:name w:val="Normal1"/>
    <w:pPr>
      <w:tabs>
        <w:tab w:val="left" w:pos="227"/>
        <w:tab w:val="left" w:pos="680"/>
        <w:tab w:val="left" w:pos="1701"/>
        <w:tab w:val="left" w:pos="2835"/>
        <w:tab w:val="left" w:pos="4252"/>
        <w:tab w:val="left" w:pos="5499"/>
      </w:tabs>
      <w:ind w:left="680" w:hanging="680"/>
      <w:jc w:val="both"/>
    </w:pPr>
    <w:rPr>
      <w:rFonts w:ascii="Arial Narrow" w:eastAsia="Times New Roman" w:hAnsi="Arial Narrow" w:cs="Times New Roman"/>
      <w:b/>
      <w:snapToGrid w:val="0"/>
      <w:sz w:val="18"/>
      <w:lang w:val="es-ES" w:eastAsia="es-ES"/>
    </w:rPr>
  </w:style>
  <w:style w:type="paragraph" w:customStyle="1" w:styleId="spc30">
    <w:name w:val="spc 3"/>
    <w:basedOn w:val="normalfedeerrat-pie"/>
    <w:next w:val="normalfedeerrat-pie"/>
  </w:style>
  <w:style w:type="paragraph" w:customStyle="1" w:styleId="normalfedeerrat-pie">
    <w:name w:val="normal fe de errat- pie"/>
    <w:basedOn w:val="piepag"/>
    <w:next w:val="piepag"/>
  </w:style>
  <w:style w:type="paragraph" w:customStyle="1" w:styleId="piepag">
    <w:name w:val="pie pag"/>
    <w:pPr>
      <w:tabs>
        <w:tab w:val="right" w:pos="7143"/>
      </w:tabs>
      <w:ind w:right="1"/>
    </w:pPr>
    <w:rPr>
      <w:rFonts w:ascii="Switzerland" w:eastAsia="Times New Roman" w:hAnsi="Switzerland" w:cs="Times New Roman"/>
      <w:b/>
      <w:i/>
      <w:snapToGrid w:val="0"/>
      <w:sz w:val="17"/>
      <w:lang w:val="es-ES" w:eastAsia="es-ES"/>
    </w:rPr>
  </w:style>
  <w:style w:type="paragraph" w:customStyle="1" w:styleId="Subttulo1">
    <w:name w:val="Subtítulo 1"/>
    <w:basedOn w:val="Ttulo"/>
    <w:pPr>
      <w:spacing w:after="0"/>
      <w:contextualSpacing w:val="0"/>
      <w:jc w:val="center"/>
    </w:pPr>
    <w:rPr>
      <w:rFonts w:ascii="Arial Narrow" w:eastAsia="Times New Roman" w:hAnsi="Arial Narrow" w:cs="Times New Roman"/>
      <w:b/>
      <w:spacing w:val="0"/>
      <w:kern w:val="0"/>
      <w:sz w:val="20"/>
      <w:szCs w:val="20"/>
      <w:u w:val="single"/>
      <w:lang w:val="es-MX" w:eastAsia="es-ES"/>
    </w:rPr>
  </w:style>
  <w:style w:type="paragraph" w:customStyle="1" w:styleId="PLNRB15">
    <w:name w:val="PLN RB15"/>
    <w:basedOn w:val="PLNDSCRIP"/>
    <w:next w:val="PLNDSCRIP"/>
    <w:pPr>
      <w:tabs>
        <w:tab w:val="clear" w:pos="2552"/>
        <w:tab w:val="left" w:pos="1417"/>
      </w:tabs>
      <w:ind w:left="850" w:hanging="850"/>
    </w:pPr>
    <w:rPr>
      <w:rFonts w:ascii="Ottawa" w:hAnsi="Ottawa"/>
      <w:sz w:val="20"/>
    </w:rPr>
  </w:style>
  <w:style w:type="paragraph" w:customStyle="1" w:styleId="SUBRB-1">
    <w:name w:val="SUB RB-1"/>
    <w:basedOn w:val="PLNRB15"/>
  </w:style>
  <w:style w:type="paragraph" w:customStyle="1" w:styleId="Sub-Rubro2">
    <w:name w:val="Sub-Rubro2"/>
    <w:basedOn w:val="SUBRB-1"/>
  </w:style>
  <w:style w:type="paragraph" w:customStyle="1" w:styleId="Sub-Rubro2a">
    <w:name w:val="Sub-Rubro2a"/>
    <w:basedOn w:val="Sub-Rubro2"/>
  </w:style>
  <w:style w:type="paragraph" w:customStyle="1" w:styleId="SUB-RUB2">
    <w:name w:val="SUB-RUB2"/>
    <w:basedOn w:val="SUBRB-1"/>
    <w:next w:val="SUBRB-1"/>
  </w:style>
  <w:style w:type="paragraph" w:customStyle="1" w:styleId="SUB-RUB2-1">
    <w:name w:val="SUB-RUB2-1"/>
    <w:basedOn w:val="Sub-Rubro2"/>
  </w:style>
  <w:style w:type="paragraph" w:customStyle="1" w:styleId="SUB-RUB2-1A">
    <w:name w:val="SUB-RUB2-1A"/>
    <w:basedOn w:val="SUB-RUB2-1"/>
  </w:style>
  <w:style w:type="paragraph" w:customStyle="1" w:styleId="SUB-RUB2-1-2A">
    <w:name w:val="SUB-RUB2-1-2A"/>
    <w:basedOn w:val="SUB-RUB2-1A"/>
  </w:style>
  <w:style w:type="paragraph" w:customStyle="1" w:styleId="Sangrafrancesa">
    <w:name w:val="Sangría francesa"/>
    <w:pPr>
      <w:tabs>
        <w:tab w:val="left" w:pos="240"/>
      </w:tabs>
      <w:ind w:left="240" w:hanging="240"/>
    </w:pPr>
    <w:rPr>
      <w:rFonts w:ascii="Times New Roman" w:eastAsia="Times New Roman" w:hAnsi="Times New Roman" w:cs="Times New Roman"/>
      <w:snapToGrid w:val="0"/>
      <w:color w:val="000000"/>
      <w:sz w:val="24"/>
      <w:lang w:val="es-ES" w:eastAsia="es-ES"/>
    </w:rPr>
  </w:style>
  <w:style w:type="paragraph" w:customStyle="1" w:styleId="CTA0001">
    <w:name w:val="CTA 0001"/>
    <w:basedOn w:val="Normal"/>
    <w:pPr>
      <w:tabs>
        <w:tab w:val="left" w:pos="851"/>
        <w:tab w:val="left" w:pos="1559"/>
        <w:tab w:val="right" w:leader="dot" w:pos="6804"/>
        <w:tab w:val="center" w:pos="7371"/>
        <w:tab w:val="center" w:pos="7938"/>
        <w:tab w:val="center" w:pos="8505"/>
      </w:tabs>
      <w:spacing w:after="0" w:line="240" w:lineRule="auto"/>
      <w:jc w:val="both"/>
    </w:pPr>
    <w:rPr>
      <w:rFonts w:ascii="Arial" w:eastAsia="Times New Roman" w:hAnsi="Arial" w:cs="Times New Roman"/>
      <w:snapToGrid w:val="0"/>
      <w:color w:val="000000"/>
      <w:sz w:val="18"/>
      <w:szCs w:val="20"/>
      <w:lang w:eastAsia="es-ES"/>
    </w:rPr>
  </w:style>
  <w:style w:type="paragraph" w:customStyle="1" w:styleId="nota">
    <w:name w:val="not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cs="Times New Roman"/>
      <w:snapToGrid w:val="0"/>
      <w:sz w:val="13"/>
      <w:lang w:val="es-ES" w:eastAsia="es-ES"/>
    </w:rPr>
  </w:style>
  <w:style w:type="paragraph" w:customStyle="1" w:styleId="BodyResolucion">
    <w:name w:val="Body Resolucion"/>
    <w:pPr>
      <w:tabs>
        <w:tab w:val="left" w:pos="227"/>
        <w:tab w:val="left" w:pos="680"/>
        <w:tab w:val="left" w:pos="1701"/>
        <w:tab w:val="left" w:pos="2835"/>
        <w:tab w:val="left" w:pos="4252"/>
        <w:tab w:val="left" w:pos="5499"/>
      </w:tabs>
      <w:spacing w:after="170"/>
      <w:ind w:firstLine="283"/>
      <w:jc w:val="both"/>
    </w:pPr>
    <w:rPr>
      <w:rFonts w:ascii="Arial" w:eastAsia="Times New Roman" w:hAnsi="Arial" w:cs="Times New Roman"/>
      <w:snapToGrid w:val="0"/>
      <w:lang w:val="es-ES" w:eastAsia="es-ES"/>
    </w:rPr>
  </w:style>
  <w:style w:type="character" w:customStyle="1" w:styleId="EncabezadodenotaCar">
    <w:name w:val="Encabezado de nota Car"/>
    <w:basedOn w:val="Fuentedeprrafopredeter"/>
    <w:link w:val="Encabezadodenota"/>
    <w:rPr>
      <w:rFonts w:ascii="Arial Narrow" w:eastAsia="Times New Roman" w:hAnsi="Arial Narrow" w:cs="Times New Roman"/>
      <w:kern w:val="0"/>
      <w:szCs w:val="20"/>
      <w:lang w:eastAsia="es-ES"/>
      <w14:ligatures w14:val="none"/>
    </w:rPr>
  </w:style>
  <w:style w:type="paragraph" w:customStyle="1" w:styleId="normalnotapie1">
    <w:name w:val="normal nota pie1"/>
    <w:basedOn w:val="normtab-4"/>
    <w:next w:val="Piedepgina"/>
    <w:pPr>
      <w:tabs>
        <w:tab w:val="left" w:pos="567"/>
        <w:tab w:val="left" w:pos="680"/>
      </w:tabs>
      <w:spacing w:line="200" w:lineRule="atLeast"/>
      <w:ind w:left="568" w:right="142" w:hanging="284"/>
    </w:pPr>
    <w:rPr>
      <w:rFonts w:ascii="Arial" w:hAnsi="Arial"/>
      <w:position w:val="4"/>
      <w:sz w:val="16"/>
    </w:rPr>
  </w:style>
  <w:style w:type="paragraph" w:customStyle="1" w:styleId="Norm-Sub-Ctas1">
    <w:name w:val="Norm-Sub-Ctas1"/>
    <w:basedOn w:val="NORMALSUB-CUENTAS"/>
    <w:pPr>
      <w:numPr>
        <w:ilvl w:val="2"/>
        <w:numId w:val="2"/>
      </w:numPr>
      <w:tabs>
        <w:tab w:val="clear" w:pos="3906"/>
        <w:tab w:val="left" w:pos="3969"/>
      </w:tabs>
      <w:ind w:left="3970" w:hanging="1418"/>
    </w:pPr>
    <w:rPr>
      <w:rFonts w:ascii="Arial" w:hAnsi="Arial" w:cs="Arial"/>
    </w:rPr>
  </w:style>
  <w:style w:type="paragraph" w:customStyle="1" w:styleId="Normal-Sub-Ctas001">
    <w:name w:val="Normal-Sub-Ctas001"/>
    <w:basedOn w:val="Norm-Sub-Ctas1"/>
  </w:style>
  <w:style w:type="paragraph" w:customStyle="1" w:styleId="normalSub-Tit8-m">
    <w:name w:val="normal Sub-Tit 8-m"/>
    <w:basedOn w:val="Normal"/>
    <w:pPr>
      <w:spacing w:after="28" w:line="240" w:lineRule="auto"/>
      <w:jc w:val="center"/>
    </w:pPr>
    <w:rPr>
      <w:rFonts w:ascii="Switzerland" w:eastAsia="Times New Roman" w:hAnsi="Switzerland" w:cs="Times New Roman"/>
      <w:i/>
      <w:snapToGrid w:val="0"/>
      <w:sz w:val="17"/>
      <w:szCs w:val="20"/>
      <w:lang w:eastAsia="es-ES"/>
    </w:rPr>
  </w:style>
  <w:style w:type="paragraph" w:customStyle="1" w:styleId="normalsangr1">
    <w:name w:val="normal sangr 1"/>
    <w:basedOn w:val="Normal"/>
    <w:pPr>
      <w:numPr>
        <w:ilvl w:val="2"/>
        <w:numId w:val="3"/>
      </w:numPr>
      <w:tabs>
        <w:tab w:val="clear" w:pos="3270"/>
        <w:tab w:val="left" w:pos="283"/>
        <w:tab w:val="left" w:pos="567"/>
        <w:tab w:val="left" w:pos="1416"/>
        <w:tab w:val="left" w:pos="2124"/>
        <w:tab w:val="left" w:pos="2832"/>
      </w:tabs>
      <w:suppressAutoHyphens/>
      <w:spacing w:after="28" w:line="240" w:lineRule="auto"/>
      <w:ind w:left="283" w:hanging="227"/>
      <w:jc w:val="both"/>
    </w:pPr>
    <w:rPr>
      <w:rFonts w:ascii="Switzerland" w:eastAsia="Times New Roman" w:hAnsi="Switzerland" w:cs="Times New Roman"/>
      <w:sz w:val="16"/>
      <w:szCs w:val="20"/>
      <w:lang w:eastAsia="ar-SA"/>
    </w:rPr>
  </w:style>
  <w:style w:type="character" w:customStyle="1" w:styleId="normtab-4Car">
    <w:name w:val="norm tab-4 Car"/>
    <w:link w:val="normtab-4"/>
    <w:rPr>
      <w:rFonts w:ascii="Arial Narrow" w:eastAsia="Times New Roman" w:hAnsi="Arial Narrow" w:cs="Times New Roman"/>
      <w:snapToGrid w:val="0"/>
      <w:kern w:val="0"/>
      <w:sz w:val="18"/>
      <w:szCs w:val="20"/>
      <w:lang w:val="es-ES" w:eastAsia="es-ES"/>
      <w14:ligatures w14:val="none"/>
    </w:rPr>
  </w:style>
  <w:style w:type="character" w:customStyle="1" w:styleId="normtab-3Car">
    <w:name w:val="norm tab-3 Car"/>
    <w:link w:val="normtab-3"/>
    <w:rPr>
      <w:rFonts w:ascii="Arial Narrow" w:eastAsia="Times New Roman" w:hAnsi="Arial Narrow" w:cs="Times New Roman"/>
      <w:snapToGrid w:val="0"/>
      <w:kern w:val="0"/>
      <w:sz w:val="18"/>
      <w:szCs w:val="20"/>
      <w:lang w:val="es-ES" w:eastAsia="es-ES"/>
      <w14:ligatures w14:val="none"/>
    </w:rPr>
  </w:style>
  <w:style w:type="character" w:customStyle="1" w:styleId="Textoindependienteprimerasangra2Car">
    <w:name w:val="Texto independiente primera sangría 2 Car"/>
    <w:basedOn w:val="SangradetextonormalCar"/>
    <w:link w:val="Textoindependienteprimerasangra2"/>
    <w:rPr>
      <w:rFonts w:ascii="Arial" w:eastAsia="Times New Roman" w:hAnsi="Arial" w:cs="Times New Roman"/>
      <w:snapToGrid w:val="0"/>
      <w:kern w:val="0"/>
      <w:szCs w:val="20"/>
      <w:lang w:eastAsia="es-ES"/>
      <w14:ligatures w14:val="none"/>
    </w:rPr>
  </w:style>
  <w:style w:type="character" w:customStyle="1" w:styleId="SangradetextonormalCar1">
    <w:name w:val="Sangría de texto normal Car1"/>
    <w:rPr>
      <w:rFonts w:ascii="Arial Narrow" w:hAnsi="Arial Narrow"/>
      <w:sz w:val="22"/>
      <w:lang w:eastAsia="es-ES"/>
    </w:rPr>
  </w:style>
  <w:style w:type="character" w:customStyle="1" w:styleId="normtab-2Car">
    <w:name w:val="norm tab-2 Car"/>
    <w:link w:val="normtab-2"/>
    <w:locked/>
    <w:rPr>
      <w:rFonts w:ascii="Arial Narrow" w:eastAsia="Times New Roman" w:hAnsi="Arial Narrow" w:cs="Times New Roman"/>
      <w:snapToGrid w:val="0"/>
      <w:kern w:val="0"/>
      <w:sz w:val="18"/>
      <w:szCs w:val="20"/>
      <w:lang w:val="es-ES" w:eastAsia="es-ES"/>
      <w14:ligatures w14:val="none"/>
    </w:rPr>
  </w:style>
  <w:style w:type="character" w:customStyle="1" w:styleId="markedcontent">
    <w:name w:val="markedcontent"/>
    <w:basedOn w:val="Fuentedeprrafopredeter"/>
  </w:style>
  <w:style w:type="paragraph" w:customStyle="1" w:styleId="Normal10">
    <w:name w:val="Normal10"/>
    <w:pPr>
      <w:tabs>
        <w:tab w:val="left" w:pos="227"/>
        <w:tab w:val="left" w:pos="680"/>
        <w:tab w:val="left" w:pos="1701"/>
        <w:tab w:val="left" w:pos="2835"/>
        <w:tab w:val="left" w:pos="4252"/>
        <w:tab w:val="left" w:pos="5499"/>
      </w:tabs>
      <w:ind w:left="680" w:hanging="680"/>
      <w:jc w:val="both"/>
    </w:pPr>
    <w:rPr>
      <w:rFonts w:ascii="Arial Narrow" w:eastAsia="Times New Roman" w:hAnsi="Arial Narrow" w:cs="Times New Roman"/>
      <w:b/>
      <w:snapToGrid w:val="0"/>
      <w:sz w:val="18"/>
      <w:lang w:val="es-ES" w:eastAsia="es-ES"/>
    </w:rPr>
  </w:style>
  <w:style w:type="paragraph" w:customStyle="1" w:styleId="Textoindependiente21">
    <w:name w:val="Texto independiente 21"/>
    <w:basedOn w:val="Normal"/>
    <w:pPr>
      <w:spacing w:after="0" w:line="240" w:lineRule="auto"/>
      <w:ind w:left="1560"/>
    </w:pPr>
    <w:rPr>
      <w:rFonts w:ascii="Arial" w:eastAsia="Times New Roman" w:hAnsi="Arial" w:cs="Times New Roman"/>
      <w:b/>
      <w:sz w:val="24"/>
      <w:szCs w:val="20"/>
    </w:rPr>
  </w:style>
  <w:style w:type="paragraph" w:customStyle="1" w:styleId="BodyText31">
    <w:name w:val="Body Text 31"/>
    <w:basedOn w:val="Normal"/>
    <w:pPr>
      <w:spacing w:after="0" w:line="240" w:lineRule="auto"/>
      <w:jc w:val="both"/>
    </w:pPr>
    <w:rPr>
      <w:rFonts w:ascii="Arial" w:eastAsia="Times New Roman" w:hAnsi="Arial" w:cs="Times New Roman"/>
      <w:szCs w:val="20"/>
      <w:lang w:eastAsia="es-ES"/>
    </w:rPr>
  </w:style>
  <w:style w:type="paragraph" w:customStyle="1" w:styleId="normalFormatoAAA">
    <w:name w:val="normal Formato AAA"/>
    <w:basedOn w:val="normalsangr3"/>
    <w:next w:val="normalsangr3"/>
    <w:pPr>
      <w:ind w:hanging="794"/>
    </w:pPr>
  </w:style>
  <w:style w:type="paragraph" w:customStyle="1" w:styleId="normalsangr3">
    <w:name w:val="normal sangr 3"/>
    <w:basedOn w:val="normalsangr2"/>
    <w:pPr>
      <w:tabs>
        <w:tab w:val="clear" w:pos="567"/>
        <w:tab w:val="clear" w:pos="709"/>
        <w:tab w:val="left" w:pos="708"/>
        <w:tab w:val="left" w:pos="1020"/>
      </w:tabs>
      <w:spacing w:after="28"/>
      <w:ind w:left="1020" w:right="0" w:hanging="454"/>
    </w:pPr>
    <w:rPr>
      <w:rFonts w:ascii="Ottawa" w:hAnsi="Ottawa"/>
    </w:rPr>
  </w:style>
  <w:style w:type="paragraph" w:customStyle="1" w:styleId="normalleft">
    <w:name w:val="normal left"/>
    <w:basedOn w:val="Normal"/>
    <w:next w:val="Normal"/>
    <w:pPr>
      <w:tabs>
        <w:tab w:val="left" w:pos="283"/>
        <w:tab w:val="left" w:pos="708"/>
        <w:tab w:val="left" w:pos="1416"/>
        <w:tab w:val="left" w:pos="2124"/>
        <w:tab w:val="left" w:pos="2832"/>
      </w:tabs>
      <w:spacing w:before="170" w:after="57" w:line="240" w:lineRule="auto"/>
      <w:ind w:left="283"/>
      <w:jc w:val="both"/>
    </w:pPr>
    <w:rPr>
      <w:rFonts w:ascii="Ottawa" w:eastAsia="Times New Roman" w:hAnsi="Ottawa" w:cs="Times New Roman"/>
      <w:snapToGrid w:val="0"/>
      <w:sz w:val="20"/>
      <w:szCs w:val="20"/>
      <w:lang w:eastAsia="es-ES"/>
    </w:rPr>
  </w:style>
  <w:style w:type="paragraph" w:customStyle="1" w:styleId="SPC31">
    <w:name w:val="SPC 3"/>
    <w:basedOn w:val="Normal"/>
    <w:next w:val="Normal"/>
    <w:pPr>
      <w:tabs>
        <w:tab w:val="left" w:pos="283"/>
      </w:tabs>
      <w:spacing w:after="57" w:line="60" w:lineRule="atLeast"/>
      <w:ind w:left="283" w:hanging="283"/>
      <w:jc w:val="both"/>
    </w:pPr>
    <w:rPr>
      <w:rFonts w:ascii="Ottawa" w:eastAsia="Times New Roman" w:hAnsi="Ottawa" w:cs="Times New Roman"/>
      <w:snapToGrid w:val="0"/>
      <w:sz w:val="8"/>
      <w:szCs w:val="20"/>
      <w:lang w:eastAsia="es-ES"/>
    </w:rPr>
  </w:style>
  <w:style w:type="paragraph" w:customStyle="1" w:styleId="BODYBLCESEEFF">
    <w:name w:val="BODY BLCES EE.FF."/>
    <w:basedOn w:val="Lista2"/>
    <w:pPr>
      <w:widowControl/>
      <w:tabs>
        <w:tab w:val="left" w:pos="680"/>
        <w:tab w:val="left" w:pos="1701"/>
        <w:tab w:val="left" w:pos="2268"/>
        <w:tab w:val="center" w:pos="3543"/>
        <w:tab w:val="center" w:pos="4819"/>
        <w:tab w:val="center" w:pos="5414"/>
        <w:tab w:val="center" w:pos="6066"/>
        <w:tab w:val="center" w:pos="6803"/>
        <w:tab w:val="center" w:pos="7081"/>
      </w:tabs>
      <w:ind w:left="454" w:firstLine="0"/>
    </w:pPr>
    <w:rPr>
      <w:rFonts w:ascii="Arial Narrow" w:hAnsi="Arial Narrow"/>
      <w:sz w:val="12"/>
      <w:lang w:val="es-ES"/>
    </w:rPr>
  </w:style>
  <w:style w:type="paragraph" w:customStyle="1" w:styleId="xl65">
    <w:name w:val="xl65"/>
    <w:basedOn w:val="Normal"/>
    <w:pPr>
      <w:shd w:val="clear" w:color="000000" w:fill="FFFFFF"/>
      <w:spacing w:before="100" w:beforeAutospacing="1" w:after="100" w:afterAutospacing="1" w:line="240" w:lineRule="auto"/>
    </w:pPr>
    <w:rPr>
      <w:rFonts w:eastAsia="Times New Roman" w:cs="Times New Roman"/>
      <w:sz w:val="24"/>
      <w:szCs w:val="24"/>
      <w:lang w:eastAsia="es-ES"/>
    </w:rPr>
  </w:style>
  <w:style w:type="paragraph" w:customStyle="1" w:styleId="xl66">
    <w:name w:val="xl66"/>
    <w:basedOn w:val="Normal"/>
    <w:pPr>
      <w:shd w:val="clear" w:color="000000" w:fill="FFFFFF"/>
      <w:spacing w:before="100" w:beforeAutospacing="1" w:after="100" w:afterAutospacing="1" w:line="240" w:lineRule="auto"/>
    </w:pPr>
    <w:rPr>
      <w:rFonts w:ascii="Arial" w:eastAsia="Times New Roman" w:hAnsi="Arial" w:cs="Arial"/>
      <w:sz w:val="16"/>
      <w:szCs w:val="16"/>
      <w:lang w:eastAsia="es-ES"/>
    </w:rPr>
  </w:style>
  <w:style w:type="paragraph" w:customStyle="1" w:styleId="xl67">
    <w:name w:val="xl67"/>
    <w:basedOn w:val="Normal"/>
    <w:pPr>
      <w:pBdr>
        <w:bottom w:val="single" w:sz="12"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8">
    <w:name w:val="xl68"/>
    <w:basedOn w:val="Normal"/>
    <w:pPr>
      <w:pBdr>
        <w:bottom w:val="single" w:sz="12"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s-ES"/>
    </w:rPr>
  </w:style>
  <w:style w:type="paragraph" w:customStyle="1" w:styleId="xl69">
    <w:name w:val="xl69"/>
    <w:basedOn w:val="Normal"/>
    <w:pP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s-ES"/>
    </w:rPr>
  </w:style>
  <w:style w:type="paragraph" w:customStyle="1" w:styleId="xl70">
    <w:name w:val="xl70"/>
    <w:basedOn w:val="Normal"/>
    <w:pPr>
      <w:pBdr>
        <w:bottom w:val="single" w:sz="12"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1">
    <w:name w:val="xl71"/>
    <w:basedOn w:val="Normal"/>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2">
    <w:name w:val="xl72"/>
    <w:basedOn w:val="Normal"/>
    <w:pPr>
      <w:shd w:val="clear" w:color="000000" w:fill="FFFFFF"/>
      <w:spacing w:before="100" w:beforeAutospacing="1" w:after="100" w:afterAutospacing="1" w:line="240" w:lineRule="auto"/>
    </w:pPr>
    <w:rPr>
      <w:rFonts w:ascii="Arial" w:eastAsia="Times New Roman" w:hAnsi="Arial" w:cs="Arial"/>
      <w:b/>
      <w:bCs/>
      <w:sz w:val="16"/>
      <w:szCs w:val="16"/>
      <w:u w:val="single"/>
      <w:lang w:eastAsia="es-ES"/>
    </w:rPr>
  </w:style>
  <w:style w:type="paragraph" w:customStyle="1" w:styleId="xl73">
    <w:name w:val="xl73"/>
    <w:basedOn w:val="Normal"/>
    <w:pPr>
      <w:shd w:val="clear" w:color="000000" w:fill="FFFFFF"/>
      <w:spacing w:before="100" w:beforeAutospacing="1" w:after="100" w:afterAutospacing="1" w:line="240" w:lineRule="auto"/>
    </w:pPr>
    <w:rPr>
      <w:rFonts w:ascii="Arial" w:eastAsia="Times New Roman" w:hAnsi="Arial" w:cs="Arial"/>
      <w:b/>
      <w:bCs/>
      <w:sz w:val="16"/>
      <w:szCs w:val="16"/>
      <w:lang w:eastAsia="es-ES"/>
    </w:rPr>
  </w:style>
  <w:style w:type="paragraph" w:customStyle="1" w:styleId="xl74">
    <w:name w:val="xl74"/>
    <w:basedOn w:val="Normal"/>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75">
    <w:name w:val="xl75"/>
    <w:basedOn w:val="Normal"/>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ES"/>
    </w:rPr>
  </w:style>
  <w:style w:type="paragraph" w:customStyle="1" w:styleId="xl76">
    <w:name w:val="xl76"/>
    <w:basedOn w:val="Normal"/>
    <w:pPr>
      <w:shd w:val="clear" w:color="000000" w:fill="FFFFFF"/>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77">
    <w:name w:val="xl77"/>
    <w:basedOn w:val="Normal"/>
    <w:pPr>
      <w:pBdr>
        <w:bottom w:val="single" w:sz="12"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78">
    <w:name w:val="xl78"/>
    <w:basedOn w:val="Normal"/>
    <w:pPr>
      <w:pBdr>
        <w:bottom w:val="single" w:sz="12" w:space="0" w:color="auto"/>
      </w:pBdr>
      <w:shd w:val="clear" w:color="000000" w:fill="FFFFFF"/>
      <w:spacing w:before="100" w:beforeAutospacing="1" w:after="100" w:afterAutospacing="1" w:line="240" w:lineRule="auto"/>
    </w:pPr>
    <w:rPr>
      <w:rFonts w:ascii="Arial" w:eastAsia="Times New Roman" w:hAnsi="Arial" w:cs="Arial"/>
      <w:sz w:val="16"/>
      <w:szCs w:val="16"/>
      <w:lang w:eastAsia="es-ES"/>
    </w:rPr>
  </w:style>
  <w:style w:type="paragraph" w:customStyle="1" w:styleId="xl35">
    <w:name w:val="xl35"/>
    <w:basedOn w:val="Normal"/>
    <w:pPr>
      <w:pBdr>
        <w:left w:val="single" w:sz="8" w:space="0" w:color="auto"/>
      </w:pBdr>
      <w:spacing w:before="100" w:beforeAutospacing="1" w:after="100" w:afterAutospacing="1" w:line="240" w:lineRule="auto"/>
    </w:pPr>
    <w:rPr>
      <w:rFonts w:ascii="Arial" w:eastAsia="Arial Unicode MS" w:hAnsi="Arial" w:cs="Arial"/>
      <w:b/>
      <w:bCs/>
      <w:sz w:val="16"/>
      <w:szCs w:val="16"/>
      <w:u w:val="single"/>
      <w:lang w:eastAsia="es-ES"/>
    </w:rPr>
  </w:style>
  <w:style w:type="paragraph" w:customStyle="1" w:styleId="xl25">
    <w:name w:val="xl25"/>
    <w:basedOn w:val="Normal"/>
    <w:pPr>
      <w:pBdr>
        <w:bottom w:val="single" w:sz="8" w:space="0" w:color="auto"/>
      </w:pBdr>
      <w:spacing w:before="100" w:beforeAutospacing="1" w:after="100" w:afterAutospacing="1" w:line="240" w:lineRule="auto"/>
    </w:pPr>
    <w:rPr>
      <w:rFonts w:ascii="Arial" w:eastAsia="Arial Unicode MS" w:hAnsi="Arial" w:cs="Arial"/>
      <w:sz w:val="16"/>
      <w:szCs w:val="16"/>
      <w:lang w:eastAsia="es-ES"/>
    </w:rPr>
  </w:style>
  <w:style w:type="table" w:customStyle="1" w:styleId="Tablaconcuadrcula1">
    <w:name w:val="Tabla con cuadrícula1"/>
    <w:basedOn w:val="Tabla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2">
    <w:name w:val="Tabla con cuadrícula2"/>
    <w:basedOn w:val="Tabla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unhideWhenUsed/>
    <w:rsid w:val="00811C93"/>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EBBA1B80-624B-4C8D-AE63-46281DCB3E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40426</Words>
  <Characters>222346</Characters>
  <Application>Microsoft Office Word</Application>
  <DocSecurity>0</DocSecurity>
  <Lines>1852</Lines>
  <Paragraphs>524</Paragraphs>
  <ScaleCrop>false</ScaleCrop>
  <Company/>
  <LinksUpToDate>false</LinksUpToDate>
  <CharactersWithSpaces>262248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dc:creator>
  <cp:lastModifiedBy>Milagros Jesus Tito Cama</cp:lastModifiedBy>
  <cp:revision>1</cp:revision>
  <dcterms:created xsi:type="dcterms:W3CDTF">2025-08-21T14:57:00Z</dcterms:created>
  <dcterms:modified xsi:type="dcterms:W3CDTF">2025-08-27T15:15:00Z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3082-12.2.0.21931</vt:lpwstr>
  </property>
  <property fmtid="{D5CDD505-2E9C-101B-9397-08002B2CF9AE}" pid="3" name="ICV">
    <vt:lpwstr>65DCF04295544E55BE0265DF9B9733C4_13</vt:lpwstr>
  </property>
</Properties>
</file>