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7282" w14:textId="77777777" w:rsidR="00965622" w:rsidRPr="00935B0A" w:rsidRDefault="00AA78C1" w:rsidP="00D853B5">
      <w:pPr>
        <w:tabs>
          <w:tab w:val="left" w:pos="1448"/>
          <w:tab w:val="left" w:pos="3462"/>
          <w:tab w:val="left" w:pos="5022"/>
          <w:tab w:val="left" w:pos="9244"/>
        </w:tabs>
        <w:spacing w:after="120"/>
        <w:ind w:right="113"/>
        <w:jc w:val="center"/>
        <w:outlineLvl w:val="0"/>
        <w:rPr>
          <w:rFonts w:ascii="Arial Narrow" w:hAnsi="Arial Narrow"/>
          <w:b/>
          <w:sz w:val="20"/>
          <w:szCs w:val="20"/>
        </w:rPr>
      </w:pPr>
      <w:r w:rsidRPr="00935B0A">
        <w:rPr>
          <w:rFonts w:ascii="Arial Narrow" w:hAnsi="Arial Narrow"/>
          <w:b/>
          <w:sz w:val="20"/>
          <w:szCs w:val="20"/>
        </w:rPr>
        <w:t>INFORMACIÓN COMPLEMENTARIA</w:t>
      </w:r>
      <w:r w:rsidR="005B1D87" w:rsidRPr="00935B0A">
        <w:rPr>
          <w:rFonts w:ascii="Arial Narrow" w:hAnsi="Arial Narrow"/>
          <w:b/>
          <w:sz w:val="20"/>
          <w:szCs w:val="20"/>
        </w:rPr>
        <w:t xml:space="preserve"> </w:t>
      </w:r>
    </w:p>
    <w:p w14:paraId="4B57A6A3" w14:textId="77777777" w:rsidR="00965622" w:rsidRPr="00935B0A" w:rsidRDefault="00520001" w:rsidP="00D853B5">
      <w:pPr>
        <w:tabs>
          <w:tab w:val="left" w:pos="1448"/>
          <w:tab w:val="left" w:pos="3462"/>
          <w:tab w:val="left" w:pos="5022"/>
          <w:tab w:val="left" w:pos="9244"/>
        </w:tabs>
        <w:spacing w:after="120"/>
        <w:ind w:right="113"/>
        <w:jc w:val="center"/>
        <w:rPr>
          <w:rFonts w:ascii="Arial Narrow" w:hAnsi="Arial Narrow"/>
          <w:b/>
          <w:sz w:val="20"/>
          <w:szCs w:val="20"/>
        </w:rPr>
      </w:pPr>
      <w:r w:rsidRPr="00935B0A">
        <w:rPr>
          <w:rFonts w:ascii="Arial Narrow" w:hAnsi="Arial Narrow"/>
          <w:b/>
          <w:sz w:val="20"/>
          <w:szCs w:val="20"/>
        </w:rPr>
        <w:t>POR ORDEN TEMÁTICO</w:t>
      </w:r>
    </w:p>
    <w:p w14:paraId="7CA0AB01" w14:textId="77777777" w:rsidR="008427B4" w:rsidRPr="00935B0A" w:rsidRDefault="008427B4" w:rsidP="00D853B5">
      <w:pPr>
        <w:tabs>
          <w:tab w:val="left" w:pos="1448"/>
          <w:tab w:val="left" w:pos="3462"/>
          <w:tab w:val="left" w:pos="5022"/>
          <w:tab w:val="left" w:pos="9244"/>
        </w:tabs>
        <w:spacing w:after="120"/>
        <w:ind w:right="113"/>
        <w:outlineLvl w:val="0"/>
        <w:rPr>
          <w:rFonts w:ascii="Arial Narrow" w:hAnsi="Arial Narrow"/>
          <w:b/>
          <w:sz w:val="20"/>
          <w:szCs w:val="20"/>
        </w:rPr>
      </w:pPr>
      <w:r w:rsidRPr="00935B0A">
        <w:rPr>
          <w:rFonts w:ascii="Arial Narrow" w:hAnsi="Arial Narrow"/>
          <w:b/>
          <w:sz w:val="20"/>
          <w:szCs w:val="20"/>
        </w:rPr>
        <w:t>ANEXOS:</w:t>
      </w:r>
    </w:p>
    <w:tbl>
      <w:tblPr>
        <w:tblW w:w="0" w:type="auto"/>
        <w:tblLayout w:type="fixed"/>
        <w:tblCellMar>
          <w:left w:w="30" w:type="dxa"/>
          <w:right w:w="30" w:type="dxa"/>
        </w:tblCellMar>
        <w:tblLook w:val="0000" w:firstRow="0" w:lastRow="0" w:firstColumn="0" w:lastColumn="0" w:noHBand="0" w:noVBand="0"/>
      </w:tblPr>
      <w:tblGrid>
        <w:gridCol w:w="1908"/>
        <w:gridCol w:w="1869"/>
        <w:gridCol w:w="3964"/>
        <w:gridCol w:w="1391"/>
      </w:tblGrid>
      <w:tr w:rsidR="00965622" w:rsidRPr="00935B0A" w14:paraId="695CDE7F" w14:textId="77777777" w:rsidTr="00935B0A">
        <w:trPr>
          <w:cantSplit/>
          <w:trHeight w:val="600"/>
          <w:tblHeader/>
        </w:trPr>
        <w:tc>
          <w:tcPr>
            <w:tcW w:w="1908" w:type="dxa"/>
            <w:tcBorders>
              <w:top w:val="single" w:sz="4" w:space="0" w:color="auto"/>
              <w:left w:val="single" w:sz="4" w:space="0" w:color="auto"/>
              <w:bottom w:val="single" w:sz="4" w:space="0" w:color="auto"/>
              <w:right w:val="single" w:sz="4" w:space="0" w:color="auto"/>
            </w:tcBorders>
            <w:shd w:val="pct20" w:color="auto" w:fill="FFFFFF"/>
            <w:vAlign w:val="center"/>
          </w:tcPr>
          <w:p w14:paraId="3ACD45DE" w14:textId="77777777" w:rsidR="00965622" w:rsidRPr="00935B0A" w:rsidRDefault="00965622" w:rsidP="00935B0A">
            <w:pPr>
              <w:ind w:right="-30"/>
              <w:jc w:val="center"/>
              <w:rPr>
                <w:rFonts w:ascii="Arial Narrow" w:hAnsi="Arial Narrow"/>
                <w:b/>
                <w:sz w:val="20"/>
                <w:szCs w:val="20"/>
              </w:rPr>
            </w:pPr>
            <w:r w:rsidRPr="00935B0A">
              <w:rPr>
                <w:rFonts w:ascii="Arial Narrow" w:hAnsi="Arial Narrow"/>
                <w:b/>
                <w:sz w:val="20"/>
                <w:szCs w:val="20"/>
              </w:rPr>
              <w:t>TEMAS</w:t>
            </w:r>
          </w:p>
        </w:tc>
        <w:tc>
          <w:tcPr>
            <w:tcW w:w="1869" w:type="dxa"/>
            <w:tcBorders>
              <w:top w:val="single" w:sz="4" w:space="0" w:color="auto"/>
              <w:left w:val="single" w:sz="4" w:space="0" w:color="auto"/>
              <w:bottom w:val="single" w:sz="4" w:space="0" w:color="auto"/>
              <w:right w:val="single" w:sz="6" w:space="0" w:color="auto"/>
            </w:tcBorders>
            <w:shd w:val="pct20" w:color="auto" w:fill="FFFFFF"/>
            <w:vAlign w:val="center"/>
          </w:tcPr>
          <w:p w14:paraId="6FFE1CE7" w14:textId="77777777" w:rsidR="00965622" w:rsidRPr="00935B0A" w:rsidRDefault="00965622" w:rsidP="00935B0A">
            <w:pPr>
              <w:ind w:right="-30"/>
              <w:jc w:val="center"/>
              <w:rPr>
                <w:rFonts w:ascii="Arial Narrow" w:hAnsi="Arial Narrow"/>
                <w:b/>
                <w:sz w:val="20"/>
                <w:szCs w:val="20"/>
              </w:rPr>
            </w:pPr>
            <w:r w:rsidRPr="00935B0A">
              <w:rPr>
                <w:rFonts w:ascii="Arial Narrow" w:hAnsi="Arial Narrow"/>
                <w:b/>
                <w:sz w:val="20"/>
                <w:szCs w:val="20"/>
              </w:rPr>
              <w:t>Manual de Contabilidad</w:t>
            </w:r>
          </w:p>
        </w:tc>
        <w:tc>
          <w:tcPr>
            <w:tcW w:w="3964" w:type="dxa"/>
            <w:tcBorders>
              <w:top w:val="single" w:sz="4" w:space="0" w:color="auto"/>
              <w:left w:val="single" w:sz="4" w:space="0" w:color="auto"/>
              <w:bottom w:val="single" w:sz="4" w:space="0" w:color="auto"/>
            </w:tcBorders>
            <w:shd w:val="pct20" w:color="auto" w:fill="FFFFFF"/>
            <w:vAlign w:val="center"/>
          </w:tcPr>
          <w:p w14:paraId="02A7C029" w14:textId="77777777" w:rsidR="00965622" w:rsidRPr="00935B0A" w:rsidRDefault="00965622" w:rsidP="00935B0A">
            <w:pPr>
              <w:ind w:right="-30"/>
              <w:jc w:val="center"/>
              <w:rPr>
                <w:rFonts w:ascii="Arial Narrow" w:hAnsi="Arial Narrow"/>
                <w:b/>
                <w:sz w:val="20"/>
                <w:szCs w:val="20"/>
              </w:rPr>
            </w:pPr>
            <w:r w:rsidRPr="00935B0A">
              <w:rPr>
                <w:rFonts w:ascii="Arial Narrow" w:hAnsi="Arial Narrow"/>
                <w:b/>
                <w:sz w:val="20"/>
                <w:szCs w:val="20"/>
              </w:rPr>
              <w:t>DESCRIPCIÓN</w:t>
            </w:r>
          </w:p>
        </w:tc>
        <w:tc>
          <w:tcPr>
            <w:tcW w:w="1391" w:type="dxa"/>
            <w:tcBorders>
              <w:top w:val="single" w:sz="4" w:space="0" w:color="auto"/>
              <w:left w:val="single" w:sz="4" w:space="0" w:color="auto"/>
              <w:bottom w:val="single" w:sz="4" w:space="0" w:color="auto"/>
              <w:right w:val="single" w:sz="4" w:space="0" w:color="auto"/>
            </w:tcBorders>
            <w:shd w:val="pct20" w:color="auto" w:fill="FFFFFF"/>
            <w:vAlign w:val="center"/>
          </w:tcPr>
          <w:p w14:paraId="78838A48" w14:textId="77777777" w:rsidR="00965622" w:rsidRPr="00935B0A" w:rsidRDefault="00965622" w:rsidP="00935B0A">
            <w:pPr>
              <w:ind w:right="-30"/>
              <w:jc w:val="center"/>
              <w:rPr>
                <w:rFonts w:ascii="Arial Narrow" w:hAnsi="Arial Narrow"/>
                <w:b/>
                <w:sz w:val="20"/>
                <w:szCs w:val="20"/>
              </w:rPr>
            </w:pPr>
            <w:r w:rsidRPr="00935B0A">
              <w:rPr>
                <w:rFonts w:ascii="Arial Narrow" w:hAnsi="Arial Narrow"/>
                <w:b/>
                <w:sz w:val="20"/>
                <w:szCs w:val="20"/>
              </w:rPr>
              <w:t>PERIODICIDAD</w:t>
            </w:r>
          </w:p>
        </w:tc>
      </w:tr>
      <w:tr w:rsidR="00965622" w:rsidRPr="00935B0A" w14:paraId="3AC67FD7" w14:textId="77777777">
        <w:trPr>
          <w:cantSplit/>
          <w:trHeight w:val="535"/>
        </w:trPr>
        <w:tc>
          <w:tcPr>
            <w:tcW w:w="1908" w:type="dxa"/>
            <w:vMerge w:val="restart"/>
            <w:tcBorders>
              <w:top w:val="single" w:sz="4" w:space="0" w:color="auto"/>
              <w:left w:val="single" w:sz="4" w:space="0" w:color="auto"/>
              <w:right w:val="single" w:sz="4" w:space="0" w:color="auto"/>
            </w:tcBorders>
            <w:vAlign w:val="center"/>
          </w:tcPr>
          <w:p w14:paraId="2AD0A619" w14:textId="77777777" w:rsidR="00965622" w:rsidRPr="00935B0A" w:rsidRDefault="00965622" w:rsidP="00BC030E">
            <w:pPr>
              <w:ind w:right="-30"/>
              <w:jc w:val="center"/>
              <w:rPr>
                <w:rFonts w:ascii="Arial Narrow" w:hAnsi="Arial Narrow"/>
                <w:b/>
                <w:sz w:val="20"/>
                <w:szCs w:val="20"/>
              </w:rPr>
            </w:pPr>
            <w:r w:rsidRPr="00935B0A">
              <w:rPr>
                <w:rFonts w:ascii="Arial Narrow" w:hAnsi="Arial Narrow"/>
                <w:b/>
                <w:sz w:val="20"/>
                <w:szCs w:val="20"/>
              </w:rPr>
              <w:t xml:space="preserve">Riesgo </w:t>
            </w:r>
            <w:r w:rsidR="00537489" w:rsidRPr="00935B0A">
              <w:rPr>
                <w:rFonts w:ascii="Arial Narrow" w:hAnsi="Arial Narrow"/>
                <w:b/>
                <w:sz w:val="20"/>
                <w:szCs w:val="20"/>
              </w:rPr>
              <w:t>de Crédito</w:t>
            </w:r>
          </w:p>
          <w:p w14:paraId="2180DF81" w14:textId="77777777" w:rsidR="00965622" w:rsidRPr="00935B0A" w:rsidRDefault="00965622" w:rsidP="00BC030E">
            <w:pPr>
              <w:ind w:right="-30"/>
              <w:jc w:val="center"/>
              <w:rPr>
                <w:rFonts w:ascii="Arial Narrow" w:hAnsi="Arial Narrow"/>
                <w:b/>
                <w:sz w:val="20"/>
                <w:szCs w:val="20"/>
              </w:rPr>
            </w:pPr>
          </w:p>
        </w:tc>
        <w:tc>
          <w:tcPr>
            <w:tcW w:w="1869" w:type="dxa"/>
            <w:tcBorders>
              <w:top w:val="single" w:sz="4" w:space="0" w:color="auto"/>
              <w:left w:val="nil"/>
              <w:bottom w:val="single" w:sz="6" w:space="0" w:color="auto"/>
              <w:right w:val="single" w:sz="6" w:space="0" w:color="auto"/>
            </w:tcBorders>
            <w:vAlign w:val="center"/>
          </w:tcPr>
          <w:p w14:paraId="680B2A35" w14:textId="77777777" w:rsidR="00965622" w:rsidRPr="00935B0A" w:rsidRDefault="00965622" w:rsidP="00BC030E">
            <w:pPr>
              <w:ind w:right="-30"/>
              <w:jc w:val="center"/>
              <w:rPr>
                <w:rFonts w:ascii="Arial Narrow" w:hAnsi="Arial Narrow"/>
                <w:b/>
                <w:sz w:val="20"/>
                <w:szCs w:val="20"/>
              </w:rPr>
            </w:pPr>
            <w:r w:rsidRPr="00935B0A">
              <w:rPr>
                <w:rFonts w:ascii="Arial Narrow" w:hAnsi="Arial Narrow"/>
                <w:b/>
                <w:sz w:val="20"/>
                <w:szCs w:val="20"/>
              </w:rPr>
              <w:t>Anexo 2</w:t>
            </w:r>
            <w:r w:rsidRPr="00935B0A">
              <w:rPr>
                <w:rFonts w:ascii="Arial Narrow" w:hAnsi="Arial Narrow"/>
                <w:b/>
                <w:sz w:val="20"/>
                <w:szCs w:val="20"/>
                <w:vertAlign w:val="superscript"/>
              </w:rPr>
              <w:t>1</w:t>
            </w:r>
          </w:p>
        </w:tc>
        <w:tc>
          <w:tcPr>
            <w:tcW w:w="3964" w:type="dxa"/>
            <w:tcBorders>
              <w:top w:val="single" w:sz="4" w:space="0" w:color="auto"/>
              <w:left w:val="single" w:sz="6" w:space="0" w:color="auto"/>
              <w:bottom w:val="single" w:sz="6" w:space="0" w:color="auto"/>
              <w:right w:val="single" w:sz="6" w:space="0" w:color="auto"/>
            </w:tcBorders>
          </w:tcPr>
          <w:p w14:paraId="0F5F2500" w14:textId="77777777" w:rsidR="00965622" w:rsidRPr="00935B0A" w:rsidRDefault="00092601" w:rsidP="00BC030E">
            <w:pPr>
              <w:ind w:left="28" w:right="28"/>
              <w:rPr>
                <w:rFonts w:ascii="Arial Narrow" w:hAnsi="Arial Narrow"/>
                <w:sz w:val="20"/>
                <w:szCs w:val="20"/>
              </w:rPr>
            </w:pPr>
            <w:r w:rsidRPr="00935B0A">
              <w:rPr>
                <w:rFonts w:ascii="Arial Narrow" w:hAnsi="Arial Narrow"/>
                <w:sz w:val="20"/>
                <w:szCs w:val="20"/>
              </w:rPr>
              <w:t>Créditos Directos Según Tipo de Garantía</w:t>
            </w:r>
          </w:p>
        </w:tc>
        <w:tc>
          <w:tcPr>
            <w:tcW w:w="1391" w:type="dxa"/>
            <w:tcBorders>
              <w:top w:val="single" w:sz="4" w:space="0" w:color="auto"/>
              <w:left w:val="single" w:sz="6" w:space="0" w:color="auto"/>
              <w:bottom w:val="single" w:sz="6" w:space="0" w:color="auto"/>
              <w:right w:val="single" w:sz="6" w:space="0" w:color="auto"/>
            </w:tcBorders>
            <w:vAlign w:val="center"/>
          </w:tcPr>
          <w:p w14:paraId="501B1A23" w14:textId="77777777" w:rsidR="00965622" w:rsidRPr="00935B0A" w:rsidRDefault="00965622" w:rsidP="00BC030E">
            <w:pPr>
              <w:ind w:right="-30"/>
              <w:jc w:val="center"/>
              <w:rPr>
                <w:rFonts w:ascii="Arial Narrow" w:hAnsi="Arial Narrow"/>
                <w:sz w:val="20"/>
                <w:szCs w:val="20"/>
              </w:rPr>
            </w:pPr>
            <w:r w:rsidRPr="00935B0A">
              <w:rPr>
                <w:rFonts w:ascii="Arial Narrow" w:hAnsi="Arial Narrow"/>
                <w:sz w:val="20"/>
                <w:szCs w:val="20"/>
              </w:rPr>
              <w:t>Mensual</w:t>
            </w:r>
          </w:p>
        </w:tc>
      </w:tr>
      <w:tr w:rsidR="00965622" w:rsidRPr="00935B0A" w14:paraId="3ADBF6A0" w14:textId="77777777">
        <w:trPr>
          <w:cantSplit/>
          <w:trHeight w:val="459"/>
        </w:trPr>
        <w:tc>
          <w:tcPr>
            <w:tcW w:w="1908" w:type="dxa"/>
            <w:vMerge/>
            <w:tcBorders>
              <w:left w:val="single" w:sz="4" w:space="0" w:color="auto"/>
              <w:right w:val="single" w:sz="4" w:space="0" w:color="auto"/>
            </w:tcBorders>
            <w:vAlign w:val="center"/>
          </w:tcPr>
          <w:p w14:paraId="6C232DC0" w14:textId="77777777" w:rsidR="00965622" w:rsidRPr="00935B0A" w:rsidRDefault="00965622" w:rsidP="00BC030E">
            <w:pPr>
              <w:ind w:right="-30"/>
              <w:jc w:val="center"/>
              <w:rPr>
                <w:rFonts w:ascii="Arial Narrow" w:hAnsi="Arial Narrow"/>
                <w:b/>
                <w:sz w:val="20"/>
                <w:szCs w:val="20"/>
              </w:rPr>
            </w:pPr>
          </w:p>
        </w:tc>
        <w:tc>
          <w:tcPr>
            <w:tcW w:w="1869" w:type="dxa"/>
            <w:tcBorders>
              <w:top w:val="single" w:sz="6" w:space="0" w:color="auto"/>
              <w:left w:val="nil"/>
              <w:right w:val="single" w:sz="6" w:space="0" w:color="auto"/>
            </w:tcBorders>
            <w:vAlign w:val="center"/>
          </w:tcPr>
          <w:p w14:paraId="1C9F0601" w14:textId="77777777" w:rsidR="00965622" w:rsidRPr="00935B0A" w:rsidRDefault="00965622" w:rsidP="00BC030E">
            <w:pPr>
              <w:pStyle w:val="Ttulo1"/>
              <w:rPr>
                <w:rFonts w:ascii="Arial Narrow" w:hAnsi="Arial Narrow"/>
                <w:sz w:val="20"/>
                <w:szCs w:val="20"/>
              </w:rPr>
            </w:pPr>
            <w:r w:rsidRPr="00935B0A">
              <w:rPr>
                <w:rFonts w:ascii="Arial Narrow" w:hAnsi="Arial Narrow"/>
                <w:sz w:val="20"/>
                <w:szCs w:val="20"/>
              </w:rPr>
              <w:t>Anexo 3</w:t>
            </w:r>
            <w:r w:rsidRPr="00935B0A">
              <w:rPr>
                <w:rFonts w:ascii="Arial Narrow" w:hAnsi="Arial Narrow"/>
                <w:b w:val="0"/>
                <w:sz w:val="20"/>
                <w:szCs w:val="20"/>
                <w:vertAlign w:val="superscript"/>
              </w:rPr>
              <w:t>1</w:t>
            </w:r>
          </w:p>
        </w:tc>
        <w:tc>
          <w:tcPr>
            <w:tcW w:w="3964" w:type="dxa"/>
            <w:tcBorders>
              <w:top w:val="single" w:sz="6" w:space="0" w:color="auto"/>
              <w:left w:val="single" w:sz="6" w:space="0" w:color="auto"/>
              <w:right w:val="single" w:sz="6" w:space="0" w:color="auto"/>
            </w:tcBorders>
          </w:tcPr>
          <w:p w14:paraId="1BB61388" w14:textId="77777777" w:rsidR="00965622" w:rsidRPr="00935B0A" w:rsidRDefault="00092601" w:rsidP="00BC030E">
            <w:pPr>
              <w:ind w:left="28" w:right="28"/>
              <w:jc w:val="both"/>
              <w:rPr>
                <w:rFonts w:ascii="Arial Narrow" w:hAnsi="Arial Narrow"/>
                <w:sz w:val="20"/>
                <w:szCs w:val="20"/>
              </w:rPr>
            </w:pPr>
            <w:r w:rsidRPr="00935B0A">
              <w:rPr>
                <w:rFonts w:ascii="Arial Narrow" w:hAnsi="Arial Narrow"/>
                <w:sz w:val="20"/>
                <w:szCs w:val="20"/>
              </w:rPr>
              <w:t xml:space="preserve">Stock y Flujo </w:t>
            </w:r>
            <w:r w:rsidR="00520001" w:rsidRPr="00935B0A">
              <w:rPr>
                <w:rFonts w:ascii="Arial Narrow" w:hAnsi="Arial Narrow"/>
                <w:sz w:val="20"/>
                <w:szCs w:val="20"/>
              </w:rPr>
              <w:t>Crediticio por</w:t>
            </w:r>
            <w:r w:rsidRPr="00935B0A">
              <w:rPr>
                <w:rFonts w:ascii="Arial Narrow" w:hAnsi="Arial Narrow"/>
                <w:sz w:val="20"/>
                <w:szCs w:val="20"/>
              </w:rPr>
              <w:t xml:space="preserve"> Tipo de Crédito y Sector Económico</w:t>
            </w:r>
          </w:p>
        </w:tc>
        <w:tc>
          <w:tcPr>
            <w:tcW w:w="1391" w:type="dxa"/>
            <w:tcBorders>
              <w:top w:val="single" w:sz="6" w:space="0" w:color="auto"/>
              <w:left w:val="single" w:sz="6" w:space="0" w:color="auto"/>
              <w:right w:val="single" w:sz="6" w:space="0" w:color="auto"/>
            </w:tcBorders>
            <w:vAlign w:val="center"/>
          </w:tcPr>
          <w:p w14:paraId="3318009B" w14:textId="77777777" w:rsidR="00965622" w:rsidRPr="00935B0A" w:rsidRDefault="00965622" w:rsidP="00BC030E">
            <w:pPr>
              <w:ind w:right="-30"/>
              <w:jc w:val="center"/>
              <w:rPr>
                <w:rFonts w:ascii="Arial Narrow" w:hAnsi="Arial Narrow"/>
                <w:sz w:val="20"/>
                <w:szCs w:val="20"/>
              </w:rPr>
            </w:pPr>
            <w:r w:rsidRPr="00935B0A">
              <w:rPr>
                <w:rFonts w:ascii="Arial Narrow" w:hAnsi="Arial Narrow"/>
                <w:sz w:val="20"/>
                <w:szCs w:val="20"/>
              </w:rPr>
              <w:t>Mensual</w:t>
            </w:r>
          </w:p>
        </w:tc>
      </w:tr>
      <w:tr w:rsidR="0000104D" w:rsidRPr="00935B0A" w14:paraId="64578B0B" w14:textId="77777777">
        <w:trPr>
          <w:cantSplit/>
          <w:trHeight w:val="703"/>
        </w:trPr>
        <w:tc>
          <w:tcPr>
            <w:tcW w:w="1908" w:type="dxa"/>
            <w:vMerge/>
            <w:tcBorders>
              <w:left w:val="single" w:sz="4" w:space="0" w:color="auto"/>
              <w:right w:val="single" w:sz="4" w:space="0" w:color="auto"/>
            </w:tcBorders>
            <w:vAlign w:val="center"/>
          </w:tcPr>
          <w:p w14:paraId="23913A6F" w14:textId="77777777" w:rsidR="0000104D" w:rsidRPr="00935B0A" w:rsidRDefault="0000104D" w:rsidP="00BC030E">
            <w:pPr>
              <w:ind w:right="-30"/>
              <w:jc w:val="center"/>
              <w:rPr>
                <w:rFonts w:ascii="Arial Narrow" w:hAnsi="Arial Narrow"/>
                <w:b/>
                <w:sz w:val="20"/>
                <w:szCs w:val="20"/>
              </w:rPr>
            </w:pPr>
          </w:p>
        </w:tc>
        <w:tc>
          <w:tcPr>
            <w:tcW w:w="1869" w:type="dxa"/>
            <w:tcBorders>
              <w:top w:val="single" w:sz="4" w:space="0" w:color="auto"/>
              <w:left w:val="nil"/>
              <w:bottom w:val="single" w:sz="4" w:space="0" w:color="auto"/>
              <w:right w:val="single" w:sz="4" w:space="0" w:color="auto"/>
            </w:tcBorders>
            <w:vAlign w:val="center"/>
          </w:tcPr>
          <w:p w14:paraId="157B73CB" w14:textId="77777777" w:rsidR="0000104D" w:rsidRPr="00935B0A" w:rsidRDefault="0000104D" w:rsidP="003D0696">
            <w:pPr>
              <w:jc w:val="center"/>
              <w:rPr>
                <w:rFonts w:ascii="Arial Narrow" w:hAnsi="Arial Narrow"/>
                <w:b/>
                <w:sz w:val="20"/>
                <w:szCs w:val="20"/>
              </w:rPr>
            </w:pPr>
            <w:r w:rsidRPr="00935B0A">
              <w:rPr>
                <w:rFonts w:ascii="Arial Narrow" w:hAnsi="Arial Narrow"/>
                <w:b/>
                <w:sz w:val="20"/>
                <w:szCs w:val="20"/>
              </w:rPr>
              <w:t xml:space="preserve">Anexo 4-A </w:t>
            </w:r>
            <w:r w:rsidRPr="00935B0A">
              <w:rPr>
                <w:rFonts w:ascii="Arial Narrow" w:hAnsi="Arial Narrow"/>
                <w:b/>
                <w:sz w:val="20"/>
                <w:szCs w:val="20"/>
                <w:vertAlign w:val="superscript"/>
              </w:rPr>
              <w:t>1.</w:t>
            </w:r>
            <w:r w:rsidR="00BB01F2" w:rsidRPr="00935B0A">
              <w:rPr>
                <w:rFonts w:ascii="Arial Narrow" w:hAnsi="Arial Narrow"/>
                <w:b/>
                <w:sz w:val="20"/>
                <w:szCs w:val="20"/>
                <w:vertAlign w:val="superscript"/>
              </w:rPr>
              <w:t>1</w:t>
            </w:r>
          </w:p>
        </w:tc>
        <w:tc>
          <w:tcPr>
            <w:tcW w:w="3964" w:type="dxa"/>
            <w:tcBorders>
              <w:top w:val="single" w:sz="4" w:space="0" w:color="auto"/>
              <w:left w:val="nil"/>
              <w:bottom w:val="single" w:sz="4" w:space="0" w:color="auto"/>
              <w:right w:val="single" w:sz="4" w:space="0" w:color="auto"/>
            </w:tcBorders>
          </w:tcPr>
          <w:p w14:paraId="3C15E074" w14:textId="77777777" w:rsidR="0000104D" w:rsidRPr="00935B0A" w:rsidRDefault="0000104D" w:rsidP="003D0696">
            <w:pPr>
              <w:spacing w:before="60" w:after="60"/>
              <w:ind w:left="28" w:right="28"/>
              <w:jc w:val="both"/>
              <w:rPr>
                <w:rFonts w:ascii="Arial Narrow" w:hAnsi="Arial Narrow"/>
                <w:sz w:val="20"/>
                <w:szCs w:val="20"/>
              </w:rPr>
            </w:pPr>
            <w:r w:rsidRPr="00935B0A">
              <w:rPr>
                <w:rFonts w:ascii="Arial Narrow" w:hAnsi="Arial Narrow"/>
                <w:sz w:val="20"/>
                <w:szCs w:val="20"/>
              </w:rPr>
              <w:t>Bienes Adjudicados</w:t>
            </w:r>
            <w:r w:rsidR="003D0696" w:rsidRPr="00935B0A">
              <w:rPr>
                <w:rFonts w:ascii="Arial Narrow" w:hAnsi="Arial Narrow"/>
                <w:sz w:val="20"/>
                <w:szCs w:val="20"/>
              </w:rPr>
              <w:t xml:space="preserve">, </w:t>
            </w:r>
            <w:r w:rsidRPr="00935B0A">
              <w:rPr>
                <w:rFonts w:ascii="Arial Narrow" w:hAnsi="Arial Narrow"/>
                <w:sz w:val="20"/>
                <w:szCs w:val="20"/>
              </w:rPr>
              <w:t>Recuperados</w:t>
            </w:r>
            <w:r w:rsidR="003D0696" w:rsidRPr="00935B0A">
              <w:rPr>
                <w:rFonts w:ascii="Arial Narrow" w:hAnsi="Arial Narrow"/>
                <w:sz w:val="20"/>
                <w:szCs w:val="20"/>
              </w:rPr>
              <w:t xml:space="preserve"> y Restituidos</w:t>
            </w:r>
          </w:p>
        </w:tc>
        <w:tc>
          <w:tcPr>
            <w:tcW w:w="1391" w:type="dxa"/>
            <w:tcBorders>
              <w:top w:val="single" w:sz="4" w:space="0" w:color="auto"/>
              <w:left w:val="nil"/>
              <w:bottom w:val="single" w:sz="4" w:space="0" w:color="auto"/>
              <w:right w:val="single" w:sz="4" w:space="0" w:color="auto"/>
            </w:tcBorders>
            <w:vAlign w:val="center"/>
          </w:tcPr>
          <w:p w14:paraId="2E509457" w14:textId="77777777" w:rsidR="0000104D" w:rsidRPr="00935B0A" w:rsidRDefault="0000104D" w:rsidP="00BC030E">
            <w:pPr>
              <w:jc w:val="center"/>
              <w:rPr>
                <w:rFonts w:ascii="Arial Narrow" w:hAnsi="Arial Narrow"/>
                <w:sz w:val="20"/>
                <w:szCs w:val="20"/>
              </w:rPr>
            </w:pPr>
            <w:r w:rsidRPr="00935B0A">
              <w:rPr>
                <w:rFonts w:ascii="Arial Narrow" w:hAnsi="Arial Narrow"/>
                <w:sz w:val="20"/>
                <w:szCs w:val="20"/>
              </w:rPr>
              <w:t>Mensual</w:t>
            </w:r>
          </w:p>
        </w:tc>
      </w:tr>
      <w:tr w:rsidR="0000104D" w:rsidRPr="00935B0A" w14:paraId="3390A401" w14:textId="77777777">
        <w:trPr>
          <w:cantSplit/>
          <w:trHeight w:val="703"/>
        </w:trPr>
        <w:tc>
          <w:tcPr>
            <w:tcW w:w="1908" w:type="dxa"/>
            <w:vMerge/>
            <w:tcBorders>
              <w:left w:val="single" w:sz="4" w:space="0" w:color="auto"/>
              <w:right w:val="single" w:sz="4" w:space="0" w:color="auto"/>
            </w:tcBorders>
            <w:vAlign w:val="center"/>
          </w:tcPr>
          <w:p w14:paraId="0D7E231B" w14:textId="77777777" w:rsidR="0000104D" w:rsidRPr="00935B0A" w:rsidRDefault="0000104D" w:rsidP="00BC030E">
            <w:pPr>
              <w:ind w:right="-30"/>
              <w:jc w:val="center"/>
              <w:rPr>
                <w:rFonts w:ascii="Arial Narrow" w:hAnsi="Arial Narrow"/>
                <w:b/>
                <w:sz w:val="20"/>
                <w:szCs w:val="20"/>
              </w:rPr>
            </w:pPr>
          </w:p>
        </w:tc>
        <w:tc>
          <w:tcPr>
            <w:tcW w:w="1869" w:type="dxa"/>
            <w:tcBorders>
              <w:top w:val="single" w:sz="4" w:space="0" w:color="auto"/>
              <w:left w:val="nil"/>
              <w:bottom w:val="single" w:sz="4" w:space="0" w:color="auto"/>
              <w:right w:val="single" w:sz="4" w:space="0" w:color="auto"/>
            </w:tcBorders>
            <w:vAlign w:val="center"/>
          </w:tcPr>
          <w:p w14:paraId="3B156AD2" w14:textId="77777777" w:rsidR="0000104D" w:rsidRPr="00935B0A" w:rsidRDefault="003D0696" w:rsidP="003D0696">
            <w:pPr>
              <w:jc w:val="center"/>
              <w:rPr>
                <w:rFonts w:ascii="Arial Narrow" w:hAnsi="Arial Narrow"/>
                <w:b/>
                <w:sz w:val="20"/>
                <w:szCs w:val="20"/>
              </w:rPr>
            </w:pPr>
            <w:r w:rsidRPr="00935B0A">
              <w:rPr>
                <w:rFonts w:ascii="Arial Narrow" w:hAnsi="Arial Narrow"/>
                <w:b/>
                <w:sz w:val="20"/>
                <w:szCs w:val="20"/>
              </w:rPr>
              <w:t xml:space="preserve">Anexo 4-B </w:t>
            </w:r>
            <w:r w:rsidR="0000104D" w:rsidRPr="00935B0A">
              <w:rPr>
                <w:rFonts w:ascii="Arial Narrow" w:hAnsi="Arial Narrow"/>
                <w:b/>
                <w:sz w:val="20"/>
                <w:szCs w:val="20"/>
                <w:vertAlign w:val="superscript"/>
              </w:rPr>
              <w:t>1.</w:t>
            </w:r>
            <w:r w:rsidR="00BB01F2" w:rsidRPr="00935B0A">
              <w:rPr>
                <w:rFonts w:ascii="Arial Narrow" w:hAnsi="Arial Narrow"/>
                <w:b/>
                <w:sz w:val="20"/>
                <w:szCs w:val="20"/>
                <w:vertAlign w:val="superscript"/>
              </w:rPr>
              <w:t>1</w:t>
            </w:r>
          </w:p>
        </w:tc>
        <w:tc>
          <w:tcPr>
            <w:tcW w:w="3964" w:type="dxa"/>
            <w:tcBorders>
              <w:top w:val="single" w:sz="4" w:space="0" w:color="auto"/>
              <w:left w:val="nil"/>
              <w:bottom w:val="single" w:sz="4" w:space="0" w:color="auto"/>
              <w:right w:val="single" w:sz="4" w:space="0" w:color="auto"/>
            </w:tcBorders>
          </w:tcPr>
          <w:p w14:paraId="3FAFD3FB" w14:textId="77777777" w:rsidR="0000104D" w:rsidRPr="00935B0A" w:rsidRDefault="0000104D" w:rsidP="003D0696">
            <w:pPr>
              <w:spacing w:before="60" w:after="60"/>
              <w:ind w:left="28" w:right="28"/>
              <w:jc w:val="both"/>
              <w:rPr>
                <w:rFonts w:ascii="Arial Narrow" w:hAnsi="Arial Narrow"/>
                <w:sz w:val="20"/>
                <w:szCs w:val="20"/>
              </w:rPr>
            </w:pPr>
            <w:r w:rsidRPr="00935B0A">
              <w:rPr>
                <w:rFonts w:ascii="Arial Narrow" w:hAnsi="Arial Narrow"/>
                <w:sz w:val="20"/>
                <w:szCs w:val="20"/>
              </w:rPr>
              <w:t xml:space="preserve">Información de Venta o Entrega en Arrendamiento Financiero </w:t>
            </w:r>
            <w:r w:rsidR="003D0696" w:rsidRPr="00935B0A">
              <w:rPr>
                <w:rFonts w:ascii="Arial Narrow" w:hAnsi="Arial Narrow"/>
                <w:sz w:val="20"/>
                <w:szCs w:val="20"/>
              </w:rPr>
              <w:t xml:space="preserve">o Entrega en Capitalización Inmobiliaria </w:t>
            </w:r>
            <w:r w:rsidRPr="00935B0A">
              <w:rPr>
                <w:rFonts w:ascii="Arial Narrow" w:hAnsi="Arial Narrow"/>
                <w:sz w:val="20"/>
                <w:szCs w:val="20"/>
              </w:rPr>
              <w:t>de Bienes Adjudicados</w:t>
            </w:r>
            <w:r w:rsidR="003D0696" w:rsidRPr="00935B0A">
              <w:rPr>
                <w:rFonts w:ascii="Arial Narrow" w:hAnsi="Arial Narrow"/>
                <w:sz w:val="20"/>
                <w:szCs w:val="20"/>
              </w:rPr>
              <w:t xml:space="preserve">, </w:t>
            </w:r>
            <w:r w:rsidRPr="00935B0A">
              <w:rPr>
                <w:rFonts w:ascii="Arial Narrow" w:hAnsi="Arial Narrow"/>
                <w:sz w:val="20"/>
                <w:szCs w:val="20"/>
              </w:rPr>
              <w:t>Recuperados</w:t>
            </w:r>
            <w:r w:rsidR="003D0696" w:rsidRPr="00935B0A">
              <w:rPr>
                <w:rFonts w:ascii="Arial Narrow" w:hAnsi="Arial Narrow"/>
                <w:sz w:val="20"/>
                <w:szCs w:val="20"/>
              </w:rPr>
              <w:t xml:space="preserve"> y Restituidos</w:t>
            </w:r>
          </w:p>
        </w:tc>
        <w:tc>
          <w:tcPr>
            <w:tcW w:w="1391" w:type="dxa"/>
            <w:tcBorders>
              <w:top w:val="single" w:sz="4" w:space="0" w:color="auto"/>
              <w:left w:val="nil"/>
              <w:bottom w:val="single" w:sz="4" w:space="0" w:color="auto"/>
              <w:right w:val="single" w:sz="4" w:space="0" w:color="auto"/>
            </w:tcBorders>
            <w:vAlign w:val="center"/>
          </w:tcPr>
          <w:p w14:paraId="576407EB" w14:textId="77777777" w:rsidR="0000104D" w:rsidRPr="00935B0A" w:rsidRDefault="0000104D" w:rsidP="00BC030E">
            <w:pPr>
              <w:jc w:val="center"/>
              <w:rPr>
                <w:rFonts w:ascii="Arial Narrow" w:hAnsi="Arial Narrow"/>
                <w:sz w:val="20"/>
                <w:szCs w:val="20"/>
              </w:rPr>
            </w:pPr>
            <w:r w:rsidRPr="00935B0A">
              <w:rPr>
                <w:rFonts w:ascii="Arial Narrow" w:hAnsi="Arial Narrow"/>
                <w:sz w:val="20"/>
                <w:szCs w:val="20"/>
              </w:rPr>
              <w:t>Mensual</w:t>
            </w:r>
          </w:p>
        </w:tc>
      </w:tr>
      <w:tr w:rsidR="00965622" w:rsidRPr="00935B0A" w14:paraId="19336958" w14:textId="77777777">
        <w:trPr>
          <w:cantSplit/>
          <w:trHeight w:val="703"/>
        </w:trPr>
        <w:tc>
          <w:tcPr>
            <w:tcW w:w="1908" w:type="dxa"/>
            <w:vMerge/>
            <w:tcBorders>
              <w:left w:val="single" w:sz="4" w:space="0" w:color="auto"/>
              <w:right w:val="single" w:sz="4" w:space="0" w:color="auto"/>
            </w:tcBorders>
            <w:vAlign w:val="center"/>
          </w:tcPr>
          <w:p w14:paraId="4EF087D7" w14:textId="77777777" w:rsidR="00965622" w:rsidRPr="00935B0A" w:rsidRDefault="00965622" w:rsidP="00BC030E">
            <w:pPr>
              <w:ind w:right="-30"/>
              <w:jc w:val="center"/>
              <w:rPr>
                <w:rFonts w:ascii="Arial Narrow" w:hAnsi="Arial Narrow"/>
                <w:b/>
                <w:sz w:val="20"/>
                <w:szCs w:val="20"/>
              </w:rPr>
            </w:pPr>
          </w:p>
        </w:tc>
        <w:tc>
          <w:tcPr>
            <w:tcW w:w="1869" w:type="dxa"/>
            <w:tcBorders>
              <w:top w:val="single" w:sz="4" w:space="0" w:color="auto"/>
              <w:left w:val="nil"/>
              <w:bottom w:val="single" w:sz="4" w:space="0" w:color="auto"/>
              <w:right w:val="single" w:sz="4" w:space="0" w:color="auto"/>
            </w:tcBorders>
            <w:vAlign w:val="center"/>
          </w:tcPr>
          <w:p w14:paraId="7C9815E6" w14:textId="77777777" w:rsidR="00965622" w:rsidRPr="00935B0A" w:rsidRDefault="00965622" w:rsidP="00BC030E">
            <w:pPr>
              <w:jc w:val="center"/>
              <w:rPr>
                <w:rFonts w:ascii="Arial Narrow" w:hAnsi="Arial Narrow"/>
                <w:b/>
                <w:sz w:val="20"/>
                <w:szCs w:val="20"/>
              </w:rPr>
            </w:pPr>
            <w:r w:rsidRPr="00935B0A">
              <w:rPr>
                <w:rFonts w:ascii="Arial Narrow" w:hAnsi="Arial Narrow"/>
                <w:b/>
                <w:sz w:val="20"/>
                <w:szCs w:val="20"/>
              </w:rPr>
              <w:t>Anexo 5</w:t>
            </w:r>
            <w:r w:rsidRPr="00935B0A">
              <w:rPr>
                <w:rFonts w:ascii="Arial Narrow" w:hAnsi="Arial Narrow"/>
                <w:b/>
                <w:sz w:val="20"/>
                <w:szCs w:val="20"/>
                <w:vertAlign w:val="superscript"/>
              </w:rPr>
              <w:t>2</w:t>
            </w:r>
          </w:p>
        </w:tc>
        <w:tc>
          <w:tcPr>
            <w:tcW w:w="3964" w:type="dxa"/>
            <w:tcBorders>
              <w:top w:val="single" w:sz="4" w:space="0" w:color="auto"/>
              <w:left w:val="nil"/>
              <w:bottom w:val="single" w:sz="4" w:space="0" w:color="auto"/>
              <w:right w:val="single" w:sz="4" w:space="0" w:color="auto"/>
            </w:tcBorders>
          </w:tcPr>
          <w:p w14:paraId="718D0DBD" w14:textId="77777777" w:rsidR="00965622" w:rsidRPr="00935B0A" w:rsidRDefault="00965622" w:rsidP="00BC030E">
            <w:pPr>
              <w:spacing w:before="60" w:after="60"/>
              <w:ind w:left="28" w:right="28"/>
              <w:jc w:val="both"/>
              <w:rPr>
                <w:rFonts w:ascii="Arial Narrow" w:hAnsi="Arial Narrow"/>
                <w:sz w:val="20"/>
                <w:szCs w:val="20"/>
              </w:rPr>
            </w:pPr>
            <w:r w:rsidRPr="00935B0A">
              <w:rPr>
                <w:rFonts w:ascii="Arial Narrow" w:hAnsi="Arial Narrow"/>
                <w:sz w:val="20"/>
                <w:szCs w:val="20"/>
              </w:rPr>
              <w:t>Informe de Clasificación de Deudores y Provisiones</w:t>
            </w:r>
          </w:p>
        </w:tc>
        <w:tc>
          <w:tcPr>
            <w:tcW w:w="1391" w:type="dxa"/>
            <w:tcBorders>
              <w:top w:val="single" w:sz="4" w:space="0" w:color="auto"/>
              <w:left w:val="nil"/>
              <w:bottom w:val="single" w:sz="4" w:space="0" w:color="auto"/>
              <w:right w:val="single" w:sz="4" w:space="0" w:color="auto"/>
            </w:tcBorders>
            <w:vAlign w:val="center"/>
          </w:tcPr>
          <w:p w14:paraId="4B550F29" w14:textId="77777777" w:rsidR="00965622" w:rsidRPr="00935B0A" w:rsidRDefault="00965622" w:rsidP="00BC030E">
            <w:pPr>
              <w:jc w:val="center"/>
              <w:rPr>
                <w:rFonts w:ascii="Arial Narrow" w:hAnsi="Arial Narrow"/>
                <w:sz w:val="20"/>
                <w:szCs w:val="20"/>
              </w:rPr>
            </w:pPr>
            <w:r w:rsidRPr="00935B0A">
              <w:rPr>
                <w:rFonts w:ascii="Arial Narrow" w:hAnsi="Arial Narrow"/>
                <w:sz w:val="20"/>
                <w:szCs w:val="20"/>
              </w:rPr>
              <w:t>Mensual</w:t>
            </w:r>
          </w:p>
        </w:tc>
      </w:tr>
      <w:tr w:rsidR="00965622" w:rsidRPr="00935B0A" w14:paraId="568D0A87" w14:textId="77777777" w:rsidTr="00B707AA">
        <w:trPr>
          <w:cantSplit/>
          <w:trHeight w:val="1213"/>
        </w:trPr>
        <w:tc>
          <w:tcPr>
            <w:tcW w:w="1908" w:type="dxa"/>
            <w:vMerge/>
            <w:tcBorders>
              <w:left w:val="single" w:sz="4" w:space="0" w:color="auto"/>
              <w:right w:val="single" w:sz="4" w:space="0" w:color="auto"/>
            </w:tcBorders>
            <w:vAlign w:val="center"/>
          </w:tcPr>
          <w:p w14:paraId="645D1974" w14:textId="77777777" w:rsidR="00965622" w:rsidRPr="00935B0A" w:rsidRDefault="00965622" w:rsidP="00BC030E">
            <w:pPr>
              <w:ind w:right="-30"/>
              <w:jc w:val="center"/>
              <w:rPr>
                <w:rFonts w:ascii="Arial Narrow" w:hAnsi="Arial Narrow"/>
                <w:b/>
                <w:sz w:val="20"/>
                <w:szCs w:val="20"/>
              </w:rPr>
            </w:pPr>
          </w:p>
        </w:tc>
        <w:tc>
          <w:tcPr>
            <w:tcW w:w="1869" w:type="dxa"/>
            <w:tcBorders>
              <w:left w:val="nil"/>
              <w:bottom w:val="single" w:sz="4" w:space="0" w:color="auto"/>
              <w:right w:val="single" w:sz="4" w:space="0" w:color="auto"/>
            </w:tcBorders>
            <w:vAlign w:val="center"/>
          </w:tcPr>
          <w:p w14:paraId="62A651BA" w14:textId="77777777" w:rsidR="00965622" w:rsidRPr="00B707AA" w:rsidRDefault="00965622" w:rsidP="00134539">
            <w:pPr>
              <w:jc w:val="center"/>
              <w:rPr>
                <w:rFonts w:ascii="Arial Narrow" w:hAnsi="Arial Narrow"/>
                <w:b/>
                <w:sz w:val="20"/>
                <w:szCs w:val="20"/>
              </w:rPr>
            </w:pPr>
            <w:r w:rsidRPr="00B707AA">
              <w:rPr>
                <w:rFonts w:ascii="Arial Narrow" w:hAnsi="Arial Narrow"/>
                <w:b/>
                <w:sz w:val="20"/>
                <w:szCs w:val="20"/>
              </w:rPr>
              <w:t>Anexos 5-A</w:t>
            </w:r>
            <w:r w:rsidRPr="00B707AA">
              <w:rPr>
                <w:rFonts w:ascii="Arial Narrow" w:hAnsi="Arial Narrow"/>
                <w:b/>
                <w:sz w:val="20"/>
                <w:szCs w:val="20"/>
                <w:vertAlign w:val="superscript"/>
              </w:rPr>
              <w:t>2</w:t>
            </w:r>
          </w:p>
        </w:tc>
        <w:tc>
          <w:tcPr>
            <w:tcW w:w="3964" w:type="dxa"/>
            <w:tcBorders>
              <w:left w:val="nil"/>
              <w:bottom w:val="single" w:sz="4" w:space="0" w:color="auto"/>
              <w:right w:val="single" w:sz="4" w:space="0" w:color="auto"/>
            </w:tcBorders>
            <w:vAlign w:val="center"/>
          </w:tcPr>
          <w:p w14:paraId="219A3D90" w14:textId="77777777" w:rsidR="00965622" w:rsidRPr="00B707AA" w:rsidRDefault="00332070" w:rsidP="00B707AA">
            <w:pPr>
              <w:spacing w:before="60" w:after="60"/>
              <w:ind w:left="28" w:right="28"/>
              <w:rPr>
                <w:rFonts w:ascii="Arial Narrow" w:hAnsi="Arial Narrow"/>
                <w:sz w:val="20"/>
                <w:szCs w:val="20"/>
              </w:rPr>
            </w:pPr>
            <w:r w:rsidRPr="00B707AA">
              <w:rPr>
                <w:rFonts w:ascii="Arial Narrow" w:hAnsi="Arial Narrow"/>
                <w:sz w:val="20"/>
                <w:szCs w:val="20"/>
              </w:rPr>
              <w:t>Resumen de Provisiones Procíclicas</w:t>
            </w:r>
          </w:p>
        </w:tc>
        <w:tc>
          <w:tcPr>
            <w:tcW w:w="1391" w:type="dxa"/>
            <w:tcBorders>
              <w:left w:val="nil"/>
              <w:bottom w:val="single" w:sz="4" w:space="0" w:color="auto"/>
              <w:right w:val="single" w:sz="4" w:space="0" w:color="auto"/>
            </w:tcBorders>
            <w:vAlign w:val="center"/>
          </w:tcPr>
          <w:p w14:paraId="353893DB" w14:textId="77777777" w:rsidR="00965622" w:rsidRPr="00B707AA" w:rsidRDefault="00965622" w:rsidP="00134539">
            <w:pPr>
              <w:jc w:val="center"/>
              <w:rPr>
                <w:rFonts w:ascii="Arial Narrow" w:hAnsi="Arial Narrow"/>
                <w:sz w:val="20"/>
                <w:szCs w:val="20"/>
              </w:rPr>
            </w:pPr>
            <w:r w:rsidRPr="00B707AA">
              <w:rPr>
                <w:rFonts w:ascii="Arial Narrow" w:hAnsi="Arial Narrow"/>
                <w:sz w:val="20"/>
                <w:szCs w:val="20"/>
              </w:rPr>
              <w:t>Mensual</w:t>
            </w:r>
          </w:p>
        </w:tc>
      </w:tr>
      <w:tr w:rsidR="00965622" w:rsidRPr="00935B0A" w14:paraId="084E4DE2" w14:textId="77777777">
        <w:trPr>
          <w:cantSplit/>
          <w:trHeight w:val="500"/>
        </w:trPr>
        <w:tc>
          <w:tcPr>
            <w:tcW w:w="1908" w:type="dxa"/>
            <w:vMerge/>
            <w:tcBorders>
              <w:left w:val="single" w:sz="4" w:space="0" w:color="auto"/>
              <w:right w:val="single" w:sz="4" w:space="0" w:color="auto"/>
            </w:tcBorders>
            <w:vAlign w:val="center"/>
          </w:tcPr>
          <w:p w14:paraId="7BD9D24D" w14:textId="77777777" w:rsidR="00965622" w:rsidRPr="00935B0A" w:rsidRDefault="00965622" w:rsidP="00BC030E">
            <w:pPr>
              <w:ind w:right="-30"/>
              <w:jc w:val="center"/>
              <w:rPr>
                <w:rFonts w:ascii="Arial Narrow" w:hAnsi="Arial Narrow"/>
                <w:b/>
                <w:sz w:val="20"/>
                <w:szCs w:val="20"/>
              </w:rPr>
            </w:pPr>
          </w:p>
        </w:tc>
        <w:tc>
          <w:tcPr>
            <w:tcW w:w="1869" w:type="dxa"/>
            <w:tcBorders>
              <w:left w:val="nil"/>
              <w:bottom w:val="single" w:sz="6" w:space="0" w:color="auto"/>
              <w:right w:val="single" w:sz="6" w:space="0" w:color="auto"/>
            </w:tcBorders>
            <w:vAlign w:val="center"/>
          </w:tcPr>
          <w:p w14:paraId="6E65DE70" w14:textId="77777777" w:rsidR="00965622" w:rsidRPr="00935B0A" w:rsidRDefault="00965622" w:rsidP="00BC030E">
            <w:pPr>
              <w:ind w:right="-30"/>
              <w:jc w:val="center"/>
              <w:rPr>
                <w:rFonts w:ascii="Arial Narrow" w:hAnsi="Arial Narrow"/>
                <w:b/>
                <w:sz w:val="20"/>
                <w:szCs w:val="20"/>
              </w:rPr>
            </w:pPr>
            <w:r w:rsidRPr="00935B0A">
              <w:rPr>
                <w:rFonts w:ascii="Arial Narrow" w:hAnsi="Arial Narrow"/>
                <w:b/>
                <w:sz w:val="20"/>
                <w:szCs w:val="20"/>
              </w:rPr>
              <w:t xml:space="preserve">Anexo 5-B </w:t>
            </w:r>
          </w:p>
          <w:p w14:paraId="5513624D" w14:textId="77777777" w:rsidR="00965622" w:rsidRPr="00935B0A" w:rsidRDefault="00965622" w:rsidP="00BC030E">
            <w:pPr>
              <w:ind w:right="-30"/>
              <w:jc w:val="center"/>
              <w:rPr>
                <w:rFonts w:ascii="Arial Narrow" w:hAnsi="Arial Narrow"/>
                <w:b/>
                <w:sz w:val="20"/>
                <w:szCs w:val="20"/>
              </w:rPr>
            </w:pPr>
            <w:r w:rsidRPr="00935B0A">
              <w:rPr>
                <w:rFonts w:ascii="Arial Narrow" w:hAnsi="Arial Narrow"/>
                <w:b/>
                <w:sz w:val="20"/>
                <w:szCs w:val="20"/>
              </w:rPr>
              <w:t xml:space="preserve">(Sección I, II) </w:t>
            </w:r>
            <w:r w:rsidRPr="00935B0A">
              <w:rPr>
                <w:rFonts w:ascii="Arial Narrow" w:hAnsi="Arial Narrow"/>
                <w:b/>
                <w:sz w:val="20"/>
                <w:szCs w:val="20"/>
                <w:vertAlign w:val="superscript"/>
              </w:rPr>
              <w:t>2</w:t>
            </w:r>
          </w:p>
        </w:tc>
        <w:tc>
          <w:tcPr>
            <w:tcW w:w="3964" w:type="dxa"/>
            <w:tcBorders>
              <w:left w:val="single" w:sz="6" w:space="0" w:color="auto"/>
              <w:bottom w:val="single" w:sz="6" w:space="0" w:color="auto"/>
              <w:right w:val="single" w:sz="6" w:space="0" w:color="auto"/>
            </w:tcBorders>
          </w:tcPr>
          <w:p w14:paraId="63AF084D" w14:textId="77777777" w:rsidR="00965622" w:rsidRPr="00935B0A" w:rsidRDefault="00965622" w:rsidP="00BC030E">
            <w:pPr>
              <w:ind w:left="28" w:right="28"/>
              <w:jc w:val="both"/>
              <w:rPr>
                <w:rFonts w:ascii="Arial Narrow" w:hAnsi="Arial Narrow"/>
                <w:sz w:val="20"/>
                <w:szCs w:val="20"/>
              </w:rPr>
            </w:pPr>
            <w:r w:rsidRPr="00935B0A">
              <w:rPr>
                <w:rFonts w:ascii="Arial Narrow" w:hAnsi="Arial Narrow"/>
                <w:sz w:val="20"/>
                <w:szCs w:val="20"/>
              </w:rPr>
              <w:t xml:space="preserve">Informe de Clasificación de </w:t>
            </w:r>
            <w:r w:rsidRPr="00BB458B">
              <w:rPr>
                <w:rFonts w:ascii="Arial Narrow" w:hAnsi="Arial Narrow"/>
                <w:sz w:val="20"/>
                <w:szCs w:val="20"/>
              </w:rPr>
              <w:t>los Deudores y Provisiones –</w:t>
            </w:r>
            <w:r w:rsidRPr="00935B0A">
              <w:rPr>
                <w:rFonts w:ascii="Arial Narrow" w:hAnsi="Arial Narrow"/>
                <w:sz w:val="20"/>
                <w:szCs w:val="20"/>
              </w:rPr>
              <w:t xml:space="preserve"> Transferencia de Cartera Crediticia</w:t>
            </w:r>
          </w:p>
        </w:tc>
        <w:tc>
          <w:tcPr>
            <w:tcW w:w="1391" w:type="dxa"/>
            <w:tcBorders>
              <w:left w:val="single" w:sz="6" w:space="0" w:color="auto"/>
              <w:bottom w:val="single" w:sz="6" w:space="0" w:color="auto"/>
              <w:right w:val="single" w:sz="6" w:space="0" w:color="auto"/>
            </w:tcBorders>
            <w:vAlign w:val="center"/>
          </w:tcPr>
          <w:p w14:paraId="4CDE5421" w14:textId="77777777" w:rsidR="00965622" w:rsidRPr="00935B0A" w:rsidRDefault="00965622" w:rsidP="00BC030E">
            <w:pPr>
              <w:ind w:right="-30"/>
              <w:jc w:val="center"/>
              <w:rPr>
                <w:rFonts w:ascii="Arial Narrow" w:hAnsi="Arial Narrow"/>
                <w:sz w:val="20"/>
                <w:szCs w:val="20"/>
              </w:rPr>
            </w:pPr>
            <w:r w:rsidRPr="00935B0A">
              <w:rPr>
                <w:rFonts w:ascii="Arial Narrow" w:hAnsi="Arial Narrow"/>
                <w:sz w:val="20"/>
                <w:szCs w:val="20"/>
              </w:rPr>
              <w:t>Mensual, por única vez</w:t>
            </w:r>
          </w:p>
        </w:tc>
      </w:tr>
      <w:tr w:rsidR="00965622" w:rsidRPr="00935B0A" w14:paraId="4C30C0B4" w14:textId="77777777">
        <w:trPr>
          <w:cantSplit/>
          <w:trHeight w:val="500"/>
        </w:trPr>
        <w:tc>
          <w:tcPr>
            <w:tcW w:w="1908" w:type="dxa"/>
            <w:vMerge/>
            <w:tcBorders>
              <w:left w:val="single" w:sz="4" w:space="0" w:color="auto"/>
              <w:right w:val="single" w:sz="4" w:space="0" w:color="auto"/>
            </w:tcBorders>
            <w:vAlign w:val="center"/>
          </w:tcPr>
          <w:p w14:paraId="3F0E8D0D" w14:textId="77777777" w:rsidR="00965622" w:rsidRPr="00935B0A" w:rsidRDefault="00965622" w:rsidP="00BC030E">
            <w:pPr>
              <w:ind w:right="-30"/>
              <w:jc w:val="center"/>
              <w:rPr>
                <w:rFonts w:ascii="Arial Narrow" w:hAnsi="Arial Narrow"/>
                <w:b/>
                <w:sz w:val="20"/>
                <w:szCs w:val="20"/>
              </w:rPr>
            </w:pPr>
          </w:p>
        </w:tc>
        <w:tc>
          <w:tcPr>
            <w:tcW w:w="1869" w:type="dxa"/>
            <w:tcBorders>
              <w:left w:val="nil"/>
              <w:bottom w:val="single" w:sz="6" w:space="0" w:color="auto"/>
              <w:right w:val="single" w:sz="6" w:space="0" w:color="auto"/>
            </w:tcBorders>
            <w:vAlign w:val="center"/>
          </w:tcPr>
          <w:p w14:paraId="2C45FD2C" w14:textId="77777777" w:rsidR="00965622" w:rsidRPr="00935B0A" w:rsidRDefault="00965622" w:rsidP="00BC030E">
            <w:pPr>
              <w:ind w:right="-30"/>
              <w:jc w:val="center"/>
              <w:rPr>
                <w:rFonts w:ascii="Arial Narrow" w:hAnsi="Arial Narrow"/>
                <w:b/>
                <w:sz w:val="20"/>
                <w:szCs w:val="20"/>
              </w:rPr>
            </w:pPr>
            <w:r w:rsidRPr="00935B0A">
              <w:rPr>
                <w:rFonts w:ascii="Arial Narrow" w:hAnsi="Arial Narrow"/>
                <w:b/>
                <w:sz w:val="20"/>
                <w:szCs w:val="20"/>
                <w:vertAlign w:val="superscript"/>
              </w:rPr>
              <w:t>2</w:t>
            </w:r>
          </w:p>
        </w:tc>
        <w:tc>
          <w:tcPr>
            <w:tcW w:w="3964" w:type="dxa"/>
            <w:tcBorders>
              <w:left w:val="single" w:sz="6" w:space="0" w:color="auto"/>
              <w:bottom w:val="single" w:sz="6" w:space="0" w:color="auto"/>
              <w:right w:val="single" w:sz="6" w:space="0" w:color="auto"/>
            </w:tcBorders>
          </w:tcPr>
          <w:p w14:paraId="140E4579" w14:textId="77777777" w:rsidR="00965622" w:rsidRPr="00935B0A" w:rsidRDefault="00965622" w:rsidP="00BC030E">
            <w:pPr>
              <w:ind w:left="28" w:right="28"/>
              <w:jc w:val="both"/>
              <w:rPr>
                <w:rFonts w:ascii="Arial Narrow" w:hAnsi="Arial Narrow"/>
                <w:sz w:val="20"/>
                <w:szCs w:val="20"/>
                <w:highlight w:val="yellow"/>
              </w:rPr>
            </w:pPr>
          </w:p>
        </w:tc>
        <w:tc>
          <w:tcPr>
            <w:tcW w:w="1391" w:type="dxa"/>
            <w:tcBorders>
              <w:left w:val="single" w:sz="6" w:space="0" w:color="auto"/>
              <w:bottom w:val="single" w:sz="6" w:space="0" w:color="auto"/>
              <w:right w:val="single" w:sz="6" w:space="0" w:color="auto"/>
            </w:tcBorders>
            <w:vAlign w:val="center"/>
          </w:tcPr>
          <w:p w14:paraId="028BE730" w14:textId="77777777" w:rsidR="00965622" w:rsidRPr="00935B0A" w:rsidRDefault="00965622" w:rsidP="00BC030E">
            <w:pPr>
              <w:ind w:right="-30"/>
              <w:jc w:val="center"/>
              <w:rPr>
                <w:rFonts w:ascii="Arial Narrow" w:hAnsi="Arial Narrow"/>
                <w:sz w:val="20"/>
                <w:szCs w:val="20"/>
              </w:rPr>
            </w:pPr>
          </w:p>
        </w:tc>
      </w:tr>
      <w:tr w:rsidR="0034284B" w:rsidRPr="00935B0A" w14:paraId="05B568E2" w14:textId="77777777">
        <w:trPr>
          <w:cantSplit/>
          <w:trHeight w:val="500"/>
        </w:trPr>
        <w:tc>
          <w:tcPr>
            <w:tcW w:w="1908" w:type="dxa"/>
            <w:vMerge/>
            <w:tcBorders>
              <w:left w:val="single" w:sz="4" w:space="0" w:color="auto"/>
              <w:right w:val="single" w:sz="4" w:space="0" w:color="auto"/>
            </w:tcBorders>
            <w:vAlign w:val="center"/>
          </w:tcPr>
          <w:p w14:paraId="055D8FF0" w14:textId="77777777" w:rsidR="0034284B" w:rsidRPr="00935B0A" w:rsidRDefault="0034284B" w:rsidP="00BC030E">
            <w:pPr>
              <w:ind w:right="-30"/>
              <w:jc w:val="center"/>
              <w:rPr>
                <w:rFonts w:ascii="Arial Narrow" w:hAnsi="Arial Narrow"/>
                <w:b/>
                <w:sz w:val="20"/>
                <w:szCs w:val="20"/>
              </w:rPr>
            </w:pPr>
          </w:p>
        </w:tc>
        <w:tc>
          <w:tcPr>
            <w:tcW w:w="1869" w:type="dxa"/>
            <w:tcBorders>
              <w:left w:val="nil"/>
              <w:bottom w:val="single" w:sz="6" w:space="0" w:color="auto"/>
              <w:right w:val="single" w:sz="6" w:space="0" w:color="auto"/>
            </w:tcBorders>
            <w:vAlign w:val="center"/>
          </w:tcPr>
          <w:p w14:paraId="7167ACCC" w14:textId="77777777" w:rsidR="0034284B" w:rsidRPr="00935B0A" w:rsidRDefault="0034284B" w:rsidP="00BC030E">
            <w:pPr>
              <w:ind w:right="-30"/>
              <w:jc w:val="center"/>
              <w:rPr>
                <w:rFonts w:ascii="Arial Narrow" w:hAnsi="Arial Narrow"/>
                <w:b/>
                <w:sz w:val="20"/>
                <w:szCs w:val="20"/>
              </w:rPr>
            </w:pPr>
            <w:r w:rsidRPr="00935B0A">
              <w:rPr>
                <w:rFonts w:ascii="Arial Narrow" w:hAnsi="Arial Narrow"/>
                <w:b/>
                <w:sz w:val="20"/>
                <w:szCs w:val="20"/>
                <w:vertAlign w:val="superscript"/>
              </w:rPr>
              <w:t>2</w:t>
            </w:r>
          </w:p>
        </w:tc>
        <w:tc>
          <w:tcPr>
            <w:tcW w:w="3964" w:type="dxa"/>
            <w:tcBorders>
              <w:left w:val="single" w:sz="6" w:space="0" w:color="auto"/>
              <w:bottom w:val="single" w:sz="6" w:space="0" w:color="auto"/>
              <w:right w:val="single" w:sz="6" w:space="0" w:color="auto"/>
            </w:tcBorders>
          </w:tcPr>
          <w:p w14:paraId="315CFA4F" w14:textId="77777777" w:rsidR="0034284B" w:rsidRPr="00935B0A" w:rsidRDefault="0034284B" w:rsidP="00BC030E">
            <w:pPr>
              <w:ind w:left="28" w:right="28"/>
              <w:jc w:val="both"/>
              <w:rPr>
                <w:rFonts w:ascii="Arial Narrow" w:hAnsi="Arial Narrow"/>
                <w:sz w:val="20"/>
                <w:szCs w:val="20"/>
                <w:highlight w:val="yellow"/>
              </w:rPr>
            </w:pPr>
          </w:p>
        </w:tc>
        <w:tc>
          <w:tcPr>
            <w:tcW w:w="1391" w:type="dxa"/>
            <w:tcBorders>
              <w:left w:val="single" w:sz="6" w:space="0" w:color="auto"/>
              <w:bottom w:val="single" w:sz="6" w:space="0" w:color="auto"/>
              <w:right w:val="single" w:sz="6" w:space="0" w:color="auto"/>
            </w:tcBorders>
            <w:vAlign w:val="center"/>
          </w:tcPr>
          <w:p w14:paraId="56FB6743" w14:textId="77777777" w:rsidR="0034284B" w:rsidRPr="00935B0A" w:rsidRDefault="0034284B" w:rsidP="00BC030E">
            <w:pPr>
              <w:ind w:right="-30"/>
              <w:jc w:val="center"/>
              <w:rPr>
                <w:rFonts w:ascii="Arial Narrow" w:hAnsi="Arial Narrow"/>
                <w:sz w:val="20"/>
                <w:szCs w:val="20"/>
              </w:rPr>
            </w:pPr>
          </w:p>
        </w:tc>
      </w:tr>
      <w:tr w:rsidR="0034284B" w:rsidRPr="00935B0A" w14:paraId="4CA3AFA6" w14:textId="77777777">
        <w:trPr>
          <w:cantSplit/>
          <w:trHeight w:val="500"/>
        </w:trPr>
        <w:tc>
          <w:tcPr>
            <w:tcW w:w="1908" w:type="dxa"/>
            <w:vMerge/>
            <w:tcBorders>
              <w:left w:val="single" w:sz="4" w:space="0" w:color="auto"/>
              <w:right w:val="single" w:sz="4" w:space="0" w:color="auto"/>
            </w:tcBorders>
            <w:vAlign w:val="center"/>
          </w:tcPr>
          <w:p w14:paraId="1B855D07" w14:textId="77777777" w:rsidR="0034284B" w:rsidRPr="00935B0A" w:rsidRDefault="0034284B" w:rsidP="00BC030E">
            <w:pPr>
              <w:ind w:right="-30"/>
              <w:jc w:val="center"/>
              <w:rPr>
                <w:rFonts w:ascii="Arial Narrow" w:hAnsi="Arial Narrow"/>
                <w:b/>
                <w:sz w:val="20"/>
                <w:szCs w:val="20"/>
              </w:rPr>
            </w:pPr>
          </w:p>
        </w:tc>
        <w:tc>
          <w:tcPr>
            <w:tcW w:w="1869" w:type="dxa"/>
            <w:tcBorders>
              <w:left w:val="nil"/>
              <w:bottom w:val="single" w:sz="6" w:space="0" w:color="auto"/>
              <w:right w:val="single" w:sz="6" w:space="0" w:color="auto"/>
            </w:tcBorders>
            <w:vAlign w:val="center"/>
          </w:tcPr>
          <w:p w14:paraId="664E8E7D" w14:textId="77777777" w:rsidR="0034284B" w:rsidRPr="00935B0A" w:rsidRDefault="0034284B" w:rsidP="00BC030E">
            <w:pPr>
              <w:jc w:val="center"/>
              <w:rPr>
                <w:rFonts w:ascii="Arial Narrow" w:hAnsi="Arial Narrow"/>
                <w:b/>
                <w:sz w:val="20"/>
                <w:szCs w:val="20"/>
              </w:rPr>
            </w:pPr>
            <w:r w:rsidRPr="00935B0A">
              <w:rPr>
                <w:rFonts w:ascii="Arial Narrow" w:hAnsi="Arial Narrow"/>
                <w:b/>
                <w:sz w:val="20"/>
                <w:szCs w:val="20"/>
              </w:rPr>
              <w:t xml:space="preserve">Anexo 5-D </w:t>
            </w:r>
            <w:r w:rsidRPr="00935B0A">
              <w:rPr>
                <w:rFonts w:ascii="Arial Narrow" w:hAnsi="Arial Narrow"/>
                <w:b/>
                <w:sz w:val="20"/>
                <w:szCs w:val="20"/>
                <w:vertAlign w:val="superscript"/>
              </w:rPr>
              <w:t>2</w:t>
            </w:r>
          </w:p>
        </w:tc>
        <w:tc>
          <w:tcPr>
            <w:tcW w:w="3964" w:type="dxa"/>
            <w:tcBorders>
              <w:left w:val="single" w:sz="6" w:space="0" w:color="auto"/>
              <w:bottom w:val="single" w:sz="6" w:space="0" w:color="auto"/>
              <w:right w:val="single" w:sz="6" w:space="0" w:color="auto"/>
            </w:tcBorders>
          </w:tcPr>
          <w:p w14:paraId="6EBD2D0C" w14:textId="77777777" w:rsidR="0034284B" w:rsidRPr="00935B0A" w:rsidRDefault="00092601" w:rsidP="00BC030E">
            <w:pPr>
              <w:spacing w:before="60" w:after="60"/>
              <w:ind w:left="28" w:right="28"/>
              <w:jc w:val="both"/>
              <w:rPr>
                <w:rFonts w:ascii="Arial Narrow" w:hAnsi="Arial Narrow"/>
                <w:sz w:val="20"/>
                <w:szCs w:val="20"/>
              </w:rPr>
            </w:pPr>
            <w:r w:rsidRPr="00935B0A">
              <w:rPr>
                <w:rFonts w:ascii="Arial Narrow" w:hAnsi="Arial Narrow"/>
                <w:sz w:val="20"/>
                <w:szCs w:val="20"/>
              </w:rPr>
              <w:t xml:space="preserve">Informe de Clasificación de los Deudores de </w:t>
            </w:r>
            <w:proofErr w:type="gramStart"/>
            <w:r w:rsidRPr="00935B0A">
              <w:rPr>
                <w:rFonts w:ascii="Arial Narrow" w:hAnsi="Arial Narrow"/>
                <w:sz w:val="20"/>
                <w:szCs w:val="20"/>
              </w:rPr>
              <w:t>la  Cartera</w:t>
            </w:r>
            <w:proofErr w:type="gramEnd"/>
            <w:r w:rsidRPr="00935B0A">
              <w:rPr>
                <w:rFonts w:ascii="Arial Narrow" w:hAnsi="Arial Narrow"/>
                <w:sz w:val="20"/>
                <w:szCs w:val="20"/>
              </w:rPr>
              <w:t xml:space="preserve"> de Créditos que </w:t>
            </w:r>
            <w:proofErr w:type="gramStart"/>
            <w:r w:rsidRPr="00935B0A">
              <w:rPr>
                <w:rFonts w:ascii="Arial Narrow" w:hAnsi="Arial Narrow"/>
                <w:sz w:val="20"/>
                <w:szCs w:val="20"/>
              </w:rPr>
              <w:t>Respaldan  Financiamientos</w:t>
            </w:r>
            <w:proofErr w:type="gramEnd"/>
            <w:r w:rsidRPr="00935B0A">
              <w:rPr>
                <w:rFonts w:ascii="Arial Narrow" w:hAnsi="Arial Narrow"/>
                <w:sz w:val="20"/>
                <w:szCs w:val="20"/>
              </w:rPr>
              <w:t xml:space="preserve"> o Líneas de Crédito</w:t>
            </w:r>
          </w:p>
        </w:tc>
        <w:tc>
          <w:tcPr>
            <w:tcW w:w="1391" w:type="dxa"/>
            <w:tcBorders>
              <w:left w:val="single" w:sz="6" w:space="0" w:color="auto"/>
              <w:bottom w:val="single" w:sz="6" w:space="0" w:color="auto"/>
              <w:right w:val="single" w:sz="6" w:space="0" w:color="auto"/>
            </w:tcBorders>
            <w:vAlign w:val="center"/>
          </w:tcPr>
          <w:p w14:paraId="6A7604D1" w14:textId="77777777" w:rsidR="0034284B" w:rsidRPr="00935B0A" w:rsidRDefault="0034284B" w:rsidP="00BC030E">
            <w:pPr>
              <w:jc w:val="center"/>
              <w:rPr>
                <w:rFonts w:ascii="Arial Narrow" w:hAnsi="Arial Narrow"/>
                <w:sz w:val="20"/>
                <w:szCs w:val="20"/>
              </w:rPr>
            </w:pPr>
            <w:r w:rsidRPr="00935B0A">
              <w:rPr>
                <w:rFonts w:ascii="Arial Narrow" w:hAnsi="Arial Narrow"/>
                <w:sz w:val="20"/>
                <w:szCs w:val="20"/>
              </w:rPr>
              <w:t>Trimestral</w:t>
            </w:r>
          </w:p>
        </w:tc>
      </w:tr>
      <w:tr w:rsidR="0034284B" w:rsidRPr="00935B0A" w14:paraId="37A00322" w14:textId="77777777">
        <w:trPr>
          <w:cantSplit/>
          <w:trHeight w:val="957"/>
        </w:trPr>
        <w:tc>
          <w:tcPr>
            <w:tcW w:w="1908" w:type="dxa"/>
            <w:vMerge/>
            <w:tcBorders>
              <w:left w:val="single" w:sz="4" w:space="0" w:color="auto"/>
              <w:bottom w:val="single" w:sz="4" w:space="0" w:color="auto"/>
              <w:right w:val="single" w:sz="4" w:space="0" w:color="auto"/>
            </w:tcBorders>
            <w:vAlign w:val="center"/>
          </w:tcPr>
          <w:p w14:paraId="3E965875" w14:textId="77777777" w:rsidR="0034284B" w:rsidRPr="00935B0A" w:rsidRDefault="0034284B" w:rsidP="00BC030E">
            <w:pPr>
              <w:ind w:right="-30"/>
              <w:jc w:val="center"/>
              <w:rPr>
                <w:rFonts w:ascii="Arial Narrow" w:hAnsi="Arial Narrow"/>
                <w:b/>
                <w:sz w:val="20"/>
                <w:szCs w:val="20"/>
              </w:rPr>
            </w:pPr>
          </w:p>
        </w:tc>
        <w:tc>
          <w:tcPr>
            <w:tcW w:w="1869" w:type="dxa"/>
            <w:tcBorders>
              <w:left w:val="nil"/>
              <w:bottom w:val="single" w:sz="4" w:space="0" w:color="auto"/>
              <w:right w:val="single" w:sz="6" w:space="0" w:color="auto"/>
            </w:tcBorders>
            <w:vAlign w:val="center"/>
          </w:tcPr>
          <w:p w14:paraId="28CC6296" w14:textId="77777777" w:rsidR="0034284B" w:rsidRPr="00935B0A" w:rsidRDefault="0034284B" w:rsidP="00BC030E">
            <w:pPr>
              <w:jc w:val="center"/>
              <w:rPr>
                <w:rFonts w:ascii="Arial Narrow" w:hAnsi="Arial Narrow"/>
                <w:b/>
                <w:sz w:val="20"/>
                <w:szCs w:val="20"/>
                <w:vertAlign w:val="superscript"/>
              </w:rPr>
            </w:pPr>
            <w:r w:rsidRPr="00935B0A">
              <w:rPr>
                <w:rFonts w:ascii="Arial Narrow" w:hAnsi="Arial Narrow"/>
                <w:b/>
                <w:sz w:val="20"/>
                <w:szCs w:val="20"/>
              </w:rPr>
              <w:t xml:space="preserve">Anexo 6 </w:t>
            </w:r>
            <w:r w:rsidRPr="00935B0A">
              <w:rPr>
                <w:rFonts w:ascii="Arial Narrow" w:hAnsi="Arial Narrow"/>
                <w:b/>
                <w:sz w:val="20"/>
                <w:szCs w:val="20"/>
                <w:vertAlign w:val="superscript"/>
              </w:rPr>
              <w:t xml:space="preserve">3   </w:t>
            </w:r>
          </w:p>
          <w:p w14:paraId="43EEE56A" w14:textId="77777777" w:rsidR="0034284B" w:rsidRPr="00935B0A" w:rsidRDefault="0034284B" w:rsidP="00BC030E">
            <w:pPr>
              <w:jc w:val="center"/>
              <w:rPr>
                <w:rFonts w:ascii="Arial Narrow" w:hAnsi="Arial Narrow"/>
                <w:b/>
                <w:sz w:val="20"/>
                <w:szCs w:val="20"/>
              </w:rPr>
            </w:pPr>
          </w:p>
        </w:tc>
        <w:tc>
          <w:tcPr>
            <w:tcW w:w="3964" w:type="dxa"/>
            <w:tcBorders>
              <w:left w:val="single" w:sz="6" w:space="0" w:color="auto"/>
              <w:bottom w:val="single" w:sz="4" w:space="0" w:color="auto"/>
              <w:right w:val="single" w:sz="6" w:space="0" w:color="auto"/>
            </w:tcBorders>
          </w:tcPr>
          <w:p w14:paraId="3EE3F3F1" w14:textId="77777777" w:rsidR="0034284B" w:rsidRPr="00935B0A" w:rsidRDefault="0034284B" w:rsidP="00BC030E">
            <w:pPr>
              <w:spacing w:before="60" w:after="60"/>
              <w:ind w:left="28" w:right="28"/>
              <w:jc w:val="both"/>
              <w:rPr>
                <w:rFonts w:ascii="Arial Narrow" w:hAnsi="Arial Narrow"/>
                <w:sz w:val="20"/>
                <w:szCs w:val="20"/>
              </w:rPr>
            </w:pPr>
            <w:r w:rsidRPr="00935B0A">
              <w:rPr>
                <w:rFonts w:ascii="Arial Narrow" w:hAnsi="Arial Narrow"/>
                <w:sz w:val="20"/>
                <w:szCs w:val="20"/>
              </w:rPr>
              <w:t xml:space="preserve">Reporte Crediticio de Deudores </w:t>
            </w:r>
          </w:p>
        </w:tc>
        <w:tc>
          <w:tcPr>
            <w:tcW w:w="1391" w:type="dxa"/>
            <w:tcBorders>
              <w:left w:val="single" w:sz="6" w:space="0" w:color="auto"/>
              <w:bottom w:val="single" w:sz="4" w:space="0" w:color="auto"/>
              <w:right w:val="single" w:sz="6" w:space="0" w:color="auto"/>
            </w:tcBorders>
            <w:vAlign w:val="center"/>
          </w:tcPr>
          <w:p w14:paraId="4A12359F" w14:textId="77777777" w:rsidR="0034284B" w:rsidRPr="00935B0A" w:rsidRDefault="0034284B" w:rsidP="00BC030E">
            <w:pPr>
              <w:jc w:val="center"/>
              <w:rPr>
                <w:rFonts w:ascii="Arial Narrow" w:hAnsi="Arial Narrow"/>
                <w:sz w:val="20"/>
                <w:szCs w:val="20"/>
              </w:rPr>
            </w:pPr>
            <w:r w:rsidRPr="00935B0A">
              <w:rPr>
                <w:rFonts w:ascii="Arial Narrow" w:hAnsi="Arial Narrow"/>
                <w:sz w:val="20"/>
                <w:szCs w:val="20"/>
              </w:rPr>
              <w:t>Mensual</w:t>
            </w:r>
          </w:p>
        </w:tc>
      </w:tr>
      <w:tr w:rsidR="0034284B" w:rsidRPr="00935B0A" w14:paraId="13C48DF1" w14:textId="77777777">
        <w:trPr>
          <w:cantSplit/>
          <w:trHeight w:val="714"/>
        </w:trPr>
        <w:tc>
          <w:tcPr>
            <w:tcW w:w="1908" w:type="dxa"/>
            <w:vMerge/>
            <w:tcBorders>
              <w:left w:val="single" w:sz="4" w:space="0" w:color="auto"/>
              <w:bottom w:val="single" w:sz="4" w:space="0" w:color="auto"/>
              <w:right w:val="single" w:sz="4" w:space="0" w:color="auto"/>
            </w:tcBorders>
            <w:vAlign w:val="center"/>
          </w:tcPr>
          <w:p w14:paraId="10A4F82F" w14:textId="77777777" w:rsidR="0034284B" w:rsidRPr="00935B0A" w:rsidRDefault="0034284B" w:rsidP="00BC030E">
            <w:pPr>
              <w:ind w:right="-30"/>
              <w:jc w:val="center"/>
              <w:rPr>
                <w:rFonts w:ascii="Arial Narrow" w:hAnsi="Arial Narrow"/>
                <w:b/>
                <w:sz w:val="20"/>
                <w:szCs w:val="20"/>
              </w:rPr>
            </w:pPr>
          </w:p>
        </w:tc>
        <w:tc>
          <w:tcPr>
            <w:tcW w:w="1869" w:type="dxa"/>
            <w:tcBorders>
              <w:left w:val="nil"/>
              <w:bottom w:val="single" w:sz="4" w:space="0" w:color="auto"/>
              <w:right w:val="single" w:sz="6" w:space="0" w:color="auto"/>
            </w:tcBorders>
            <w:vAlign w:val="center"/>
          </w:tcPr>
          <w:p w14:paraId="23D1EBD5" w14:textId="77777777" w:rsidR="0034284B" w:rsidRPr="00935B0A" w:rsidRDefault="0034284B" w:rsidP="00BC030E">
            <w:pPr>
              <w:ind w:right="-30"/>
              <w:jc w:val="center"/>
              <w:rPr>
                <w:rFonts w:ascii="Arial Narrow" w:hAnsi="Arial Narrow"/>
                <w:b/>
                <w:sz w:val="20"/>
                <w:szCs w:val="20"/>
              </w:rPr>
            </w:pPr>
            <w:r w:rsidRPr="00935B0A">
              <w:rPr>
                <w:rFonts w:ascii="Arial Narrow" w:hAnsi="Arial Narrow"/>
                <w:b/>
                <w:sz w:val="20"/>
                <w:szCs w:val="20"/>
                <w:vertAlign w:val="superscript"/>
              </w:rPr>
              <w:t>1</w:t>
            </w:r>
          </w:p>
        </w:tc>
        <w:tc>
          <w:tcPr>
            <w:tcW w:w="3964" w:type="dxa"/>
            <w:tcBorders>
              <w:left w:val="single" w:sz="6" w:space="0" w:color="auto"/>
              <w:bottom w:val="single" w:sz="4" w:space="0" w:color="auto"/>
              <w:right w:val="single" w:sz="6" w:space="0" w:color="auto"/>
            </w:tcBorders>
          </w:tcPr>
          <w:p w14:paraId="47510C2A" w14:textId="77777777" w:rsidR="0034284B" w:rsidRPr="00935B0A" w:rsidRDefault="0034284B" w:rsidP="00BC030E">
            <w:pPr>
              <w:ind w:left="28" w:right="28"/>
              <w:jc w:val="both"/>
              <w:rPr>
                <w:rFonts w:ascii="Arial Narrow" w:hAnsi="Arial Narrow"/>
                <w:sz w:val="20"/>
                <w:szCs w:val="20"/>
              </w:rPr>
            </w:pPr>
          </w:p>
        </w:tc>
        <w:tc>
          <w:tcPr>
            <w:tcW w:w="1391" w:type="dxa"/>
            <w:tcBorders>
              <w:left w:val="single" w:sz="6" w:space="0" w:color="auto"/>
              <w:bottom w:val="single" w:sz="4" w:space="0" w:color="auto"/>
              <w:right w:val="single" w:sz="6" w:space="0" w:color="auto"/>
            </w:tcBorders>
            <w:vAlign w:val="center"/>
          </w:tcPr>
          <w:p w14:paraId="0B4C9388" w14:textId="77777777" w:rsidR="0034284B" w:rsidRPr="00935B0A" w:rsidRDefault="0034284B" w:rsidP="00BC030E">
            <w:pPr>
              <w:ind w:right="-30"/>
              <w:jc w:val="center"/>
              <w:rPr>
                <w:rFonts w:ascii="Arial Narrow" w:hAnsi="Arial Narrow"/>
                <w:sz w:val="20"/>
                <w:szCs w:val="20"/>
              </w:rPr>
            </w:pPr>
          </w:p>
        </w:tc>
      </w:tr>
      <w:tr w:rsidR="0034284B" w:rsidRPr="00935B0A" w14:paraId="0FAA6D78" w14:textId="77777777">
        <w:trPr>
          <w:cantSplit/>
          <w:trHeight w:val="714"/>
        </w:trPr>
        <w:tc>
          <w:tcPr>
            <w:tcW w:w="1908" w:type="dxa"/>
            <w:vMerge/>
            <w:tcBorders>
              <w:left w:val="single" w:sz="4" w:space="0" w:color="auto"/>
              <w:bottom w:val="single" w:sz="4" w:space="0" w:color="auto"/>
              <w:right w:val="single" w:sz="4" w:space="0" w:color="auto"/>
            </w:tcBorders>
            <w:vAlign w:val="center"/>
          </w:tcPr>
          <w:p w14:paraId="76861F9A" w14:textId="77777777" w:rsidR="0034284B" w:rsidRPr="00935B0A" w:rsidRDefault="0034284B" w:rsidP="00BC030E">
            <w:pPr>
              <w:ind w:right="-30"/>
              <w:jc w:val="center"/>
              <w:rPr>
                <w:rFonts w:ascii="Arial Narrow" w:hAnsi="Arial Narrow"/>
                <w:b/>
                <w:sz w:val="20"/>
                <w:szCs w:val="20"/>
              </w:rPr>
            </w:pPr>
          </w:p>
        </w:tc>
        <w:tc>
          <w:tcPr>
            <w:tcW w:w="1869" w:type="dxa"/>
            <w:tcBorders>
              <w:left w:val="nil"/>
              <w:bottom w:val="single" w:sz="4" w:space="0" w:color="auto"/>
              <w:right w:val="single" w:sz="6" w:space="0" w:color="auto"/>
            </w:tcBorders>
            <w:vAlign w:val="center"/>
          </w:tcPr>
          <w:p w14:paraId="12775AF9" w14:textId="77777777" w:rsidR="0034284B" w:rsidRPr="00935B0A" w:rsidRDefault="0034284B" w:rsidP="00BC030E">
            <w:pPr>
              <w:jc w:val="center"/>
              <w:rPr>
                <w:rFonts w:ascii="Arial Narrow" w:hAnsi="Arial Narrow"/>
                <w:b/>
                <w:sz w:val="20"/>
                <w:szCs w:val="20"/>
                <w:highlight w:val="yellow"/>
              </w:rPr>
            </w:pPr>
            <w:r w:rsidRPr="00935B0A">
              <w:rPr>
                <w:rFonts w:ascii="Arial Narrow" w:hAnsi="Arial Narrow"/>
                <w:b/>
                <w:sz w:val="20"/>
                <w:szCs w:val="20"/>
                <w:vertAlign w:val="superscript"/>
              </w:rPr>
              <w:t>3.1</w:t>
            </w:r>
          </w:p>
        </w:tc>
        <w:tc>
          <w:tcPr>
            <w:tcW w:w="3964" w:type="dxa"/>
            <w:tcBorders>
              <w:left w:val="single" w:sz="6" w:space="0" w:color="auto"/>
              <w:bottom w:val="single" w:sz="4" w:space="0" w:color="auto"/>
              <w:right w:val="single" w:sz="6" w:space="0" w:color="auto"/>
            </w:tcBorders>
          </w:tcPr>
          <w:p w14:paraId="07E9B809" w14:textId="77777777" w:rsidR="0034284B" w:rsidRPr="00935B0A" w:rsidRDefault="0034284B" w:rsidP="00BC030E">
            <w:pPr>
              <w:spacing w:before="60" w:after="60"/>
              <w:ind w:left="28" w:right="28"/>
              <w:jc w:val="both"/>
              <w:rPr>
                <w:rFonts w:ascii="Arial Narrow" w:hAnsi="Arial Narrow"/>
                <w:sz w:val="20"/>
                <w:szCs w:val="20"/>
                <w:highlight w:val="yellow"/>
              </w:rPr>
            </w:pPr>
          </w:p>
        </w:tc>
        <w:tc>
          <w:tcPr>
            <w:tcW w:w="1391" w:type="dxa"/>
            <w:tcBorders>
              <w:left w:val="single" w:sz="6" w:space="0" w:color="auto"/>
              <w:bottom w:val="single" w:sz="4" w:space="0" w:color="auto"/>
              <w:right w:val="single" w:sz="6" w:space="0" w:color="auto"/>
            </w:tcBorders>
            <w:vAlign w:val="center"/>
          </w:tcPr>
          <w:p w14:paraId="2C45DFE0" w14:textId="77777777" w:rsidR="0034284B" w:rsidRPr="00935B0A" w:rsidRDefault="0034284B" w:rsidP="00BC030E">
            <w:pPr>
              <w:jc w:val="center"/>
              <w:rPr>
                <w:rFonts w:ascii="Arial Narrow" w:hAnsi="Arial Narrow"/>
                <w:sz w:val="20"/>
                <w:szCs w:val="20"/>
                <w:highlight w:val="yellow"/>
              </w:rPr>
            </w:pPr>
          </w:p>
        </w:tc>
      </w:tr>
      <w:tr w:rsidR="004250EC" w:rsidRPr="00935B0A" w14:paraId="13DF0C02" w14:textId="77777777">
        <w:trPr>
          <w:cantSplit/>
          <w:trHeight w:val="600"/>
        </w:trPr>
        <w:tc>
          <w:tcPr>
            <w:tcW w:w="1908" w:type="dxa"/>
            <w:vMerge w:val="restart"/>
            <w:tcBorders>
              <w:top w:val="single" w:sz="4" w:space="0" w:color="auto"/>
              <w:left w:val="single" w:sz="4" w:space="0" w:color="auto"/>
              <w:right w:val="single" w:sz="4" w:space="0" w:color="auto"/>
            </w:tcBorders>
            <w:vAlign w:val="center"/>
          </w:tcPr>
          <w:p w14:paraId="183646F3" w14:textId="77777777" w:rsidR="004250EC" w:rsidRPr="00935B0A" w:rsidRDefault="004250EC" w:rsidP="00BC030E">
            <w:pPr>
              <w:ind w:right="-30"/>
              <w:jc w:val="center"/>
              <w:rPr>
                <w:rFonts w:ascii="Arial Narrow" w:hAnsi="Arial Narrow"/>
                <w:b/>
                <w:sz w:val="20"/>
                <w:szCs w:val="20"/>
              </w:rPr>
            </w:pPr>
          </w:p>
          <w:p w14:paraId="754C8E26" w14:textId="77777777" w:rsidR="004250EC" w:rsidRPr="00935B0A" w:rsidRDefault="004250EC" w:rsidP="00BC030E">
            <w:pPr>
              <w:ind w:right="-30"/>
              <w:jc w:val="center"/>
              <w:rPr>
                <w:rFonts w:ascii="Arial Narrow" w:hAnsi="Arial Narrow"/>
                <w:b/>
                <w:sz w:val="20"/>
                <w:szCs w:val="20"/>
              </w:rPr>
            </w:pPr>
          </w:p>
          <w:p w14:paraId="14F638A6" w14:textId="77777777" w:rsidR="004250EC" w:rsidRPr="00935B0A" w:rsidRDefault="004250EC" w:rsidP="00BC030E">
            <w:pPr>
              <w:ind w:right="-30"/>
              <w:jc w:val="center"/>
              <w:rPr>
                <w:rFonts w:ascii="Arial Narrow" w:hAnsi="Arial Narrow"/>
                <w:b/>
                <w:sz w:val="20"/>
                <w:szCs w:val="20"/>
              </w:rPr>
            </w:pPr>
          </w:p>
          <w:p w14:paraId="44E8010F" w14:textId="77777777" w:rsidR="004250EC" w:rsidRPr="00935B0A" w:rsidRDefault="004250EC" w:rsidP="00BC030E">
            <w:pPr>
              <w:ind w:right="-30"/>
              <w:jc w:val="center"/>
              <w:rPr>
                <w:rFonts w:ascii="Arial Narrow" w:hAnsi="Arial Narrow"/>
                <w:b/>
                <w:sz w:val="20"/>
                <w:szCs w:val="20"/>
              </w:rPr>
            </w:pPr>
            <w:r w:rsidRPr="00935B0A">
              <w:rPr>
                <w:rFonts w:ascii="Arial Narrow" w:hAnsi="Arial Narrow"/>
                <w:b/>
                <w:sz w:val="20"/>
                <w:szCs w:val="20"/>
              </w:rPr>
              <w:t>Riesgo de Mercado y Liquidez</w:t>
            </w:r>
          </w:p>
          <w:p w14:paraId="137D849A" w14:textId="77777777" w:rsidR="004250EC" w:rsidRPr="00935B0A" w:rsidRDefault="004250EC" w:rsidP="00BC030E">
            <w:pPr>
              <w:ind w:right="-30"/>
              <w:jc w:val="center"/>
              <w:rPr>
                <w:rFonts w:ascii="Arial Narrow" w:hAnsi="Arial Narrow"/>
                <w:b/>
                <w:sz w:val="20"/>
                <w:szCs w:val="20"/>
              </w:rPr>
            </w:pPr>
          </w:p>
          <w:p w14:paraId="5154CDDA" w14:textId="77777777" w:rsidR="004250EC" w:rsidRPr="00935B0A" w:rsidRDefault="004250EC" w:rsidP="00BC030E">
            <w:pPr>
              <w:ind w:right="-30"/>
              <w:jc w:val="center"/>
              <w:rPr>
                <w:rFonts w:ascii="Arial Narrow" w:hAnsi="Arial Narrow"/>
                <w:b/>
                <w:sz w:val="20"/>
                <w:szCs w:val="20"/>
              </w:rPr>
            </w:pPr>
          </w:p>
          <w:p w14:paraId="3D6A1018" w14:textId="77777777" w:rsidR="004250EC" w:rsidRPr="00935B0A" w:rsidRDefault="004250EC" w:rsidP="00BC030E">
            <w:pPr>
              <w:ind w:right="-30"/>
              <w:jc w:val="center"/>
              <w:rPr>
                <w:rFonts w:ascii="Arial Narrow" w:hAnsi="Arial Narrow"/>
                <w:b/>
                <w:sz w:val="20"/>
                <w:szCs w:val="20"/>
              </w:rPr>
            </w:pPr>
          </w:p>
          <w:p w14:paraId="28F831C7" w14:textId="77777777" w:rsidR="004250EC" w:rsidRPr="00935B0A" w:rsidRDefault="004250EC" w:rsidP="00BC030E">
            <w:pPr>
              <w:ind w:right="-30"/>
              <w:jc w:val="center"/>
              <w:rPr>
                <w:rFonts w:ascii="Arial Narrow" w:hAnsi="Arial Narrow"/>
                <w:b/>
                <w:sz w:val="20"/>
                <w:szCs w:val="20"/>
              </w:rPr>
            </w:pPr>
          </w:p>
          <w:p w14:paraId="549A5697" w14:textId="77777777" w:rsidR="004250EC" w:rsidRPr="00935B0A" w:rsidRDefault="004250EC" w:rsidP="00BC030E">
            <w:pPr>
              <w:ind w:right="-30"/>
              <w:jc w:val="center"/>
              <w:rPr>
                <w:rFonts w:ascii="Arial Narrow" w:hAnsi="Arial Narrow"/>
                <w:b/>
                <w:sz w:val="20"/>
                <w:szCs w:val="20"/>
              </w:rPr>
            </w:pPr>
          </w:p>
          <w:p w14:paraId="3FF8BAA5" w14:textId="77777777" w:rsidR="004250EC" w:rsidRPr="00935B0A" w:rsidRDefault="004250EC" w:rsidP="00BC030E">
            <w:pPr>
              <w:ind w:right="-30"/>
              <w:jc w:val="center"/>
              <w:rPr>
                <w:rFonts w:ascii="Arial Narrow" w:hAnsi="Arial Narrow"/>
                <w:b/>
                <w:sz w:val="20"/>
                <w:szCs w:val="20"/>
              </w:rPr>
            </w:pPr>
          </w:p>
          <w:p w14:paraId="441D12F9" w14:textId="77777777" w:rsidR="004250EC" w:rsidRPr="00935B0A" w:rsidRDefault="004250EC" w:rsidP="00BC030E">
            <w:pPr>
              <w:ind w:right="-30"/>
              <w:jc w:val="center"/>
              <w:rPr>
                <w:rFonts w:ascii="Arial Narrow" w:hAnsi="Arial Narrow"/>
                <w:b/>
                <w:sz w:val="20"/>
                <w:szCs w:val="20"/>
              </w:rPr>
            </w:pPr>
          </w:p>
          <w:p w14:paraId="2A6DBBCA" w14:textId="77777777" w:rsidR="004250EC" w:rsidRPr="00935B0A" w:rsidRDefault="004250EC" w:rsidP="00BC030E">
            <w:pPr>
              <w:ind w:right="-30"/>
              <w:jc w:val="center"/>
              <w:rPr>
                <w:rFonts w:ascii="Arial Narrow" w:hAnsi="Arial Narrow"/>
                <w:b/>
                <w:sz w:val="20"/>
                <w:szCs w:val="20"/>
              </w:rPr>
            </w:pPr>
          </w:p>
          <w:p w14:paraId="4ECA0C59" w14:textId="77777777" w:rsidR="004250EC" w:rsidRPr="00935B0A" w:rsidRDefault="004250EC" w:rsidP="00BC030E">
            <w:pPr>
              <w:ind w:right="-30"/>
              <w:jc w:val="center"/>
              <w:rPr>
                <w:rFonts w:ascii="Arial Narrow" w:hAnsi="Arial Narrow"/>
                <w:b/>
                <w:sz w:val="20"/>
                <w:szCs w:val="20"/>
              </w:rPr>
            </w:pPr>
          </w:p>
        </w:tc>
        <w:tc>
          <w:tcPr>
            <w:tcW w:w="1869" w:type="dxa"/>
            <w:tcBorders>
              <w:top w:val="single" w:sz="6" w:space="0" w:color="auto"/>
              <w:left w:val="nil"/>
              <w:bottom w:val="single" w:sz="6" w:space="0" w:color="auto"/>
              <w:right w:val="single" w:sz="6" w:space="0" w:color="auto"/>
            </w:tcBorders>
            <w:vAlign w:val="center"/>
          </w:tcPr>
          <w:p w14:paraId="3848959D" w14:textId="77777777" w:rsidR="004250EC" w:rsidRPr="00935B0A" w:rsidRDefault="004250EC" w:rsidP="00BC030E">
            <w:pPr>
              <w:ind w:right="-30"/>
              <w:jc w:val="center"/>
              <w:rPr>
                <w:rFonts w:ascii="Arial Narrow" w:hAnsi="Arial Narrow"/>
                <w:b/>
                <w:sz w:val="20"/>
                <w:szCs w:val="20"/>
              </w:rPr>
            </w:pPr>
            <w:r w:rsidRPr="00935B0A">
              <w:rPr>
                <w:rFonts w:ascii="Arial Narrow" w:hAnsi="Arial Narrow"/>
                <w:b/>
                <w:sz w:val="20"/>
                <w:szCs w:val="20"/>
              </w:rPr>
              <w:lastRenderedPageBreak/>
              <w:t xml:space="preserve">Anexo 1 </w:t>
            </w:r>
            <w:r w:rsidRPr="00935B0A">
              <w:rPr>
                <w:rFonts w:ascii="Arial Narrow" w:hAnsi="Arial Narrow"/>
                <w:b/>
                <w:sz w:val="20"/>
                <w:szCs w:val="20"/>
                <w:vertAlign w:val="superscript"/>
              </w:rPr>
              <w:t>3.2</w:t>
            </w:r>
          </w:p>
          <w:p w14:paraId="53A0755C" w14:textId="77777777" w:rsidR="004250EC" w:rsidRPr="00935B0A" w:rsidRDefault="004250EC" w:rsidP="00BC030E">
            <w:pPr>
              <w:ind w:right="-30"/>
              <w:jc w:val="center"/>
              <w:rPr>
                <w:rFonts w:ascii="Arial Narrow" w:hAnsi="Arial Narrow"/>
                <w:b/>
                <w:sz w:val="20"/>
                <w:szCs w:val="20"/>
              </w:rPr>
            </w:pPr>
            <w:r w:rsidRPr="00935B0A">
              <w:rPr>
                <w:rFonts w:ascii="Arial Narrow" w:hAnsi="Arial Narrow"/>
                <w:b/>
                <w:sz w:val="20"/>
                <w:szCs w:val="20"/>
              </w:rPr>
              <w:t>A, B, C1, C2, D y E</w:t>
            </w:r>
          </w:p>
          <w:p w14:paraId="4DC335A5" w14:textId="77777777" w:rsidR="004250EC" w:rsidRPr="00935B0A" w:rsidRDefault="004250EC" w:rsidP="00BC030E">
            <w:pPr>
              <w:ind w:right="-30"/>
              <w:jc w:val="center"/>
              <w:rPr>
                <w:rFonts w:ascii="Arial Narrow" w:hAnsi="Arial Narrow"/>
                <w:b/>
                <w:sz w:val="20"/>
                <w:szCs w:val="20"/>
              </w:rPr>
            </w:pPr>
          </w:p>
        </w:tc>
        <w:tc>
          <w:tcPr>
            <w:tcW w:w="3964" w:type="dxa"/>
            <w:tcBorders>
              <w:top w:val="single" w:sz="6" w:space="0" w:color="auto"/>
              <w:left w:val="single" w:sz="6" w:space="0" w:color="auto"/>
              <w:bottom w:val="single" w:sz="6" w:space="0" w:color="auto"/>
              <w:right w:val="single" w:sz="6" w:space="0" w:color="auto"/>
            </w:tcBorders>
          </w:tcPr>
          <w:p w14:paraId="54EDD202" w14:textId="77777777" w:rsidR="004250EC" w:rsidRPr="00935B0A" w:rsidRDefault="004250EC" w:rsidP="00BC030E">
            <w:pPr>
              <w:ind w:left="28" w:right="28"/>
              <w:jc w:val="both"/>
              <w:rPr>
                <w:rFonts w:ascii="Arial Narrow" w:hAnsi="Arial Narrow"/>
                <w:sz w:val="20"/>
                <w:szCs w:val="20"/>
              </w:rPr>
            </w:pPr>
            <w:r w:rsidRPr="00935B0A">
              <w:rPr>
                <w:rFonts w:ascii="Arial Narrow" w:hAnsi="Arial Narrow"/>
                <w:sz w:val="20"/>
                <w:szCs w:val="20"/>
              </w:rPr>
              <w:t xml:space="preserve">Inversiones </w:t>
            </w:r>
          </w:p>
        </w:tc>
        <w:tc>
          <w:tcPr>
            <w:tcW w:w="1391" w:type="dxa"/>
            <w:tcBorders>
              <w:top w:val="single" w:sz="6" w:space="0" w:color="auto"/>
              <w:left w:val="single" w:sz="6" w:space="0" w:color="auto"/>
              <w:bottom w:val="single" w:sz="6" w:space="0" w:color="auto"/>
              <w:right w:val="single" w:sz="6" w:space="0" w:color="auto"/>
            </w:tcBorders>
            <w:vAlign w:val="center"/>
          </w:tcPr>
          <w:p w14:paraId="429E731D" w14:textId="77777777" w:rsidR="004250EC" w:rsidRPr="00935B0A" w:rsidRDefault="004250EC" w:rsidP="00BC030E">
            <w:pPr>
              <w:ind w:right="-30"/>
              <w:jc w:val="center"/>
              <w:rPr>
                <w:rFonts w:ascii="Arial Narrow" w:hAnsi="Arial Narrow"/>
                <w:sz w:val="20"/>
                <w:szCs w:val="20"/>
              </w:rPr>
            </w:pPr>
            <w:r w:rsidRPr="00935B0A">
              <w:rPr>
                <w:rFonts w:ascii="Arial Narrow" w:hAnsi="Arial Narrow"/>
                <w:sz w:val="20"/>
                <w:szCs w:val="20"/>
              </w:rPr>
              <w:t>Mensual/</w:t>
            </w:r>
          </w:p>
          <w:p w14:paraId="53B2F7F3" w14:textId="77777777" w:rsidR="004250EC" w:rsidRPr="00935B0A" w:rsidRDefault="004250EC" w:rsidP="00BC030E">
            <w:pPr>
              <w:ind w:right="-30"/>
              <w:jc w:val="center"/>
              <w:rPr>
                <w:rFonts w:ascii="Arial Narrow" w:hAnsi="Arial Narrow"/>
                <w:sz w:val="20"/>
                <w:szCs w:val="20"/>
              </w:rPr>
            </w:pPr>
            <w:r w:rsidRPr="00935B0A">
              <w:rPr>
                <w:rFonts w:ascii="Arial Narrow" w:hAnsi="Arial Narrow"/>
                <w:sz w:val="20"/>
                <w:szCs w:val="20"/>
              </w:rPr>
              <w:t>Semanal</w:t>
            </w:r>
          </w:p>
        </w:tc>
      </w:tr>
      <w:tr w:rsidR="004250EC" w:rsidRPr="00935B0A" w14:paraId="73B5BCF1" w14:textId="77777777">
        <w:trPr>
          <w:cantSplit/>
          <w:trHeight w:val="500"/>
        </w:trPr>
        <w:tc>
          <w:tcPr>
            <w:tcW w:w="1908" w:type="dxa"/>
            <w:vMerge/>
            <w:tcBorders>
              <w:left w:val="single" w:sz="4" w:space="0" w:color="auto"/>
              <w:right w:val="single" w:sz="4" w:space="0" w:color="auto"/>
            </w:tcBorders>
            <w:vAlign w:val="center"/>
          </w:tcPr>
          <w:p w14:paraId="6EDC5D53" w14:textId="77777777" w:rsidR="004250EC" w:rsidRPr="00935B0A" w:rsidRDefault="004250EC" w:rsidP="00BC030E">
            <w:pPr>
              <w:ind w:right="-30"/>
              <w:jc w:val="center"/>
              <w:rPr>
                <w:rFonts w:ascii="Arial Narrow" w:hAnsi="Arial Narrow"/>
                <w:b/>
                <w:sz w:val="20"/>
                <w:szCs w:val="20"/>
              </w:rPr>
            </w:pPr>
          </w:p>
        </w:tc>
        <w:tc>
          <w:tcPr>
            <w:tcW w:w="1869" w:type="dxa"/>
            <w:tcBorders>
              <w:top w:val="single" w:sz="6" w:space="0" w:color="auto"/>
              <w:left w:val="nil"/>
              <w:bottom w:val="single" w:sz="6" w:space="0" w:color="auto"/>
              <w:right w:val="single" w:sz="6" w:space="0" w:color="auto"/>
            </w:tcBorders>
            <w:vAlign w:val="center"/>
          </w:tcPr>
          <w:p w14:paraId="16F526A0" w14:textId="77777777" w:rsidR="004250EC" w:rsidRPr="00935B0A" w:rsidRDefault="004250EC" w:rsidP="004250EC">
            <w:pPr>
              <w:jc w:val="center"/>
              <w:rPr>
                <w:rFonts w:ascii="Arial Narrow" w:hAnsi="Arial Narrow"/>
                <w:b/>
                <w:sz w:val="20"/>
                <w:szCs w:val="20"/>
              </w:rPr>
            </w:pPr>
            <w:r w:rsidRPr="00935B0A">
              <w:rPr>
                <w:rFonts w:ascii="Arial Narrow" w:hAnsi="Arial Narrow"/>
                <w:b/>
                <w:sz w:val="20"/>
                <w:szCs w:val="20"/>
              </w:rPr>
              <w:t>Anexo 7- A</w:t>
            </w:r>
            <w:r w:rsidRPr="00935B0A">
              <w:rPr>
                <w:rFonts w:ascii="Arial Narrow" w:hAnsi="Arial Narrow"/>
                <w:b/>
                <w:sz w:val="20"/>
                <w:szCs w:val="20"/>
                <w:vertAlign w:val="superscript"/>
              </w:rPr>
              <w:t>4</w:t>
            </w:r>
          </w:p>
          <w:p w14:paraId="55D78A23" w14:textId="77777777" w:rsidR="004250EC" w:rsidRPr="00935B0A" w:rsidRDefault="004250EC" w:rsidP="00BC030E">
            <w:pPr>
              <w:jc w:val="center"/>
              <w:rPr>
                <w:rFonts w:ascii="Arial Narrow" w:hAnsi="Arial Narrow"/>
                <w:b/>
                <w:sz w:val="20"/>
                <w:szCs w:val="20"/>
              </w:rPr>
            </w:pPr>
          </w:p>
        </w:tc>
        <w:tc>
          <w:tcPr>
            <w:tcW w:w="3964" w:type="dxa"/>
            <w:tcBorders>
              <w:top w:val="single" w:sz="6" w:space="0" w:color="auto"/>
              <w:left w:val="single" w:sz="6" w:space="0" w:color="auto"/>
              <w:bottom w:val="single" w:sz="6" w:space="0" w:color="auto"/>
              <w:right w:val="single" w:sz="6" w:space="0" w:color="auto"/>
            </w:tcBorders>
          </w:tcPr>
          <w:p w14:paraId="48DB3B87" w14:textId="77777777" w:rsidR="004250EC" w:rsidRPr="00935B0A" w:rsidRDefault="004250EC" w:rsidP="00BC030E">
            <w:pPr>
              <w:ind w:left="28" w:right="28"/>
              <w:jc w:val="both"/>
              <w:rPr>
                <w:rFonts w:ascii="Arial Narrow" w:hAnsi="Arial Narrow"/>
                <w:sz w:val="20"/>
                <w:szCs w:val="20"/>
              </w:rPr>
            </w:pPr>
            <w:r w:rsidRPr="00935B0A">
              <w:rPr>
                <w:rFonts w:ascii="Arial Narrow" w:hAnsi="Arial Narrow"/>
                <w:sz w:val="20"/>
                <w:szCs w:val="20"/>
              </w:rPr>
              <w:t>Medición del Riesgo de Tasa de Interés – Ganancia en Riesgo</w:t>
            </w:r>
          </w:p>
        </w:tc>
        <w:tc>
          <w:tcPr>
            <w:tcW w:w="1391" w:type="dxa"/>
            <w:tcBorders>
              <w:top w:val="single" w:sz="6" w:space="0" w:color="auto"/>
              <w:left w:val="single" w:sz="6" w:space="0" w:color="auto"/>
              <w:bottom w:val="single" w:sz="6" w:space="0" w:color="auto"/>
              <w:right w:val="single" w:sz="6" w:space="0" w:color="auto"/>
            </w:tcBorders>
            <w:vAlign w:val="center"/>
          </w:tcPr>
          <w:p w14:paraId="1D878994" w14:textId="77777777" w:rsidR="004250EC" w:rsidRPr="00935B0A" w:rsidRDefault="004250EC" w:rsidP="00BC030E">
            <w:pPr>
              <w:jc w:val="center"/>
              <w:rPr>
                <w:rFonts w:ascii="Arial Narrow" w:hAnsi="Arial Narrow"/>
                <w:sz w:val="20"/>
                <w:szCs w:val="20"/>
              </w:rPr>
            </w:pPr>
            <w:r w:rsidRPr="00935B0A">
              <w:rPr>
                <w:rFonts w:ascii="Arial Narrow" w:hAnsi="Arial Narrow"/>
                <w:sz w:val="20"/>
                <w:szCs w:val="20"/>
              </w:rPr>
              <w:t>Mensual</w:t>
            </w:r>
          </w:p>
        </w:tc>
      </w:tr>
      <w:tr w:rsidR="004250EC" w:rsidRPr="00935B0A" w14:paraId="5315E542" w14:textId="77777777">
        <w:trPr>
          <w:cantSplit/>
          <w:trHeight w:val="500"/>
        </w:trPr>
        <w:tc>
          <w:tcPr>
            <w:tcW w:w="1908" w:type="dxa"/>
            <w:vMerge/>
            <w:tcBorders>
              <w:left w:val="single" w:sz="4" w:space="0" w:color="auto"/>
              <w:right w:val="single" w:sz="4" w:space="0" w:color="auto"/>
            </w:tcBorders>
            <w:vAlign w:val="center"/>
          </w:tcPr>
          <w:p w14:paraId="1E1E6303" w14:textId="77777777" w:rsidR="004250EC" w:rsidRPr="00935B0A" w:rsidRDefault="004250EC" w:rsidP="00BC030E">
            <w:pPr>
              <w:ind w:right="-30"/>
              <w:jc w:val="center"/>
              <w:rPr>
                <w:rFonts w:ascii="Arial Narrow" w:hAnsi="Arial Narrow"/>
                <w:b/>
                <w:sz w:val="20"/>
                <w:szCs w:val="20"/>
              </w:rPr>
            </w:pPr>
          </w:p>
        </w:tc>
        <w:tc>
          <w:tcPr>
            <w:tcW w:w="1869" w:type="dxa"/>
            <w:tcBorders>
              <w:top w:val="single" w:sz="6" w:space="0" w:color="auto"/>
              <w:left w:val="nil"/>
              <w:bottom w:val="single" w:sz="6" w:space="0" w:color="auto"/>
              <w:right w:val="single" w:sz="6" w:space="0" w:color="auto"/>
            </w:tcBorders>
            <w:vAlign w:val="center"/>
          </w:tcPr>
          <w:p w14:paraId="0EC92E81" w14:textId="77777777" w:rsidR="004250EC" w:rsidRPr="00935B0A" w:rsidRDefault="004250EC" w:rsidP="004250EC">
            <w:pPr>
              <w:jc w:val="center"/>
              <w:rPr>
                <w:rFonts w:ascii="Arial Narrow" w:hAnsi="Arial Narrow"/>
                <w:b/>
                <w:sz w:val="20"/>
                <w:szCs w:val="20"/>
              </w:rPr>
            </w:pPr>
            <w:r w:rsidRPr="00935B0A">
              <w:rPr>
                <w:rFonts w:ascii="Arial Narrow" w:hAnsi="Arial Narrow"/>
                <w:b/>
                <w:sz w:val="20"/>
                <w:szCs w:val="20"/>
              </w:rPr>
              <w:t>Anexo 7-B</w:t>
            </w:r>
            <w:r w:rsidRPr="00935B0A">
              <w:rPr>
                <w:rFonts w:ascii="Arial Narrow" w:hAnsi="Arial Narrow"/>
                <w:b/>
                <w:sz w:val="20"/>
                <w:szCs w:val="20"/>
                <w:vertAlign w:val="superscript"/>
              </w:rPr>
              <w:t>5</w:t>
            </w:r>
          </w:p>
        </w:tc>
        <w:tc>
          <w:tcPr>
            <w:tcW w:w="3964" w:type="dxa"/>
            <w:tcBorders>
              <w:top w:val="single" w:sz="6" w:space="0" w:color="auto"/>
              <w:left w:val="single" w:sz="6" w:space="0" w:color="auto"/>
              <w:bottom w:val="single" w:sz="6" w:space="0" w:color="auto"/>
              <w:right w:val="single" w:sz="6" w:space="0" w:color="auto"/>
            </w:tcBorders>
          </w:tcPr>
          <w:p w14:paraId="5709B81E" w14:textId="77777777" w:rsidR="004250EC" w:rsidRPr="00935B0A" w:rsidRDefault="004250EC" w:rsidP="00BC030E">
            <w:pPr>
              <w:ind w:left="28" w:right="28"/>
              <w:jc w:val="both"/>
              <w:rPr>
                <w:rFonts w:ascii="Arial Narrow" w:hAnsi="Arial Narrow"/>
                <w:sz w:val="20"/>
                <w:szCs w:val="20"/>
              </w:rPr>
            </w:pPr>
            <w:r w:rsidRPr="00935B0A">
              <w:rPr>
                <w:rFonts w:ascii="Arial Narrow" w:hAnsi="Arial Narrow"/>
                <w:sz w:val="20"/>
                <w:szCs w:val="20"/>
              </w:rPr>
              <w:t xml:space="preserve">Medición del Riesgo de Tasa de Interés – Valor </w:t>
            </w:r>
            <w:proofErr w:type="gramStart"/>
            <w:r w:rsidRPr="00935B0A">
              <w:rPr>
                <w:rFonts w:ascii="Arial Narrow" w:hAnsi="Arial Narrow"/>
                <w:sz w:val="20"/>
                <w:szCs w:val="20"/>
              </w:rPr>
              <w:t>Patrimonial  en</w:t>
            </w:r>
            <w:proofErr w:type="gramEnd"/>
            <w:r w:rsidRPr="00935B0A">
              <w:rPr>
                <w:rFonts w:ascii="Arial Narrow" w:hAnsi="Arial Narrow"/>
                <w:sz w:val="20"/>
                <w:szCs w:val="20"/>
              </w:rPr>
              <w:t xml:space="preserve"> Riesgo</w:t>
            </w:r>
          </w:p>
        </w:tc>
        <w:tc>
          <w:tcPr>
            <w:tcW w:w="1391" w:type="dxa"/>
            <w:tcBorders>
              <w:top w:val="single" w:sz="6" w:space="0" w:color="auto"/>
              <w:left w:val="single" w:sz="6" w:space="0" w:color="auto"/>
              <w:bottom w:val="single" w:sz="6" w:space="0" w:color="auto"/>
              <w:right w:val="single" w:sz="6" w:space="0" w:color="auto"/>
            </w:tcBorders>
            <w:vAlign w:val="center"/>
          </w:tcPr>
          <w:p w14:paraId="2AE94C03" w14:textId="77777777" w:rsidR="004250EC" w:rsidRPr="00935B0A" w:rsidRDefault="004250EC" w:rsidP="00BC030E">
            <w:pPr>
              <w:jc w:val="center"/>
              <w:rPr>
                <w:rFonts w:ascii="Arial Narrow" w:hAnsi="Arial Narrow"/>
                <w:sz w:val="20"/>
                <w:szCs w:val="20"/>
              </w:rPr>
            </w:pPr>
            <w:r w:rsidRPr="00935B0A">
              <w:rPr>
                <w:rFonts w:ascii="Arial Narrow" w:hAnsi="Arial Narrow"/>
                <w:sz w:val="20"/>
                <w:szCs w:val="20"/>
              </w:rPr>
              <w:t>Mensual</w:t>
            </w:r>
          </w:p>
        </w:tc>
      </w:tr>
      <w:tr w:rsidR="004250EC" w:rsidRPr="00935B0A" w14:paraId="43E492ED" w14:textId="77777777">
        <w:trPr>
          <w:cantSplit/>
          <w:trHeight w:val="500"/>
        </w:trPr>
        <w:tc>
          <w:tcPr>
            <w:tcW w:w="1908" w:type="dxa"/>
            <w:vMerge/>
            <w:tcBorders>
              <w:left w:val="single" w:sz="4" w:space="0" w:color="auto"/>
              <w:right w:val="single" w:sz="4" w:space="0" w:color="auto"/>
            </w:tcBorders>
            <w:vAlign w:val="center"/>
          </w:tcPr>
          <w:p w14:paraId="0A08EA79" w14:textId="77777777" w:rsidR="004250EC" w:rsidRPr="00935B0A" w:rsidRDefault="004250EC" w:rsidP="00BC030E">
            <w:pPr>
              <w:ind w:right="-30"/>
              <w:jc w:val="center"/>
              <w:rPr>
                <w:rFonts w:ascii="Arial Narrow" w:hAnsi="Arial Narrow"/>
                <w:b/>
                <w:sz w:val="20"/>
                <w:szCs w:val="20"/>
              </w:rPr>
            </w:pPr>
          </w:p>
        </w:tc>
        <w:tc>
          <w:tcPr>
            <w:tcW w:w="1869" w:type="dxa"/>
            <w:tcBorders>
              <w:top w:val="single" w:sz="6" w:space="0" w:color="auto"/>
              <w:left w:val="nil"/>
              <w:bottom w:val="single" w:sz="6" w:space="0" w:color="auto"/>
              <w:right w:val="single" w:sz="6" w:space="0" w:color="auto"/>
            </w:tcBorders>
            <w:vAlign w:val="center"/>
          </w:tcPr>
          <w:p w14:paraId="1317E11A" w14:textId="77777777" w:rsidR="004250EC" w:rsidRPr="00935B0A" w:rsidRDefault="004250EC" w:rsidP="00BC030E">
            <w:pPr>
              <w:ind w:right="-30"/>
              <w:jc w:val="center"/>
              <w:rPr>
                <w:rFonts w:ascii="Arial Narrow" w:hAnsi="Arial Narrow"/>
                <w:b/>
                <w:sz w:val="20"/>
                <w:szCs w:val="20"/>
              </w:rPr>
            </w:pPr>
            <w:r w:rsidRPr="00935B0A">
              <w:rPr>
                <w:rFonts w:ascii="Arial Narrow" w:hAnsi="Arial Narrow"/>
                <w:b/>
                <w:sz w:val="20"/>
                <w:szCs w:val="20"/>
              </w:rPr>
              <w:t xml:space="preserve">Anexo 8-A </w:t>
            </w:r>
            <w:r w:rsidRPr="00935B0A">
              <w:rPr>
                <w:rFonts w:ascii="Arial Narrow" w:hAnsi="Arial Narrow"/>
                <w:b/>
                <w:sz w:val="20"/>
                <w:szCs w:val="20"/>
                <w:vertAlign w:val="superscript"/>
              </w:rPr>
              <w:t>5.1</w:t>
            </w:r>
          </w:p>
        </w:tc>
        <w:tc>
          <w:tcPr>
            <w:tcW w:w="3964" w:type="dxa"/>
            <w:tcBorders>
              <w:top w:val="single" w:sz="6" w:space="0" w:color="auto"/>
              <w:left w:val="single" w:sz="6" w:space="0" w:color="auto"/>
              <w:bottom w:val="single" w:sz="6" w:space="0" w:color="auto"/>
              <w:right w:val="single" w:sz="6" w:space="0" w:color="auto"/>
            </w:tcBorders>
          </w:tcPr>
          <w:p w14:paraId="16235E51" w14:textId="77777777" w:rsidR="004250EC" w:rsidRPr="00935B0A" w:rsidRDefault="004250EC" w:rsidP="00BC030E">
            <w:pPr>
              <w:ind w:left="28" w:right="28"/>
              <w:jc w:val="both"/>
              <w:rPr>
                <w:rFonts w:ascii="Arial Narrow" w:hAnsi="Arial Narrow"/>
                <w:sz w:val="20"/>
                <w:szCs w:val="20"/>
              </w:rPr>
            </w:pPr>
            <w:r w:rsidRPr="00935B0A">
              <w:rPr>
                <w:rFonts w:ascii="Arial Narrow" w:hAnsi="Arial Narrow"/>
                <w:sz w:val="20"/>
                <w:szCs w:val="20"/>
              </w:rPr>
              <w:t xml:space="preserve">Posiciones en Instrumentos Financieros Derivados </w:t>
            </w:r>
          </w:p>
        </w:tc>
        <w:tc>
          <w:tcPr>
            <w:tcW w:w="1391" w:type="dxa"/>
            <w:tcBorders>
              <w:top w:val="single" w:sz="6" w:space="0" w:color="auto"/>
              <w:left w:val="single" w:sz="6" w:space="0" w:color="auto"/>
              <w:bottom w:val="single" w:sz="6" w:space="0" w:color="auto"/>
              <w:right w:val="single" w:sz="6" w:space="0" w:color="auto"/>
            </w:tcBorders>
            <w:vAlign w:val="center"/>
          </w:tcPr>
          <w:p w14:paraId="65E601EB" w14:textId="77777777" w:rsidR="004250EC" w:rsidRPr="00935B0A" w:rsidRDefault="004250EC" w:rsidP="00BC030E">
            <w:pPr>
              <w:ind w:right="-30"/>
              <w:jc w:val="center"/>
              <w:rPr>
                <w:rFonts w:ascii="Arial Narrow" w:hAnsi="Arial Narrow"/>
                <w:sz w:val="20"/>
                <w:szCs w:val="20"/>
              </w:rPr>
            </w:pPr>
            <w:r w:rsidRPr="00935B0A">
              <w:rPr>
                <w:rFonts w:ascii="Arial Narrow" w:hAnsi="Arial Narrow"/>
                <w:sz w:val="20"/>
                <w:szCs w:val="20"/>
              </w:rPr>
              <w:t>Semanal</w:t>
            </w:r>
          </w:p>
        </w:tc>
      </w:tr>
      <w:tr w:rsidR="004250EC" w:rsidRPr="00935B0A" w14:paraId="2B35B528" w14:textId="77777777">
        <w:trPr>
          <w:cantSplit/>
          <w:trHeight w:val="364"/>
        </w:trPr>
        <w:tc>
          <w:tcPr>
            <w:tcW w:w="1908" w:type="dxa"/>
            <w:vMerge/>
            <w:tcBorders>
              <w:left w:val="single" w:sz="4" w:space="0" w:color="auto"/>
              <w:right w:val="single" w:sz="4" w:space="0" w:color="auto"/>
            </w:tcBorders>
          </w:tcPr>
          <w:p w14:paraId="32E55FEC" w14:textId="77777777" w:rsidR="004250EC" w:rsidRPr="00935B0A" w:rsidRDefault="004250EC" w:rsidP="00BC030E">
            <w:pPr>
              <w:ind w:right="-30"/>
              <w:jc w:val="center"/>
              <w:rPr>
                <w:rFonts w:ascii="Arial Narrow" w:hAnsi="Arial Narrow"/>
                <w:b/>
                <w:sz w:val="20"/>
                <w:szCs w:val="20"/>
              </w:rPr>
            </w:pPr>
          </w:p>
        </w:tc>
        <w:tc>
          <w:tcPr>
            <w:tcW w:w="1869" w:type="dxa"/>
            <w:tcBorders>
              <w:top w:val="single" w:sz="6" w:space="0" w:color="auto"/>
              <w:left w:val="nil"/>
              <w:bottom w:val="single" w:sz="6" w:space="0" w:color="auto"/>
              <w:right w:val="single" w:sz="6" w:space="0" w:color="auto"/>
            </w:tcBorders>
            <w:vAlign w:val="center"/>
          </w:tcPr>
          <w:p w14:paraId="249DA1B3" w14:textId="77777777" w:rsidR="004250EC" w:rsidRPr="00935B0A" w:rsidRDefault="004250EC" w:rsidP="00BC030E">
            <w:pPr>
              <w:ind w:right="-30"/>
              <w:jc w:val="center"/>
              <w:rPr>
                <w:rFonts w:ascii="Arial Narrow" w:hAnsi="Arial Narrow"/>
                <w:b/>
                <w:sz w:val="20"/>
                <w:szCs w:val="20"/>
              </w:rPr>
            </w:pPr>
            <w:r w:rsidRPr="00935B0A">
              <w:rPr>
                <w:rFonts w:ascii="Arial Narrow" w:hAnsi="Arial Narrow"/>
                <w:b/>
                <w:sz w:val="20"/>
                <w:szCs w:val="20"/>
              </w:rPr>
              <w:t xml:space="preserve">Anexo 8-B </w:t>
            </w:r>
            <w:r w:rsidRPr="00935B0A">
              <w:rPr>
                <w:rFonts w:ascii="Arial Narrow" w:hAnsi="Arial Narrow"/>
                <w:b/>
                <w:sz w:val="20"/>
                <w:szCs w:val="20"/>
                <w:vertAlign w:val="superscript"/>
              </w:rPr>
              <w:t>5.1</w:t>
            </w:r>
          </w:p>
        </w:tc>
        <w:tc>
          <w:tcPr>
            <w:tcW w:w="3964" w:type="dxa"/>
            <w:tcBorders>
              <w:top w:val="single" w:sz="6" w:space="0" w:color="auto"/>
              <w:left w:val="single" w:sz="6" w:space="0" w:color="auto"/>
              <w:bottom w:val="single" w:sz="6" w:space="0" w:color="auto"/>
              <w:right w:val="single" w:sz="6" w:space="0" w:color="auto"/>
            </w:tcBorders>
          </w:tcPr>
          <w:p w14:paraId="4E511603" w14:textId="77777777" w:rsidR="004250EC" w:rsidRPr="00935B0A" w:rsidRDefault="004250EC" w:rsidP="00DE43F4">
            <w:pPr>
              <w:ind w:left="28" w:right="28"/>
              <w:jc w:val="both"/>
              <w:rPr>
                <w:rFonts w:ascii="Arial Narrow" w:hAnsi="Arial Narrow"/>
                <w:sz w:val="20"/>
                <w:szCs w:val="20"/>
              </w:rPr>
            </w:pPr>
            <w:r w:rsidRPr="00935B0A">
              <w:rPr>
                <w:rFonts w:ascii="Arial Narrow" w:hAnsi="Arial Narrow"/>
                <w:sz w:val="20"/>
                <w:szCs w:val="20"/>
              </w:rPr>
              <w:t>Posiciones en Instrumentos Financieros Derivados-Compensación por Riesgo de Mercado</w:t>
            </w:r>
          </w:p>
        </w:tc>
        <w:tc>
          <w:tcPr>
            <w:tcW w:w="1391" w:type="dxa"/>
            <w:tcBorders>
              <w:top w:val="single" w:sz="6" w:space="0" w:color="auto"/>
              <w:left w:val="single" w:sz="6" w:space="0" w:color="auto"/>
              <w:bottom w:val="single" w:sz="6" w:space="0" w:color="auto"/>
              <w:right w:val="single" w:sz="6" w:space="0" w:color="auto"/>
            </w:tcBorders>
            <w:vAlign w:val="center"/>
          </w:tcPr>
          <w:p w14:paraId="17C63D98" w14:textId="77777777" w:rsidR="004250EC" w:rsidRPr="00935B0A" w:rsidRDefault="004250EC" w:rsidP="00BC030E">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1C4A1DFF" w14:textId="77777777">
        <w:trPr>
          <w:cantSplit/>
          <w:trHeight w:val="565"/>
        </w:trPr>
        <w:tc>
          <w:tcPr>
            <w:tcW w:w="1908" w:type="dxa"/>
            <w:vMerge/>
            <w:tcBorders>
              <w:left w:val="single" w:sz="4" w:space="0" w:color="auto"/>
              <w:right w:val="single" w:sz="4" w:space="0" w:color="auto"/>
            </w:tcBorders>
          </w:tcPr>
          <w:p w14:paraId="46737734" w14:textId="77777777" w:rsidR="004250EC" w:rsidRPr="00935B0A" w:rsidRDefault="004250EC" w:rsidP="00BC030E">
            <w:pPr>
              <w:ind w:right="-30"/>
              <w:jc w:val="center"/>
              <w:rPr>
                <w:rFonts w:ascii="Arial Narrow" w:hAnsi="Arial Narrow"/>
                <w:b/>
                <w:sz w:val="20"/>
                <w:szCs w:val="20"/>
              </w:rPr>
            </w:pPr>
          </w:p>
        </w:tc>
        <w:tc>
          <w:tcPr>
            <w:tcW w:w="1869" w:type="dxa"/>
            <w:tcBorders>
              <w:top w:val="single" w:sz="6" w:space="0" w:color="auto"/>
              <w:left w:val="nil"/>
              <w:bottom w:val="single" w:sz="6" w:space="0" w:color="auto"/>
              <w:right w:val="single" w:sz="6" w:space="0" w:color="auto"/>
            </w:tcBorders>
            <w:vAlign w:val="center"/>
          </w:tcPr>
          <w:p w14:paraId="56B0DE28" w14:textId="77777777" w:rsidR="004250EC" w:rsidRPr="00935B0A" w:rsidRDefault="004250EC" w:rsidP="004250EC">
            <w:pPr>
              <w:jc w:val="center"/>
              <w:rPr>
                <w:rFonts w:ascii="Arial Narrow" w:hAnsi="Arial Narrow"/>
                <w:b/>
                <w:sz w:val="20"/>
                <w:szCs w:val="20"/>
                <w:vertAlign w:val="superscript"/>
              </w:rPr>
            </w:pPr>
            <w:r w:rsidRPr="00935B0A">
              <w:rPr>
                <w:rFonts w:ascii="Arial Narrow" w:hAnsi="Arial Narrow"/>
                <w:b/>
                <w:sz w:val="20"/>
                <w:szCs w:val="20"/>
              </w:rPr>
              <w:t>Anexo 9</w:t>
            </w:r>
            <w:r w:rsidRPr="00935B0A">
              <w:rPr>
                <w:rFonts w:ascii="Arial Narrow" w:hAnsi="Arial Narrow"/>
                <w:b/>
                <w:sz w:val="20"/>
                <w:szCs w:val="20"/>
                <w:vertAlign w:val="superscript"/>
              </w:rPr>
              <w:t>6</w:t>
            </w:r>
          </w:p>
        </w:tc>
        <w:tc>
          <w:tcPr>
            <w:tcW w:w="3964" w:type="dxa"/>
            <w:tcBorders>
              <w:top w:val="single" w:sz="6" w:space="0" w:color="auto"/>
              <w:left w:val="single" w:sz="6" w:space="0" w:color="auto"/>
              <w:bottom w:val="single" w:sz="6" w:space="0" w:color="auto"/>
              <w:right w:val="single" w:sz="6" w:space="0" w:color="auto"/>
            </w:tcBorders>
            <w:vAlign w:val="center"/>
          </w:tcPr>
          <w:p w14:paraId="5A477D52" w14:textId="77777777" w:rsidR="004250EC" w:rsidRPr="00935B0A" w:rsidRDefault="004250EC" w:rsidP="00D608C8">
            <w:pPr>
              <w:ind w:left="28" w:right="28"/>
              <w:rPr>
                <w:rFonts w:ascii="Arial Narrow" w:hAnsi="Arial Narrow"/>
                <w:sz w:val="20"/>
                <w:szCs w:val="20"/>
              </w:rPr>
            </w:pPr>
            <w:r w:rsidRPr="00935B0A">
              <w:rPr>
                <w:rFonts w:ascii="Arial Narrow" w:hAnsi="Arial Narrow"/>
                <w:sz w:val="20"/>
                <w:szCs w:val="20"/>
              </w:rPr>
              <w:t>Resultado de modelos de Medición del Riesgo de Mercado – Modelos Internos</w:t>
            </w:r>
          </w:p>
        </w:tc>
        <w:tc>
          <w:tcPr>
            <w:tcW w:w="1391" w:type="dxa"/>
            <w:tcBorders>
              <w:top w:val="single" w:sz="6" w:space="0" w:color="auto"/>
              <w:left w:val="single" w:sz="6" w:space="0" w:color="auto"/>
              <w:bottom w:val="single" w:sz="6" w:space="0" w:color="auto"/>
              <w:right w:val="single" w:sz="6" w:space="0" w:color="auto"/>
            </w:tcBorders>
            <w:vAlign w:val="center"/>
          </w:tcPr>
          <w:p w14:paraId="039F9600" w14:textId="77777777" w:rsidR="004250EC" w:rsidRPr="00935B0A" w:rsidRDefault="004250EC" w:rsidP="00BC030E">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1D716747" w14:textId="77777777">
        <w:trPr>
          <w:cantSplit/>
          <w:trHeight w:val="565"/>
        </w:trPr>
        <w:tc>
          <w:tcPr>
            <w:tcW w:w="1908" w:type="dxa"/>
            <w:vMerge/>
            <w:tcBorders>
              <w:left w:val="single" w:sz="4" w:space="0" w:color="auto"/>
              <w:right w:val="single" w:sz="4" w:space="0" w:color="auto"/>
            </w:tcBorders>
          </w:tcPr>
          <w:p w14:paraId="626D889D" w14:textId="77777777" w:rsidR="004250EC" w:rsidRPr="00935B0A" w:rsidRDefault="004250EC" w:rsidP="00BC030E">
            <w:pPr>
              <w:ind w:right="-30"/>
              <w:jc w:val="center"/>
              <w:rPr>
                <w:rFonts w:ascii="Arial Narrow" w:hAnsi="Arial Narrow"/>
                <w:b/>
                <w:sz w:val="20"/>
                <w:szCs w:val="20"/>
              </w:rPr>
            </w:pPr>
          </w:p>
        </w:tc>
        <w:tc>
          <w:tcPr>
            <w:tcW w:w="1869" w:type="dxa"/>
            <w:tcBorders>
              <w:top w:val="single" w:sz="6" w:space="0" w:color="auto"/>
              <w:left w:val="nil"/>
              <w:bottom w:val="single" w:sz="6" w:space="0" w:color="auto"/>
              <w:right w:val="single" w:sz="6" w:space="0" w:color="auto"/>
            </w:tcBorders>
            <w:vAlign w:val="center"/>
          </w:tcPr>
          <w:p w14:paraId="1F1EEC18" w14:textId="77777777" w:rsidR="004250EC" w:rsidRPr="00935B0A" w:rsidRDefault="004250EC" w:rsidP="00BC030E">
            <w:pPr>
              <w:ind w:right="-30"/>
              <w:jc w:val="center"/>
              <w:rPr>
                <w:rFonts w:ascii="Arial Narrow" w:hAnsi="Arial Narrow"/>
                <w:b/>
                <w:sz w:val="20"/>
                <w:szCs w:val="20"/>
                <w:vertAlign w:val="superscript"/>
              </w:rPr>
            </w:pPr>
            <w:r w:rsidRPr="00935B0A">
              <w:rPr>
                <w:rFonts w:ascii="Arial Narrow" w:hAnsi="Arial Narrow"/>
                <w:b/>
                <w:sz w:val="20"/>
                <w:szCs w:val="20"/>
                <w:vertAlign w:val="superscript"/>
              </w:rPr>
              <w:t>6.1</w:t>
            </w:r>
          </w:p>
        </w:tc>
        <w:tc>
          <w:tcPr>
            <w:tcW w:w="3964" w:type="dxa"/>
            <w:tcBorders>
              <w:top w:val="single" w:sz="6" w:space="0" w:color="auto"/>
              <w:left w:val="single" w:sz="6" w:space="0" w:color="auto"/>
              <w:bottom w:val="single" w:sz="6" w:space="0" w:color="auto"/>
              <w:right w:val="single" w:sz="6" w:space="0" w:color="auto"/>
            </w:tcBorders>
          </w:tcPr>
          <w:p w14:paraId="00540E45" w14:textId="77777777" w:rsidR="004250EC" w:rsidRPr="00935B0A" w:rsidRDefault="004250EC" w:rsidP="00BC030E">
            <w:pPr>
              <w:ind w:left="28" w:right="28"/>
              <w:jc w:val="both"/>
              <w:rPr>
                <w:rFonts w:ascii="Arial Narrow" w:hAnsi="Arial Narrow"/>
                <w:sz w:val="20"/>
                <w:szCs w:val="20"/>
              </w:rPr>
            </w:pPr>
          </w:p>
        </w:tc>
        <w:tc>
          <w:tcPr>
            <w:tcW w:w="1391" w:type="dxa"/>
            <w:tcBorders>
              <w:top w:val="single" w:sz="6" w:space="0" w:color="auto"/>
              <w:left w:val="single" w:sz="6" w:space="0" w:color="auto"/>
              <w:bottom w:val="single" w:sz="6" w:space="0" w:color="auto"/>
              <w:right w:val="single" w:sz="6" w:space="0" w:color="auto"/>
            </w:tcBorders>
            <w:vAlign w:val="center"/>
          </w:tcPr>
          <w:p w14:paraId="33B40D5D" w14:textId="77777777" w:rsidR="004250EC" w:rsidRPr="00935B0A" w:rsidRDefault="004250EC" w:rsidP="00BC030E">
            <w:pPr>
              <w:ind w:right="-30"/>
              <w:jc w:val="center"/>
              <w:rPr>
                <w:rFonts w:ascii="Arial Narrow" w:hAnsi="Arial Narrow"/>
                <w:sz w:val="20"/>
                <w:szCs w:val="20"/>
              </w:rPr>
            </w:pPr>
          </w:p>
        </w:tc>
      </w:tr>
      <w:tr w:rsidR="004250EC" w:rsidRPr="00935B0A" w14:paraId="22F38521" w14:textId="77777777">
        <w:trPr>
          <w:cantSplit/>
          <w:trHeight w:val="560"/>
        </w:trPr>
        <w:tc>
          <w:tcPr>
            <w:tcW w:w="1908" w:type="dxa"/>
            <w:vMerge/>
            <w:tcBorders>
              <w:left w:val="single" w:sz="4" w:space="0" w:color="auto"/>
              <w:right w:val="single" w:sz="4" w:space="0" w:color="auto"/>
            </w:tcBorders>
            <w:vAlign w:val="center"/>
          </w:tcPr>
          <w:p w14:paraId="2293E364" w14:textId="77777777" w:rsidR="004250EC" w:rsidRPr="00935B0A" w:rsidRDefault="004250EC" w:rsidP="00BC030E">
            <w:pPr>
              <w:ind w:right="-30"/>
              <w:jc w:val="center"/>
              <w:rPr>
                <w:rFonts w:ascii="Arial Narrow" w:hAnsi="Arial Narrow"/>
                <w:b/>
                <w:sz w:val="20"/>
                <w:szCs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1E872994" w14:textId="77777777" w:rsidR="004250EC" w:rsidRPr="004250EC" w:rsidRDefault="004250EC" w:rsidP="004250EC">
            <w:pPr>
              <w:jc w:val="center"/>
              <w:rPr>
                <w:rFonts w:ascii="Arial Narrow" w:hAnsi="Arial Narrow"/>
                <w:b/>
                <w:sz w:val="20"/>
                <w:szCs w:val="20"/>
                <w:vertAlign w:val="superscript"/>
              </w:rPr>
            </w:pPr>
            <w:r w:rsidRPr="00935B0A">
              <w:rPr>
                <w:rFonts w:ascii="Arial Narrow" w:hAnsi="Arial Narrow"/>
                <w:b/>
                <w:sz w:val="20"/>
                <w:szCs w:val="20"/>
              </w:rPr>
              <w:t xml:space="preserve">Anexo 15-A </w:t>
            </w:r>
            <w:r w:rsidRPr="00935B0A">
              <w:rPr>
                <w:rFonts w:ascii="Arial Narrow" w:hAnsi="Arial Narrow"/>
                <w:b/>
                <w:sz w:val="20"/>
                <w:szCs w:val="20"/>
                <w:vertAlign w:val="superscript"/>
              </w:rPr>
              <w:t>7</w:t>
            </w:r>
          </w:p>
        </w:tc>
        <w:tc>
          <w:tcPr>
            <w:tcW w:w="3964" w:type="dxa"/>
            <w:tcBorders>
              <w:top w:val="single" w:sz="4" w:space="0" w:color="auto"/>
              <w:left w:val="single" w:sz="4" w:space="0" w:color="auto"/>
              <w:bottom w:val="single" w:sz="4" w:space="0" w:color="auto"/>
              <w:right w:val="single" w:sz="4" w:space="0" w:color="auto"/>
            </w:tcBorders>
          </w:tcPr>
          <w:p w14:paraId="4252D9B9" w14:textId="77777777" w:rsidR="004250EC" w:rsidRPr="00935B0A" w:rsidRDefault="004250EC" w:rsidP="00445382">
            <w:pPr>
              <w:spacing w:before="60" w:after="60"/>
              <w:ind w:left="28" w:right="28"/>
              <w:jc w:val="both"/>
              <w:rPr>
                <w:rFonts w:ascii="Arial Narrow" w:hAnsi="Arial Narrow"/>
                <w:sz w:val="20"/>
                <w:szCs w:val="20"/>
              </w:rPr>
            </w:pPr>
            <w:r w:rsidRPr="00935B0A">
              <w:rPr>
                <w:rFonts w:ascii="Arial Narrow" w:hAnsi="Arial Narrow"/>
                <w:sz w:val="20"/>
                <w:szCs w:val="20"/>
              </w:rPr>
              <w:t>Reporte de Tesorería y Posición Diaria de Liquidez</w:t>
            </w:r>
          </w:p>
        </w:tc>
        <w:tc>
          <w:tcPr>
            <w:tcW w:w="1391" w:type="dxa"/>
            <w:tcBorders>
              <w:top w:val="single" w:sz="4" w:space="0" w:color="auto"/>
              <w:left w:val="single" w:sz="4" w:space="0" w:color="auto"/>
              <w:bottom w:val="single" w:sz="4" w:space="0" w:color="auto"/>
              <w:right w:val="single" w:sz="4" w:space="0" w:color="auto"/>
            </w:tcBorders>
            <w:vAlign w:val="center"/>
          </w:tcPr>
          <w:p w14:paraId="7F776891" w14:textId="77777777" w:rsidR="004250EC" w:rsidRPr="00935B0A" w:rsidRDefault="004250EC" w:rsidP="00445382">
            <w:pPr>
              <w:jc w:val="center"/>
              <w:rPr>
                <w:rFonts w:ascii="Arial Narrow" w:hAnsi="Arial Narrow"/>
                <w:sz w:val="20"/>
                <w:szCs w:val="20"/>
              </w:rPr>
            </w:pPr>
            <w:r w:rsidRPr="00935B0A">
              <w:rPr>
                <w:rFonts w:ascii="Arial Narrow" w:hAnsi="Arial Narrow"/>
                <w:sz w:val="20"/>
                <w:szCs w:val="20"/>
              </w:rPr>
              <w:t>Diaria</w:t>
            </w:r>
          </w:p>
        </w:tc>
      </w:tr>
      <w:tr w:rsidR="004250EC" w:rsidRPr="00935B0A" w14:paraId="25740A05" w14:textId="77777777">
        <w:trPr>
          <w:cantSplit/>
          <w:trHeight w:val="560"/>
        </w:trPr>
        <w:tc>
          <w:tcPr>
            <w:tcW w:w="1908" w:type="dxa"/>
            <w:vMerge/>
            <w:tcBorders>
              <w:left w:val="single" w:sz="4" w:space="0" w:color="auto"/>
              <w:right w:val="single" w:sz="4" w:space="0" w:color="auto"/>
            </w:tcBorders>
            <w:vAlign w:val="center"/>
          </w:tcPr>
          <w:p w14:paraId="7346FF9A" w14:textId="77777777" w:rsidR="004250EC" w:rsidRPr="00935B0A" w:rsidRDefault="004250EC" w:rsidP="00BC030E">
            <w:pPr>
              <w:ind w:right="-30"/>
              <w:jc w:val="center"/>
              <w:rPr>
                <w:rFonts w:ascii="Arial Narrow" w:hAnsi="Arial Narrow"/>
                <w:b/>
                <w:sz w:val="20"/>
                <w:szCs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05C8B521" w14:textId="77777777" w:rsidR="004250EC" w:rsidRPr="004250EC" w:rsidRDefault="004250EC" w:rsidP="004250EC">
            <w:pPr>
              <w:jc w:val="center"/>
              <w:rPr>
                <w:rFonts w:ascii="Arial Narrow" w:hAnsi="Arial Narrow"/>
                <w:b/>
                <w:sz w:val="20"/>
                <w:szCs w:val="20"/>
                <w:vertAlign w:val="superscript"/>
              </w:rPr>
            </w:pPr>
            <w:r w:rsidRPr="00935B0A">
              <w:rPr>
                <w:rFonts w:ascii="Arial Narrow" w:hAnsi="Arial Narrow"/>
                <w:b/>
                <w:sz w:val="20"/>
                <w:szCs w:val="20"/>
              </w:rPr>
              <w:t xml:space="preserve">Anexo 15-B </w:t>
            </w:r>
            <w:r w:rsidRPr="00935B0A">
              <w:rPr>
                <w:rFonts w:ascii="Arial Narrow" w:hAnsi="Arial Narrow"/>
                <w:b/>
                <w:sz w:val="20"/>
                <w:szCs w:val="20"/>
                <w:vertAlign w:val="superscript"/>
              </w:rPr>
              <w:t>7</w:t>
            </w:r>
          </w:p>
        </w:tc>
        <w:tc>
          <w:tcPr>
            <w:tcW w:w="3964" w:type="dxa"/>
            <w:tcBorders>
              <w:top w:val="single" w:sz="4" w:space="0" w:color="auto"/>
              <w:left w:val="single" w:sz="4" w:space="0" w:color="auto"/>
              <w:bottom w:val="single" w:sz="4" w:space="0" w:color="auto"/>
              <w:right w:val="single" w:sz="4" w:space="0" w:color="auto"/>
            </w:tcBorders>
            <w:vAlign w:val="center"/>
          </w:tcPr>
          <w:p w14:paraId="7FD961F7" w14:textId="77777777" w:rsidR="004250EC" w:rsidRPr="00935B0A" w:rsidRDefault="004250EC" w:rsidP="00445382">
            <w:pPr>
              <w:spacing w:before="60" w:after="60"/>
              <w:ind w:left="28" w:right="28"/>
              <w:jc w:val="both"/>
              <w:rPr>
                <w:rFonts w:ascii="Arial Narrow" w:hAnsi="Arial Narrow"/>
                <w:sz w:val="20"/>
                <w:szCs w:val="20"/>
              </w:rPr>
            </w:pPr>
            <w:r w:rsidRPr="00935B0A">
              <w:rPr>
                <w:rFonts w:ascii="Arial Narrow" w:hAnsi="Arial Narrow"/>
                <w:sz w:val="20"/>
                <w:szCs w:val="20"/>
              </w:rPr>
              <w:t>Ratio de cobertura de liquidez</w:t>
            </w:r>
          </w:p>
        </w:tc>
        <w:tc>
          <w:tcPr>
            <w:tcW w:w="1391" w:type="dxa"/>
            <w:tcBorders>
              <w:top w:val="single" w:sz="4" w:space="0" w:color="auto"/>
              <w:left w:val="single" w:sz="4" w:space="0" w:color="auto"/>
              <w:bottom w:val="single" w:sz="4" w:space="0" w:color="auto"/>
              <w:right w:val="single" w:sz="4" w:space="0" w:color="auto"/>
            </w:tcBorders>
            <w:vAlign w:val="center"/>
          </w:tcPr>
          <w:p w14:paraId="51903CA9" w14:textId="77777777" w:rsidR="004250EC" w:rsidRPr="00935B0A" w:rsidRDefault="004250EC" w:rsidP="00445382">
            <w:pPr>
              <w:jc w:val="center"/>
              <w:rPr>
                <w:rFonts w:ascii="Arial Narrow" w:hAnsi="Arial Narrow"/>
                <w:sz w:val="20"/>
                <w:szCs w:val="20"/>
              </w:rPr>
            </w:pPr>
            <w:r w:rsidRPr="00935B0A">
              <w:rPr>
                <w:rFonts w:ascii="Arial Narrow" w:hAnsi="Arial Narrow"/>
                <w:sz w:val="20"/>
                <w:szCs w:val="20"/>
              </w:rPr>
              <w:t>Diaria</w:t>
            </w:r>
          </w:p>
        </w:tc>
      </w:tr>
      <w:tr w:rsidR="004250EC" w:rsidRPr="00935B0A" w14:paraId="1F4D965C" w14:textId="77777777">
        <w:trPr>
          <w:cantSplit/>
          <w:trHeight w:val="560"/>
        </w:trPr>
        <w:tc>
          <w:tcPr>
            <w:tcW w:w="1908" w:type="dxa"/>
            <w:vMerge/>
            <w:tcBorders>
              <w:left w:val="single" w:sz="4" w:space="0" w:color="auto"/>
              <w:right w:val="single" w:sz="4" w:space="0" w:color="auto"/>
            </w:tcBorders>
            <w:vAlign w:val="center"/>
          </w:tcPr>
          <w:p w14:paraId="6FB1277F" w14:textId="77777777" w:rsidR="004250EC" w:rsidRPr="00935B0A" w:rsidRDefault="004250EC" w:rsidP="00BC030E">
            <w:pPr>
              <w:ind w:right="-30"/>
              <w:jc w:val="center"/>
              <w:rPr>
                <w:rFonts w:ascii="Arial Narrow" w:hAnsi="Arial Narrow"/>
                <w:b/>
                <w:sz w:val="20"/>
                <w:szCs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7A45307D" w14:textId="77777777" w:rsidR="004250EC" w:rsidRPr="004250EC" w:rsidRDefault="004250EC" w:rsidP="004250EC">
            <w:pPr>
              <w:jc w:val="center"/>
              <w:rPr>
                <w:rFonts w:ascii="Arial Narrow" w:hAnsi="Arial Narrow"/>
                <w:b/>
                <w:sz w:val="20"/>
                <w:szCs w:val="20"/>
                <w:vertAlign w:val="superscript"/>
              </w:rPr>
            </w:pPr>
            <w:r w:rsidRPr="00935B0A">
              <w:rPr>
                <w:rFonts w:ascii="Arial Narrow" w:hAnsi="Arial Narrow"/>
                <w:b/>
                <w:sz w:val="20"/>
                <w:szCs w:val="20"/>
              </w:rPr>
              <w:t xml:space="preserve">Anexo 15-C </w:t>
            </w:r>
            <w:r w:rsidRPr="00935B0A">
              <w:rPr>
                <w:rFonts w:ascii="Arial Narrow" w:hAnsi="Arial Narrow"/>
                <w:b/>
                <w:sz w:val="20"/>
                <w:szCs w:val="20"/>
                <w:vertAlign w:val="superscript"/>
              </w:rPr>
              <w:t>7.1</w:t>
            </w:r>
          </w:p>
        </w:tc>
        <w:tc>
          <w:tcPr>
            <w:tcW w:w="3964" w:type="dxa"/>
            <w:tcBorders>
              <w:top w:val="single" w:sz="4" w:space="0" w:color="auto"/>
              <w:left w:val="single" w:sz="4" w:space="0" w:color="auto"/>
              <w:bottom w:val="single" w:sz="4" w:space="0" w:color="auto"/>
              <w:right w:val="single" w:sz="4" w:space="0" w:color="auto"/>
            </w:tcBorders>
            <w:vAlign w:val="center"/>
          </w:tcPr>
          <w:p w14:paraId="4B622744" w14:textId="77777777" w:rsidR="004250EC" w:rsidRPr="00935B0A" w:rsidRDefault="004250EC" w:rsidP="00445382">
            <w:pPr>
              <w:spacing w:before="60" w:after="60"/>
              <w:ind w:left="28" w:right="28"/>
              <w:jc w:val="both"/>
              <w:rPr>
                <w:rFonts w:ascii="Arial Narrow" w:hAnsi="Arial Narrow"/>
                <w:sz w:val="20"/>
                <w:szCs w:val="20"/>
              </w:rPr>
            </w:pPr>
            <w:r w:rsidRPr="00935B0A">
              <w:rPr>
                <w:rFonts w:ascii="Arial Narrow" w:hAnsi="Arial Narrow"/>
                <w:sz w:val="20"/>
                <w:szCs w:val="20"/>
              </w:rPr>
              <w:t>Posición mensual de liquidez</w:t>
            </w:r>
          </w:p>
        </w:tc>
        <w:tc>
          <w:tcPr>
            <w:tcW w:w="1391" w:type="dxa"/>
            <w:tcBorders>
              <w:top w:val="single" w:sz="4" w:space="0" w:color="auto"/>
              <w:left w:val="single" w:sz="4" w:space="0" w:color="auto"/>
              <w:bottom w:val="single" w:sz="4" w:space="0" w:color="auto"/>
              <w:right w:val="single" w:sz="4" w:space="0" w:color="auto"/>
            </w:tcBorders>
            <w:vAlign w:val="center"/>
          </w:tcPr>
          <w:p w14:paraId="0F893F49" w14:textId="77777777" w:rsidR="004250EC" w:rsidRPr="00935B0A" w:rsidRDefault="004250EC" w:rsidP="00445382">
            <w:pPr>
              <w:jc w:val="center"/>
              <w:rPr>
                <w:rFonts w:ascii="Arial Narrow" w:hAnsi="Arial Narrow"/>
                <w:sz w:val="20"/>
                <w:szCs w:val="20"/>
              </w:rPr>
            </w:pPr>
            <w:r w:rsidRPr="00935B0A">
              <w:rPr>
                <w:rFonts w:ascii="Arial Narrow" w:hAnsi="Arial Narrow"/>
                <w:sz w:val="20"/>
                <w:szCs w:val="20"/>
              </w:rPr>
              <w:t>Mensual</w:t>
            </w:r>
          </w:p>
        </w:tc>
      </w:tr>
      <w:tr w:rsidR="004250EC" w:rsidRPr="00935B0A" w14:paraId="1E079AAF" w14:textId="77777777">
        <w:trPr>
          <w:cantSplit/>
          <w:trHeight w:val="560"/>
        </w:trPr>
        <w:tc>
          <w:tcPr>
            <w:tcW w:w="1908" w:type="dxa"/>
            <w:vMerge/>
            <w:tcBorders>
              <w:left w:val="single" w:sz="4" w:space="0" w:color="auto"/>
              <w:right w:val="single" w:sz="4" w:space="0" w:color="auto"/>
            </w:tcBorders>
            <w:vAlign w:val="center"/>
          </w:tcPr>
          <w:p w14:paraId="7E8DFBCB" w14:textId="77777777" w:rsidR="004250EC" w:rsidRPr="00935B0A" w:rsidRDefault="004250EC" w:rsidP="00BC030E">
            <w:pPr>
              <w:ind w:right="-30"/>
              <w:jc w:val="center"/>
              <w:rPr>
                <w:rFonts w:ascii="Arial Narrow" w:hAnsi="Arial Narrow"/>
                <w:b/>
                <w:sz w:val="20"/>
                <w:szCs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280199AD" w14:textId="77777777" w:rsidR="004250EC" w:rsidRPr="00935B0A" w:rsidRDefault="004250EC" w:rsidP="004250EC">
            <w:pPr>
              <w:jc w:val="center"/>
              <w:rPr>
                <w:rFonts w:ascii="Arial Narrow" w:hAnsi="Arial Narrow"/>
                <w:b/>
                <w:sz w:val="20"/>
                <w:szCs w:val="20"/>
              </w:rPr>
            </w:pPr>
            <w:r w:rsidRPr="00935B0A">
              <w:rPr>
                <w:rFonts w:ascii="Arial Narrow" w:hAnsi="Arial Narrow"/>
                <w:b/>
                <w:sz w:val="20"/>
                <w:szCs w:val="20"/>
              </w:rPr>
              <w:t xml:space="preserve">Anexo 16-A </w:t>
            </w:r>
            <w:r w:rsidRPr="00935B0A">
              <w:rPr>
                <w:rFonts w:ascii="Arial Narrow" w:hAnsi="Arial Narrow"/>
                <w:b/>
                <w:sz w:val="20"/>
                <w:szCs w:val="20"/>
                <w:vertAlign w:val="superscript"/>
              </w:rPr>
              <w:t>8</w:t>
            </w:r>
            <w:r w:rsidRPr="00935B0A">
              <w:rPr>
                <w:rFonts w:ascii="Arial Narrow" w:hAnsi="Arial Narrow"/>
                <w:b/>
                <w:sz w:val="20"/>
                <w:szCs w:val="20"/>
              </w:rPr>
              <w:t xml:space="preserve"> </w:t>
            </w:r>
          </w:p>
        </w:tc>
        <w:tc>
          <w:tcPr>
            <w:tcW w:w="3964" w:type="dxa"/>
            <w:tcBorders>
              <w:top w:val="single" w:sz="4" w:space="0" w:color="auto"/>
              <w:left w:val="single" w:sz="4" w:space="0" w:color="auto"/>
              <w:bottom w:val="single" w:sz="4" w:space="0" w:color="auto"/>
              <w:right w:val="single" w:sz="4" w:space="0" w:color="auto"/>
            </w:tcBorders>
            <w:vAlign w:val="center"/>
          </w:tcPr>
          <w:p w14:paraId="6071504C" w14:textId="77777777" w:rsidR="004250EC" w:rsidRPr="00935B0A" w:rsidRDefault="004250EC" w:rsidP="00445382">
            <w:pPr>
              <w:spacing w:before="60" w:after="60"/>
              <w:ind w:left="28" w:right="28"/>
              <w:jc w:val="both"/>
              <w:rPr>
                <w:rFonts w:ascii="Arial Narrow" w:hAnsi="Arial Narrow"/>
                <w:sz w:val="20"/>
                <w:szCs w:val="20"/>
              </w:rPr>
            </w:pPr>
            <w:r w:rsidRPr="00935B0A">
              <w:rPr>
                <w:rFonts w:ascii="Arial Narrow" w:hAnsi="Arial Narrow"/>
                <w:sz w:val="20"/>
                <w:szCs w:val="20"/>
              </w:rPr>
              <w:t>Cuadro de liquidez por plazo de vencimiento</w:t>
            </w:r>
          </w:p>
        </w:tc>
        <w:tc>
          <w:tcPr>
            <w:tcW w:w="1391" w:type="dxa"/>
            <w:tcBorders>
              <w:top w:val="single" w:sz="4" w:space="0" w:color="auto"/>
              <w:left w:val="single" w:sz="4" w:space="0" w:color="auto"/>
              <w:bottom w:val="single" w:sz="4" w:space="0" w:color="auto"/>
              <w:right w:val="single" w:sz="4" w:space="0" w:color="auto"/>
            </w:tcBorders>
            <w:vAlign w:val="center"/>
          </w:tcPr>
          <w:p w14:paraId="76225444" w14:textId="77777777" w:rsidR="004250EC" w:rsidRPr="00935B0A" w:rsidRDefault="004250EC" w:rsidP="00445382">
            <w:pPr>
              <w:jc w:val="center"/>
              <w:rPr>
                <w:rFonts w:ascii="Arial Narrow" w:hAnsi="Arial Narrow"/>
                <w:sz w:val="20"/>
                <w:szCs w:val="20"/>
              </w:rPr>
            </w:pPr>
            <w:r w:rsidRPr="00935B0A">
              <w:rPr>
                <w:rFonts w:ascii="Arial Narrow" w:hAnsi="Arial Narrow"/>
                <w:sz w:val="20"/>
                <w:szCs w:val="20"/>
              </w:rPr>
              <w:t>Mensual</w:t>
            </w:r>
          </w:p>
        </w:tc>
      </w:tr>
      <w:tr w:rsidR="004250EC" w:rsidRPr="00935B0A" w14:paraId="3BDA2DE7" w14:textId="77777777">
        <w:trPr>
          <w:cantSplit/>
          <w:trHeight w:val="560"/>
        </w:trPr>
        <w:tc>
          <w:tcPr>
            <w:tcW w:w="1908" w:type="dxa"/>
            <w:vMerge/>
            <w:tcBorders>
              <w:left w:val="single" w:sz="4" w:space="0" w:color="auto"/>
              <w:right w:val="single" w:sz="4" w:space="0" w:color="auto"/>
            </w:tcBorders>
            <w:vAlign w:val="center"/>
          </w:tcPr>
          <w:p w14:paraId="24C5E74B" w14:textId="77777777" w:rsidR="004250EC" w:rsidRPr="00935B0A" w:rsidRDefault="004250EC" w:rsidP="00BC030E">
            <w:pPr>
              <w:ind w:right="-30"/>
              <w:jc w:val="center"/>
              <w:rPr>
                <w:rFonts w:ascii="Arial Narrow" w:hAnsi="Arial Narrow"/>
                <w:b/>
                <w:sz w:val="20"/>
                <w:szCs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5746F92B" w14:textId="77777777" w:rsidR="004250EC" w:rsidRPr="004250EC" w:rsidRDefault="004250EC" w:rsidP="004250EC">
            <w:pPr>
              <w:jc w:val="center"/>
              <w:rPr>
                <w:rFonts w:ascii="Arial Narrow" w:hAnsi="Arial Narrow"/>
                <w:b/>
                <w:sz w:val="20"/>
                <w:szCs w:val="20"/>
                <w:vertAlign w:val="superscript"/>
              </w:rPr>
            </w:pPr>
            <w:r w:rsidRPr="00935B0A">
              <w:rPr>
                <w:rFonts w:ascii="Arial Narrow" w:hAnsi="Arial Narrow"/>
                <w:b/>
                <w:sz w:val="20"/>
                <w:szCs w:val="20"/>
              </w:rPr>
              <w:t xml:space="preserve">Anexo 16-B </w:t>
            </w:r>
            <w:r w:rsidRPr="00935B0A">
              <w:rPr>
                <w:rFonts w:ascii="Arial Narrow" w:hAnsi="Arial Narrow"/>
                <w:b/>
                <w:sz w:val="20"/>
                <w:szCs w:val="20"/>
                <w:vertAlign w:val="superscript"/>
              </w:rPr>
              <w:t>9</w:t>
            </w:r>
          </w:p>
        </w:tc>
        <w:tc>
          <w:tcPr>
            <w:tcW w:w="3964" w:type="dxa"/>
            <w:tcBorders>
              <w:top w:val="single" w:sz="4" w:space="0" w:color="auto"/>
              <w:left w:val="single" w:sz="4" w:space="0" w:color="auto"/>
              <w:bottom w:val="single" w:sz="4" w:space="0" w:color="auto"/>
              <w:right w:val="single" w:sz="4" w:space="0" w:color="auto"/>
            </w:tcBorders>
            <w:vAlign w:val="center"/>
          </w:tcPr>
          <w:p w14:paraId="58D1C70D" w14:textId="77777777" w:rsidR="004250EC" w:rsidRPr="00935B0A" w:rsidRDefault="004250EC" w:rsidP="00445382">
            <w:pPr>
              <w:spacing w:before="60" w:after="60"/>
              <w:ind w:left="28" w:right="28"/>
              <w:jc w:val="both"/>
              <w:rPr>
                <w:rFonts w:ascii="Arial Narrow" w:hAnsi="Arial Narrow"/>
                <w:sz w:val="20"/>
                <w:szCs w:val="20"/>
              </w:rPr>
            </w:pPr>
            <w:r w:rsidRPr="00935B0A">
              <w:rPr>
                <w:rFonts w:ascii="Arial Narrow" w:hAnsi="Arial Narrow"/>
                <w:sz w:val="20"/>
                <w:szCs w:val="20"/>
              </w:rPr>
              <w:t>Simulación de escenario de estrés y plan de contingencia</w:t>
            </w:r>
          </w:p>
        </w:tc>
        <w:tc>
          <w:tcPr>
            <w:tcW w:w="1391" w:type="dxa"/>
            <w:tcBorders>
              <w:top w:val="single" w:sz="4" w:space="0" w:color="auto"/>
              <w:left w:val="single" w:sz="4" w:space="0" w:color="auto"/>
              <w:bottom w:val="single" w:sz="4" w:space="0" w:color="auto"/>
              <w:right w:val="single" w:sz="4" w:space="0" w:color="auto"/>
            </w:tcBorders>
            <w:vAlign w:val="center"/>
          </w:tcPr>
          <w:p w14:paraId="02CE352A" w14:textId="77777777" w:rsidR="004250EC" w:rsidRPr="00935B0A" w:rsidRDefault="004250EC" w:rsidP="00445382">
            <w:pPr>
              <w:jc w:val="center"/>
              <w:rPr>
                <w:rFonts w:ascii="Arial Narrow" w:hAnsi="Arial Narrow"/>
                <w:sz w:val="20"/>
                <w:szCs w:val="20"/>
              </w:rPr>
            </w:pPr>
            <w:r w:rsidRPr="00935B0A">
              <w:rPr>
                <w:rFonts w:ascii="Arial Narrow" w:hAnsi="Arial Narrow"/>
                <w:sz w:val="20"/>
                <w:szCs w:val="20"/>
              </w:rPr>
              <w:t>Trimestral</w:t>
            </w:r>
          </w:p>
        </w:tc>
      </w:tr>
      <w:tr w:rsidR="004250EC" w:rsidRPr="00935B0A" w14:paraId="40710091" w14:textId="77777777">
        <w:trPr>
          <w:cantSplit/>
          <w:trHeight w:val="560"/>
        </w:trPr>
        <w:tc>
          <w:tcPr>
            <w:tcW w:w="1908" w:type="dxa"/>
            <w:vMerge/>
            <w:tcBorders>
              <w:left w:val="single" w:sz="4" w:space="0" w:color="auto"/>
              <w:bottom w:val="single" w:sz="4" w:space="0" w:color="auto"/>
              <w:right w:val="single" w:sz="4" w:space="0" w:color="auto"/>
            </w:tcBorders>
            <w:vAlign w:val="center"/>
          </w:tcPr>
          <w:p w14:paraId="3C1FBFC0" w14:textId="77777777" w:rsidR="004250EC" w:rsidRPr="00935B0A" w:rsidRDefault="004250EC" w:rsidP="004250EC">
            <w:pPr>
              <w:ind w:right="-30"/>
              <w:jc w:val="center"/>
              <w:rPr>
                <w:rFonts w:ascii="Arial Narrow" w:hAnsi="Arial Narrow"/>
                <w:b/>
                <w:sz w:val="20"/>
                <w:szCs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290C0883" w14:textId="77777777" w:rsidR="004250EC" w:rsidRPr="009B142C" w:rsidRDefault="004250EC" w:rsidP="004250EC">
            <w:pPr>
              <w:jc w:val="center"/>
              <w:rPr>
                <w:rFonts w:ascii="Arial Narrow" w:hAnsi="Arial Narrow"/>
                <w:b/>
                <w:sz w:val="20"/>
                <w:szCs w:val="20"/>
                <w:vertAlign w:val="superscript"/>
              </w:rPr>
            </w:pPr>
            <w:r w:rsidRPr="00935B0A">
              <w:rPr>
                <w:rFonts w:ascii="Arial Narrow" w:hAnsi="Arial Narrow"/>
                <w:b/>
                <w:sz w:val="20"/>
                <w:szCs w:val="20"/>
              </w:rPr>
              <w:t>Anexo 16-</w:t>
            </w:r>
            <w:r>
              <w:rPr>
                <w:rFonts w:ascii="Arial Narrow" w:hAnsi="Arial Narrow"/>
                <w:b/>
                <w:sz w:val="20"/>
                <w:szCs w:val="20"/>
              </w:rPr>
              <w:t>C</w:t>
            </w:r>
            <w:r w:rsidRPr="00935B0A">
              <w:rPr>
                <w:rFonts w:ascii="Arial Narrow" w:hAnsi="Arial Narrow"/>
                <w:b/>
                <w:sz w:val="20"/>
                <w:szCs w:val="20"/>
              </w:rPr>
              <w:t xml:space="preserve"> </w:t>
            </w:r>
            <w:r w:rsidRPr="00935B0A">
              <w:rPr>
                <w:rFonts w:ascii="Arial Narrow" w:hAnsi="Arial Narrow"/>
                <w:b/>
                <w:sz w:val="20"/>
                <w:szCs w:val="20"/>
                <w:vertAlign w:val="superscript"/>
              </w:rPr>
              <w:t>9</w:t>
            </w:r>
            <w:r>
              <w:rPr>
                <w:rFonts w:ascii="Arial Narrow" w:hAnsi="Arial Narrow"/>
                <w:b/>
                <w:sz w:val="20"/>
                <w:szCs w:val="20"/>
                <w:vertAlign w:val="superscript"/>
              </w:rPr>
              <w:t>.1</w:t>
            </w:r>
          </w:p>
        </w:tc>
        <w:tc>
          <w:tcPr>
            <w:tcW w:w="3964" w:type="dxa"/>
            <w:tcBorders>
              <w:top w:val="single" w:sz="4" w:space="0" w:color="auto"/>
              <w:left w:val="single" w:sz="4" w:space="0" w:color="auto"/>
              <w:bottom w:val="single" w:sz="4" w:space="0" w:color="auto"/>
              <w:right w:val="single" w:sz="4" w:space="0" w:color="auto"/>
            </w:tcBorders>
            <w:vAlign w:val="center"/>
          </w:tcPr>
          <w:p w14:paraId="4DAF424F" w14:textId="77777777" w:rsidR="004250EC" w:rsidRPr="00935B0A" w:rsidRDefault="004250EC" w:rsidP="004250EC">
            <w:pPr>
              <w:spacing w:before="60" w:after="60"/>
              <w:ind w:left="28" w:right="28"/>
              <w:jc w:val="both"/>
              <w:rPr>
                <w:rFonts w:ascii="Arial Narrow" w:hAnsi="Arial Narrow"/>
                <w:sz w:val="20"/>
                <w:szCs w:val="20"/>
              </w:rPr>
            </w:pPr>
            <w:r w:rsidRPr="004250EC">
              <w:rPr>
                <w:rFonts w:ascii="Arial Narrow" w:hAnsi="Arial Narrow"/>
                <w:sz w:val="20"/>
                <w:szCs w:val="20"/>
              </w:rPr>
              <w:t>Ratio de financiación neta estable</w:t>
            </w:r>
          </w:p>
        </w:tc>
        <w:tc>
          <w:tcPr>
            <w:tcW w:w="1391" w:type="dxa"/>
            <w:tcBorders>
              <w:top w:val="single" w:sz="4" w:space="0" w:color="auto"/>
              <w:left w:val="single" w:sz="4" w:space="0" w:color="auto"/>
              <w:bottom w:val="single" w:sz="4" w:space="0" w:color="auto"/>
              <w:right w:val="single" w:sz="4" w:space="0" w:color="auto"/>
            </w:tcBorders>
            <w:vAlign w:val="center"/>
          </w:tcPr>
          <w:p w14:paraId="578FBDCB" w14:textId="77777777" w:rsidR="004250EC" w:rsidRPr="00935B0A" w:rsidRDefault="004250EC" w:rsidP="004250EC">
            <w:pPr>
              <w:jc w:val="center"/>
              <w:rPr>
                <w:rFonts w:ascii="Arial Narrow" w:hAnsi="Arial Narrow"/>
                <w:sz w:val="20"/>
                <w:szCs w:val="20"/>
              </w:rPr>
            </w:pPr>
            <w:r>
              <w:rPr>
                <w:rFonts w:ascii="Arial Narrow" w:hAnsi="Arial Narrow"/>
                <w:sz w:val="20"/>
                <w:szCs w:val="20"/>
              </w:rPr>
              <w:t>Mensual</w:t>
            </w:r>
          </w:p>
        </w:tc>
      </w:tr>
      <w:tr w:rsidR="004250EC" w:rsidRPr="00935B0A" w14:paraId="5A9D4D2C" w14:textId="77777777" w:rsidTr="000D29FC">
        <w:trPr>
          <w:cantSplit/>
          <w:trHeight w:val="519"/>
        </w:trPr>
        <w:tc>
          <w:tcPr>
            <w:tcW w:w="1908" w:type="dxa"/>
            <w:vMerge w:val="restart"/>
            <w:tcBorders>
              <w:top w:val="single" w:sz="4" w:space="0" w:color="auto"/>
              <w:left w:val="single" w:sz="4" w:space="0" w:color="auto"/>
              <w:right w:val="single" w:sz="4" w:space="0" w:color="auto"/>
            </w:tcBorders>
            <w:vAlign w:val="center"/>
          </w:tcPr>
          <w:p w14:paraId="4A2FA320" w14:textId="77777777" w:rsidR="004250EC" w:rsidRPr="00935B0A" w:rsidRDefault="004250EC" w:rsidP="004250EC">
            <w:pPr>
              <w:ind w:right="-30"/>
              <w:jc w:val="center"/>
              <w:rPr>
                <w:rFonts w:ascii="Arial Narrow" w:hAnsi="Arial Narrow"/>
                <w:b/>
                <w:sz w:val="20"/>
                <w:szCs w:val="20"/>
              </w:rPr>
            </w:pPr>
          </w:p>
          <w:p w14:paraId="2091E469" w14:textId="77777777" w:rsidR="004250EC" w:rsidRPr="00935B0A" w:rsidRDefault="004250EC" w:rsidP="004250EC">
            <w:pPr>
              <w:pStyle w:val="Textoindependiente"/>
              <w:rPr>
                <w:rFonts w:ascii="Arial Narrow" w:hAnsi="Arial Narrow"/>
                <w:sz w:val="20"/>
                <w:szCs w:val="20"/>
              </w:rPr>
            </w:pPr>
            <w:r w:rsidRPr="00935B0A">
              <w:rPr>
                <w:rFonts w:ascii="Arial Narrow" w:hAnsi="Arial Narrow"/>
                <w:sz w:val="20"/>
                <w:szCs w:val="20"/>
              </w:rPr>
              <w:t>Fuentes de Financiamiento</w:t>
            </w:r>
          </w:p>
          <w:p w14:paraId="17F44532" w14:textId="77777777" w:rsidR="004250EC" w:rsidRPr="00935B0A" w:rsidRDefault="004250EC" w:rsidP="004250EC">
            <w:pPr>
              <w:ind w:right="-30"/>
              <w:jc w:val="center"/>
              <w:rPr>
                <w:rFonts w:ascii="Arial Narrow" w:hAnsi="Arial Narrow"/>
                <w:b/>
                <w:sz w:val="20"/>
                <w:szCs w:val="20"/>
              </w:rPr>
            </w:pPr>
          </w:p>
          <w:p w14:paraId="110F59B9" w14:textId="77777777" w:rsidR="004250EC" w:rsidRPr="00935B0A" w:rsidRDefault="004250EC" w:rsidP="004250EC">
            <w:pPr>
              <w:ind w:right="-30"/>
              <w:jc w:val="center"/>
              <w:rPr>
                <w:rFonts w:ascii="Arial Narrow" w:hAnsi="Arial Narrow"/>
                <w:b/>
                <w:sz w:val="20"/>
                <w:szCs w:val="20"/>
              </w:rPr>
            </w:pPr>
          </w:p>
          <w:p w14:paraId="14F1B76C" w14:textId="77777777" w:rsidR="004250EC" w:rsidRPr="00935B0A" w:rsidRDefault="004250EC" w:rsidP="004250EC">
            <w:pPr>
              <w:ind w:right="-30"/>
              <w:jc w:val="center"/>
              <w:rPr>
                <w:rFonts w:ascii="Arial Narrow" w:hAnsi="Arial Narrow"/>
                <w:b/>
                <w:sz w:val="20"/>
                <w:szCs w:val="20"/>
              </w:rPr>
            </w:pPr>
          </w:p>
        </w:tc>
        <w:tc>
          <w:tcPr>
            <w:tcW w:w="1869" w:type="dxa"/>
            <w:tcBorders>
              <w:top w:val="single" w:sz="4" w:space="0" w:color="auto"/>
              <w:left w:val="nil"/>
              <w:bottom w:val="single" w:sz="4" w:space="0" w:color="auto"/>
              <w:right w:val="single" w:sz="4" w:space="0" w:color="auto"/>
            </w:tcBorders>
            <w:vAlign w:val="center"/>
          </w:tcPr>
          <w:p w14:paraId="181659F7" w14:textId="77777777" w:rsidR="004250EC" w:rsidRPr="00935B0A" w:rsidRDefault="004250EC" w:rsidP="004250EC">
            <w:pPr>
              <w:ind w:right="-30"/>
              <w:jc w:val="center"/>
              <w:rPr>
                <w:rFonts w:ascii="Arial Narrow" w:hAnsi="Arial Narrow"/>
                <w:b/>
                <w:sz w:val="20"/>
                <w:szCs w:val="20"/>
                <w:vertAlign w:val="superscript"/>
              </w:rPr>
            </w:pPr>
            <w:r w:rsidRPr="00935B0A">
              <w:rPr>
                <w:rFonts w:ascii="Arial Narrow" w:hAnsi="Arial Narrow"/>
                <w:b/>
                <w:sz w:val="20"/>
                <w:szCs w:val="20"/>
              </w:rPr>
              <w:t xml:space="preserve">Anexo 12-I </w:t>
            </w:r>
            <w:r w:rsidRPr="00935B0A">
              <w:rPr>
                <w:rFonts w:ascii="Arial Narrow" w:hAnsi="Arial Narrow"/>
                <w:b/>
                <w:sz w:val="20"/>
                <w:szCs w:val="20"/>
                <w:vertAlign w:val="superscript"/>
              </w:rPr>
              <w:t>10</w:t>
            </w:r>
          </w:p>
          <w:p w14:paraId="2C862742" w14:textId="77777777" w:rsidR="004250EC" w:rsidRPr="00935B0A" w:rsidRDefault="004250EC" w:rsidP="004250EC">
            <w:pPr>
              <w:jc w:val="center"/>
              <w:rPr>
                <w:rFonts w:ascii="Arial Narrow" w:hAnsi="Arial Narrow"/>
                <w:b/>
                <w:sz w:val="20"/>
                <w:szCs w:val="20"/>
              </w:rPr>
            </w:pPr>
          </w:p>
        </w:tc>
        <w:tc>
          <w:tcPr>
            <w:tcW w:w="3964" w:type="dxa"/>
            <w:tcBorders>
              <w:top w:val="single" w:sz="4" w:space="0" w:color="auto"/>
              <w:left w:val="nil"/>
              <w:bottom w:val="single" w:sz="4" w:space="0" w:color="auto"/>
              <w:right w:val="single" w:sz="4" w:space="0" w:color="auto"/>
            </w:tcBorders>
          </w:tcPr>
          <w:p w14:paraId="319CD03E" w14:textId="77777777" w:rsidR="004250EC" w:rsidRPr="00935B0A" w:rsidRDefault="004250EC" w:rsidP="004250EC">
            <w:pPr>
              <w:ind w:left="28" w:right="28"/>
              <w:jc w:val="both"/>
              <w:rPr>
                <w:rFonts w:ascii="Arial Narrow" w:hAnsi="Arial Narrow"/>
                <w:sz w:val="20"/>
                <w:szCs w:val="20"/>
              </w:rPr>
            </w:pPr>
          </w:p>
          <w:p w14:paraId="67ED9604"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 xml:space="preserve">Control de Instrumentos Representativos de Capital </w:t>
            </w:r>
          </w:p>
        </w:tc>
        <w:tc>
          <w:tcPr>
            <w:tcW w:w="1391" w:type="dxa"/>
            <w:tcBorders>
              <w:top w:val="single" w:sz="4" w:space="0" w:color="auto"/>
              <w:left w:val="nil"/>
              <w:bottom w:val="single" w:sz="4" w:space="0" w:color="auto"/>
              <w:right w:val="single" w:sz="4" w:space="0" w:color="auto"/>
            </w:tcBorders>
            <w:vAlign w:val="center"/>
          </w:tcPr>
          <w:p w14:paraId="20A0F9D6"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104B218C" w14:textId="77777777" w:rsidTr="000D29FC">
        <w:trPr>
          <w:cantSplit/>
          <w:trHeight w:val="460"/>
        </w:trPr>
        <w:tc>
          <w:tcPr>
            <w:tcW w:w="1908" w:type="dxa"/>
            <w:vMerge/>
            <w:tcBorders>
              <w:left w:val="single" w:sz="4" w:space="0" w:color="auto"/>
              <w:right w:val="single" w:sz="4" w:space="0" w:color="auto"/>
            </w:tcBorders>
            <w:vAlign w:val="center"/>
          </w:tcPr>
          <w:p w14:paraId="5FA6874B" w14:textId="77777777" w:rsidR="004250EC" w:rsidRPr="00935B0A" w:rsidRDefault="004250EC" w:rsidP="004250EC">
            <w:pPr>
              <w:ind w:right="-30"/>
              <w:jc w:val="center"/>
              <w:rPr>
                <w:rFonts w:ascii="Arial Narrow" w:hAnsi="Arial Narrow"/>
                <w:b/>
                <w:sz w:val="20"/>
                <w:szCs w:val="20"/>
              </w:rPr>
            </w:pPr>
          </w:p>
        </w:tc>
        <w:tc>
          <w:tcPr>
            <w:tcW w:w="1869" w:type="dxa"/>
            <w:tcBorders>
              <w:left w:val="nil"/>
              <w:bottom w:val="single" w:sz="6" w:space="0" w:color="auto"/>
              <w:right w:val="single" w:sz="6" w:space="0" w:color="auto"/>
            </w:tcBorders>
            <w:vAlign w:val="center"/>
          </w:tcPr>
          <w:p w14:paraId="12A1412F" w14:textId="77777777" w:rsidR="004250EC" w:rsidRPr="00935B0A" w:rsidRDefault="004250EC" w:rsidP="004250EC">
            <w:pPr>
              <w:ind w:right="-30"/>
              <w:jc w:val="center"/>
              <w:rPr>
                <w:rFonts w:ascii="Arial Narrow" w:hAnsi="Arial Narrow"/>
                <w:b/>
                <w:sz w:val="20"/>
                <w:szCs w:val="20"/>
                <w:vertAlign w:val="superscript"/>
              </w:rPr>
            </w:pPr>
            <w:r w:rsidRPr="00935B0A">
              <w:rPr>
                <w:rFonts w:ascii="Arial Narrow" w:hAnsi="Arial Narrow"/>
                <w:b/>
                <w:sz w:val="20"/>
                <w:szCs w:val="20"/>
              </w:rPr>
              <w:t xml:space="preserve">Anexo 12-II </w:t>
            </w:r>
            <w:r w:rsidRPr="00935B0A">
              <w:rPr>
                <w:rFonts w:ascii="Arial Narrow" w:hAnsi="Arial Narrow"/>
                <w:b/>
                <w:sz w:val="20"/>
                <w:szCs w:val="20"/>
                <w:vertAlign w:val="superscript"/>
              </w:rPr>
              <w:t>10.1</w:t>
            </w:r>
          </w:p>
          <w:p w14:paraId="4F4E61FE" w14:textId="77777777" w:rsidR="004250EC" w:rsidRPr="00935B0A" w:rsidRDefault="004250EC" w:rsidP="004250EC">
            <w:pPr>
              <w:ind w:right="-30"/>
              <w:jc w:val="center"/>
              <w:rPr>
                <w:rFonts w:ascii="Arial Narrow" w:hAnsi="Arial Narrow"/>
                <w:b/>
                <w:sz w:val="20"/>
                <w:szCs w:val="20"/>
              </w:rPr>
            </w:pPr>
          </w:p>
        </w:tc>
        <w:tc>
          <w:tcPr>
            <w:tcW w:w="3964" w:type="dxa"/>
            <w:tcBorders>
              <w:left w:val="single" w:sz="6" w:space="0" w:color="auto"/>
              <w:bottom w:val="single" w:sz="6" w:space="0" w:color="auto"/>
              <w:right w:val="single" w:sz="6" w:space="0" w:color="auto"/>
            </w:tcBorders>
          </w:tcPr>
          <w:p w14:paraId="0D1236C7" w14:textId="77777777" w:rsidR="004250EC" w:rsidRPr="00935B0A" w:rsidRDefault="004250EC" w:rsidP="004250EC">
            <w:pPr>
              <w:ind w:left="28" w:right="28"/>
              <w:jc w:val="both"/>
              <w:rPr>
                <w:rFonts w:ascii="Arial Narrow" w:hAnsi="Arial Narrow"/>
                <w:sz w:val="20"/>
                <w:szCs w:val="20"/>
              </w:rPr>
            </w:pPr>
          </w:p>
          <w:p w14:paraId="0ECC1A2E"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 xml:space="preserve">Control de Deuda Subordinada </w:t>
            </w:r>
          </w:p>
        </w:tc>
        <w:tc>
          <w:tcPr>
            <w:tcW w:w="1391" w:type="dxa"/>
            <w:tcBorders>
              <w:left w:val="single" w:sz="6" w:space="0" w:color="auto"/>
              <w:bottom w:val="single" w:sz="6" w:space="0" w:color="auto"/>
              <w:right w:val="single" w:sz="6" w:space="0" w:color="auto"/>
            </w:tcBorders>
            <w:vAlign w:val="center"/>
          </w:tcPr>
          <w:p w14:paraId="47151ECB"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77627168" w14:textId="77777777" w:rsidTr="000D29FC">
        <w:trPr>
          <w:cantSplit/>
          <w:trHeight w:val="460"/>
        </w:trPr>
        <w:tc>
          <w:tcPr>
            <w:tcW w:w="1908" w:type="dxa"/>
            <w:vMerge/>
            <w:tcBorders>
              <w:left w:val="single" w:sz="4" w:space="0" w:color="auto"/>
              <w:right w:val="single" w:sz="4" w:space="0" w:color="auto"/>
            </w:tcBorders>
            <w:vAlign w:val="center"/>
          </w:tcPr>
          <w:p w14:paraId="2D52BC7F" w14:textId="77777777" w:rsidR="004250EC" w:rsidRPr="00935B0A" w:rsidRDefault="004250EC" w:rsidP="004250EC">
            <w:pPr>
              <w:ind w:right="-30"/>
              <w:jc w:val="center"/>
              <w:rPr>
                <w:rFonts w:ascii="Arial Narrow" w:hAnsi="Arial Narrow"/>
                <w:b/>
                <w:sz w:val="20"/>
                <w:szCs w:val="20"/>
              </w:rPr>
            </w:pPr>
          </w:p>
        </w:tc>
        <w:tc>
          <w:tcPr>
            <w:tcW w:w="1869" w:type="dxa"/>
            <w:tcBorders>
              <w:left w:val="nil"/>
              <w:bottom w:val="single" w:sz="6" w:space="0" w:color="auto"/>
              <w:right w:val="single" w:sz="6" w:space="0" w:color="auto"/>
            </w:tcBorders>
            <w:vAlign w:val="center"/>
          </w:tcPr>
          <w:p w14:paraId="5A16164C"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Anexo 13</w:t>
            </w:r>
            <w:r w:rsidRPr="00935B0A">
              <w:rPr>
                <w:rFonts w:ascii="Arial Narrow" w:hAnsi="Arial Narrow"/>
                <w:b/>
                <w:sz w:val="20"/>
                <w:szCs w:val="20"/>
                <w:vertAlign w:val="superscript"/>
              </w:rPr>
              <w:t>10.2</w:t>
            </w:r>
          </w:p>
        </w:tc>
        <w:tc>
          <w:tcPr>
            <w:tcW w:w="3964" w:type="dxa"/>
            <w:tcBorders>
              <w:left w:val="single" w:sz="6" w:space="0" w:color="auto"/>
              <w:bottom w:val="single" w:sz="6" w:space="0" w:color="auto"/>
              <w:right w:val="single" w:sz="6" w:space="0" w:color="auto"/>
            </w:tcBorders>
          </w:tcPr>
          <w:p w14:paraId="1C624A5D"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Depósitos según Escala de Montos</w:t>
            </w:r>
          </w:p>
        </w:tc>
        <w:tc>
          <w:tcPr>
            <w:tcW w:w="1391" w:type="dxa"/>
            <w:tcBorders>
              <w:left w:val="single" w:sz="6" w:space="0" w:color="auto"/>
              <w:bottom w:val="single" w:sz="6" w:space="0" w:color="auto"/>
              <w:right w:val="single" w:sz="6" w:space="0" w:color="auto"/>
            </w:tcBorders>
            <w:vAlign w:val="center"/>
          </w:tcPr>
          <w:p w14:paraId="01CB82B8"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4F10D2C9" w14:textId="77777777">
        <w:trPr>
          <w:cantSplit/>
          <w:trHeight w:val="500"/>
        </w:trPr>
        <w:tc>
          <w:tcPr>
            <w:tcW w:w="1908" w:type="dxa"/>
            <w:vMerge/>
            <w:tcBorders>
              <w:left w:val="single" w:sz="4" w:space="0" w:color="auto"/>
              <w:bottom w:val="single" w:sz="4" w:space="0" w:color="auto"/>
              <w:right w:val="single" w:sz="4" w:space="0" w:color="auto"/>
            </w:tcBorders>
            <w:vAlign w:val="center"/>
          </w:tcPr>
          <w:p w14:paraId="16A59534" w14:textId="77777777" w:rsidR="004250EC" w:rsidRPr="00935B0A" w:rsidRDefault="004250EC" w:rsidP="004250EC">
            <w:pPr>
              <w:ind w:right="-30"/>
              <w:jc w:val="center"/>
              <w:rPr>
                <w:rFonts w:ascii="Arial Narrow" w:hAnsi="Arial Narrow"/>
                <w:b/>
                <w:sz w:val="20"/>
                <w:szCs w:val="20"/>
              </w:rPr>
            </w:pPr>
          </w:p>
        </w:tc>
        <w:tc>
          <w:tcPr>
            <w:tcW w:w="1869" w:type="dxa"/>
            <w:tcBorders>
              <w:top w:val="single" w:sz="6" w:space="0" w:color="auto"/>
              <w:left w:val="nil"/>
              <w:bottom w:val="single" w:sz="4" w:space="0" w:color="auto"/>
              <w:right w:val="single" w:sz="6" w:space="0" w:color="auto"/>
            </w:tcBorders>
            <w:vAlign w:val="center"/>
          </w:tcPr>
          <w:p w14:paraId="69599E04"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Anexo 14</w:t>
            </w:r>
            <w:r w:rsidRPr="00935B0A">
              <w:rPr>
                <w:rFonts w:ascii="Arial Narrow" w:hAnsi="Arial Narrow"/>
                <w:b/>
                <w:sz w:val="20"/>
                <w:szCs w:val="20"/>
                <w:vertAlign w:val="superscript"/>
              </w:rPr>
              <w:t>11</w:t>
            </w:r>
          </w:p>
          <w:p w14:paraId="2E0FED26" w14:textId="77777777" w:rsidR="004250EC" w:rsidRPr="00935B0A" w:rsidRDefault="004250EC" w:rsidP="004250EC">
            <w:pPr>
              <w:ind w:right="-30"/>
              <w:jc w:val="center"/>
              <w:rPr>
                <w:rFonts w:ascii="Arial Narrow" w:hAnsi="Arial Narrow"/>
                <w:b/>
                <w:sz w:val="20"/>
                <w:szCs w:val="20"/>
              </w:rPr>
            </w:pPr>
          </w:p>
        </w:tc>
        <w:tc>
          <w:tcPr>
            <w:tcW w:w="3964" w:type="dxa"/>
            <w:tcBorders>
              <w:top w:val="single" w:sz="6" w:space="0" w:color="auto"/>
              <w:left w:val="single" w:sz="6" w:space="0" w:color="auto"/>
              <w:bottom w:val="single" w:sz="4" w:space="0" w:color="auto"/>
              <w:right w:val="single" w:sz="6" w:space="0" w:color="auto"/>
            </w:tcBorders>
          </w:tcPr>
          <w:p w14:paraId="3409A1A6"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Obligaciones con el Exterior</w:t>
            </w:r>
          </w:p>
          <w:p w14:paraId="708B24C9" w14:textId="77777777" w:rsidR="004250EC" w:rsidRPr="00935B0A" w:rsidRDefault="004250EC" w:rsidP="004250EC">
            <w:pPr>
              <w:ind w:left="28" w:right="28"/>
              <w:jc w:val="both"/>
              <w:rPr>
                <w:rFonts w:ascii="Arial Narrow" w:hAnsi="Arial Narrow"/>
                <w:sz w:val="20"/>
                <w:szCs w:val="20"/>
              </w:rPr>
            </w:pPr>
          </w:p>
        </w:tc>
        <w:tc>
          <w:tcPr>
            <w:tcW w:w="1391" w:type="dxa"/>
            <w:tcBorders>
              <w:top w:val="single" w:sz="6" w:space="0" w:color="auto"/>
              <w:left w:val="single" w:sz="6" w:space="0" w:color="auto"/>
              <w:bottom w:val="single" w:sz="4" w:space="0" w:color="auto"/>
              <w:right w:val="single" w:sz="6" w:space="0" w:color="auto"/>
            </w:tcBorders>
            <w:vAlign w:val="center"/>
          </w:tcPr>
          <w:p w14:paraId="250F17CD"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7D297E60" w14:textId="77777777">
        <w:trPr>
          <w:cantSplit/>
          <w:trHeight w:val="343"/>
        </w:trPr>
        <w:tc>
          <w:tcPr>
            <w:tcW w:w="1908" w:type="dxa"/>
            <w:tcBorders>
              <w:top w:val="single" w:sz="4" w:space="0" w:color="auto"/>
              <w:left w:val="single" w:sz="4" w:space="0" w:color="auto"/>
              <w:right w:val="single" w:sz="4" w:space="0" w:color="auto"/>
            </w:tcBorders>
            <w:vAlign w:val="center"/>
          </w:tcPr>
          <w:p w14:paraId="53735584" w14:textId="77777777" w:rsidR="004250EC" w:rsidRPr="00935B0A" w:rsidRDefault="004250EC" w:rsidP="004250EC">
            <w:pPr>
              <w:ind w:right="-30"/>
              <w:jc w:val="center"/>
              <w:rPr>
                <w:rFonts w:ascii="Arial Narrow" w:hAnsi="Arial Narrow"/>
                <w:b/>
                <w:sz w:val="20"/>
                <w:szCs w:val="20"/>
              </w:rPr>
            </w:pPr>
          </w:p>
        </w:tc>
        <w:tc>
          <w:tcPr>
            <w:tcW w:w="1869" w:type="dxa"/>
            <w:tcBorders>
              <w:top w:val="single" w:sz="4" w:space="0" w:color="auto"/>
              <w:left w:val="nil"/>
              <w:bottom w:val="single" w:sz="4" w:space="0" w:color="auto"/>
              <w:right w:val="single" w:sz="6" w:space="0" w:color="auto"/>
            </w:tcBorders>
            <w:vAlign w:val="center"/>
          </w:tcPr>
          <w:p w14:paraId="0AA48365"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Anexo 10</w:t>
            </w:r>
            <w:r w:rsidRPr="00935B0A">
              <w:rPr>
                <w:rFonts w:ascii="Arial Narrow" w:hAnsi="Arial Narrow"/>
                <w:b/>
                <w:sz w:val="20"/>
                <w:szCs w:val="20"/>
                <w:vertAlign w:val="superscript"/>
              </w:rPr>
              <w:t>11.1</w:t>
            </w:r>
          </w:p>
          <w:p w14:paraId="64517662" w14:textId="77777777" w:rsidR="004250EC" w:rsidRPr="00935B0A" w:rsidRDefault="004250EC" w:rsidP="004250EC">
            <w:pPr>
              <w:ind w:right="-30"/>
              <w:jc w:val="center"/>
              <w:rPr>
                <w:rFonts w:ascii="Arial Narrow" w:hAnsi="Arial Narrow"/>
                <w:b/>
                <w:sz w:val="20"/>
                <w:szCs w:val="20"/>
              </w:rPr>
            </w:pPr>
          </w:p>
        </w:tc>
        <w:tc>
          <w:tcPr>
            <w:tcW w:w="3964" w:type="dxa"/>
            <w:tcBorders>
              <w:top w:val="single" w:sz="4" w:space="0" w:color="auto"/>
              <w:left w:val="single" w:sz="6" w:space="0" w:color="auto"/>
              <w:bottom w:val="single" w:sz="4" w:space="0" w:color="auto"/>
              <w:right w:val="single" w:sz="6" w:space="0" w:color="auto"/>
            </w:tcBorders>
          </w:tcPr>
          <w:p w14:paraId="24376C63"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Depósitos, Colocaciones y Personal por Oficinas</w:t>
            </w:r>
          </w:p>
        </w:tc>
        <w:tc>
          <w:tcPr>
            <w:tcW w:w="1391" w:type="dxa"/>
            <w:tcBorders>
              <w:top w:val="single" w:sz="4" w:space="0" w:color="auto"/>
              <w:left w:val="single" w:sz="6" w:space="0" w:color="auto"/>
              <w:bottom w:val="single" w:sz="4" w:space="0" w:color="auto"/>
              <w:right w:val="single" w:sz="4" w:space="0" w:color="auto"/>
            </w:tcBorders>
            <w:vAlign w:val="center"/>
          </w:tcPr>
          <w:p w14:paraId="7D45E32F"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0CFA5735" w14:textId="77777777">
        <w:trPr>
          <w:cantSplit/>
          <w:trHeight w:val="500"/>
        </w:trPr>
        <w:tc>
          <w:tcPr>
            <w:tcW w:w="1908" w:type="dxa"/>
            <w:tcBorders>
              <w:left w:val="single" w:sz="4" w:space="0" w:color="auto"/>
              <w:right w:val="single" w:sz="4" w:space="0" w:color="auto"/>
            </w:tcBorders>
            <w:vAlign w:val="center"/>
          </w:tcPr>
          <w:p w14:paraId="3BE23644"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Gestión</w:t>
            </w:r>
          </w:p>
        </w:tc>
        <w:tc>
          <w:tcPr>
            <w:tcW w:w="1869" w:type="dxa"/>
            <w:tcBorders>
              <w:top w:val="single" w:sz="4" w:space="0" w:color="auto"/>
              <w:left w:val="nil"/>
              <w:bottom w:val="single" w:sz="4" w:space="0" w:color="auto"/>
              <w:right w:val="single" w:sz="6" w:space="0" w:color="auto"/>
            </w:tcBorders>
            <w:vAlign w:val="center"/>
          </w:tcPr>
          <w:p w14:paraId="70489F40"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Anexo 11</w:t>
            </w:r>
          </w:p>
        </w:tc>
        <w:tc>
          <w:tcPr>
            <w:tcW w:w="3964" w:type="dxa"/>
            <w:tcBorders>
              <w:top w:val="single" w:sz="4" w:space="0" w:color="auto"/>
              <w:left w:val="single" w:sz="6" w:space="0" w:color="auto"/>
              <w:bottom w:val="single" w:sz="4" w:space="0" w:color="auto"/>
              <w:right w:val="single" w:sz="6" w:space="0" w:color="auto"/>
            </w:tcBorders>
          </w:tcPr>
          <w:p w14:paraId="2D123E35"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Movimiento de los Depósitos según Monto y Número de Cuentas.</w:t>
            </w:r>
          </w:p>
          <w:p w14:paraId="2FE936B8" w14:textId="77777777" w:rsidR="004250EC" w:rsidRPr="00935B0A" w:rsidRDefault="004250EC" w:rsidP="004250EC">
            <w:pPr>
              <w:ind w:left="28" w:right="28"/>
              <w:jc w:val="both"/>
              <w:rPr>
                <w:rFonts w:ascii="Arial Narrow" w:hAnsi="Arial Narrow"/>
                <w:sz w:val="20"/>
                <w:szCs w:val="20"/>
              </w:rPr>
            </w:pPr>
          </w:p>
        </w:tc>
        <w:tc>
          <w:tcPr>
            <w:tcW w:w="1391" w:type="dxa"/>
            <w:tcBorders>
              <w:top w:val="single" w:sz="4" w:space="0" w:color="auto"/>
              <w:left w:val="single" w:sz="6" w:space="0" w:color="auto"/>
              <w:bottom w:val="single" w:sz="4" w:space="0" w:color="auto"/>
              <w:right w:val="single" w:sz="4" w:space="0" w:color="auto"/>
            </w:tcBorders>
            <w:vAlign w:val="center"/>
          </w:tcPr>
          <w:p w14:paraId="20E504EA"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7761C5EC" w14:textId="77777777">
        <w:trPr>
          <w:cantSplit/>
          <w:trHeight w:val="500"/>
        </w:trPr>
        <w:tc>
          <w:tcPr>
            <w:tcW w:w="1908" w:type="dxa"/>
            <w:tcBorders>
              <w:left w:val="single" w:sz="4" w:space="0" w:color="auto"/>
              <w:bottom w:val="single" w:sz="4" w:space="0" w:color="auto"/>
              <w:right w:val="single" w:sz="4" w:space="0" w:color="auto"/>
            </w:tcBorders>
            <w:vAlign w:val="center"/>
          </w:tcPr>
          <w:p w14:paraId="7AF049B1" w14:textId="77777777" w:rsidR="004250EC" w:rsidRPr="00935B0A" w:rsidRDefault="004250EC" w:rsidP="004250EC">
            <w:pPr>
              <w:ind w:right="-30"/>
              <w:jc w:val="center"/>
              <w:rPr>
                <w:rFonts w:ascii="Arial Narrow" w:hAnsi="Arial Narrow"/>
                <w:b/>
                <w:sz w:val="20"/>
                <w:szCs w:val="20"/>
              </w:rPr>
            </w:pPr>
          </w:p>
        </w:tc>
        <w:tc>
          <w:tcPr>
            <w:tcW w:w="1869" w:type="dxa"/>
            <w:tcBorders>
              <w:top w:val="single" w:sz="6" w:space="0" w:color="auto"/>
              <w:left w:val="nil"/>
              <w:bottom w:val="single" w:sz="4" w:space="0" w:color="auto"/>
              <w:right w:val="single" w:sz="6" w:space="0" w:color="auto"/>
            </w:tcBorders>
            <w:vAlign w:val="center"/>
          </w:tcPr>
          <w:p w14:paraId="6F480967"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Anexo 24</w:t>
            </w:r>
            <w:r w:rsidRPr="00935B0A">
              <w:rPr>
                <w:rFonts w:ascii="Arial Narrow" w:hAnsi="Arial Narrow"/>
                <w:b/>
                <w:sz w:val="20"/>
                <w:szCs w:val="20"/>
                <w:vertAlign w:val="superscript"/>
              </w:rPr>
              <w:t>12</w:t>
            </w:r>
          </w:p>
        </w:tc>
        <w:tc>
          <w:tcPr>
            <w:tcW w:w="3964" w:type="dxa"/>
            <w:tcBorders>
              <w:top w:val="single" w:sz="6" w:space="0" w:color="auto"/>
              <w:left w:val="single" w:sz="6" w:space="0" w:color="auto"/>
              <w:bottom w:val="single" w:sz="4" w:space="0" w:color="auto"/>
              <w:right w:val="single" w:sz="6" w:space="0" w:color="auto"/>
            </w:tcBorders>
          </w:tcPr>
          <w:p w14:paraId="399DA93B"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Compensación por Tiempo de Servicios (CTS)</w:t>
            </w:r>
          </w:p>
          <w:p w14:paraId="70721D2A" w14:textId="77777777" w:rsidR="004250EC" w:rsidRPr="00935B0A" w:rsidRDefault="004250EC" w:rsidP="004250EC">
            <w:pPr>
              <w:ind w:left="28" w:right="28"/>
              <w:jc w:val="both"/>
              <w:rPr>
                <w:rFonts w:ascii="Arial Narrow" w:hAnsi="Arial Narrow"/>
                <w:sz w:val="20"/>
                <w:szCs w:val="20"/>
              </w:rPr>
            </w:pPr>
          </w:p>
        </w:tc>
        <w:tc>
          <w:tcPr>
            <w:tcW w:w="1391" w:type="dxa"/>
            <w:tcBorders>
              <w:top w:val="single" w:sz="6" w:space="0" w:color="auto"/>
              <w:left w:val="single" w:sz="6" w:space="0" w:color="auto"/>
              <w:bottom w:val="single" w:sz="4" w:space="0" w:color="auto"/>
              <w:right w:val="single" w:sz="4" w:space="0" w:color="auto"/>
            </w:tcBorders>
            <w:vAlign w:val="center"/>
          </w:tcPr>
          <w:p w14:paraId="64D5C134"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Trimestral</w:t>
            </w:r>
          </w:p>
        </w:tc>
      </w:tr>
      <w:tr w:rsidR="004250EC" w:rsidRPr="00935B0A" w14:paraId="2079502F" w14:textId="77777777">
        <w:trPr>
          <w:cantSplit/>
          <w:trHeight w:val="600"/>
        </w:trPr>
        <w:tc>
          <w:tcPr>
            <w:tcW w:w="1908" w:type="dxa"/>
            <w:vMerge w:val="restart"/>
            <w:tcBorders>
              <w:top w:val="nil"/>
              <w:left w:val="single" w:sz="4" w:space="0" w:color="auto"/>
              <w:right w:val="single" w:sz="4" w:space="0" w:color="auto"/>
            </w:tcBorders>
            <w:vAlign w:val="center"/>
          </w:tcPr>
          <w:p w14:paraId="7CF2ED5C"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Fondo Seguro de Depósito</w:t>
            </w:r>
          </w:p>
        </w:tc>
        <w:tc>
          <w:tcPr>
            <w:tcW w:w="1869" w:type="dxa"/>
            <w:tcBorders>
              <w:left w:val="nil"/>
              <w:bottom w:val="single" w:sz="4" w:space="0" w:color="auto"/>
              <w:right w:val="single" w:sz="4" w:space="0" w:color="auto"/>
            </w:tcBorders>
            <w:vAlign w:val="center"/>
          </w:tcPr>
          <w:p w14:paraId="0E88E1BA"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Anexo 17-A</w:t>
            </w:r>
            <w:r w:rsidRPr="00935B0A">
              <w:rPr>
                <w:rFonts w:ascii="Arial Narrow" w:hAnsi="Arial Narrow"/>
                <w:b/>
                <w:sz w:val="20"/>
                <w:szCs w:val="20"/>
                <w:vertAlign w:val="superscript"/>
              </w:rPr>
              <w:t>13</w:t>
            </w:r>
          </w:p>
        </w:tc>
        <w:tc>
          <w:tcPr>
            <w:tcW w:w="3964" w:type="dxa"/>
            <w:tcBorders>
              <w:left w:val="nil"/>
              <w:bottom w:val="single" w:sz="4" w:space="0" w:color="auto"/>
              <w:right w:val="single" w:sz="4" w:space="0" w:color="auto"/>
            </w:tcBorders>
          </w:tcPr>
          <w:p w14:paraId="3448676D"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Control de Imposiciones Cubiertas por el Fondo de Seguro de Depósito</w:t>
            </w:r>
          </w:p>
        </w:tc>
        <w:tc>
          <w:tcPr>
            <w:tcW w:w="1391" w:type="dxa"/>
            <w:tcBorders>
              <w:left w:val="nil"/>
              <w:bottom w:val="single" w:sz="4" w:space="0" w:color="auto"/>
              <w:right w:val="single" w:sz="4" w:space="0" w:color="auto"/>
            </w:tcBorders>
            <w:vAlign w:val="center"/>
          </w:tcPr>
          <w:p w14:paraId="58B485AE"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4C734CE5" w14:textId="77777777">
        <w:trPr>
          <w:cantSplit/>
          <w:trHeight w:val="600"/>
        </w:trPr>
        <w:tc>
          <w:tcPr>
            <w:tcW w:w="1908" w:type="dxa"/>
            <w:vMerge/>
            <w:tcBorders>
              <w:left w:val="single" w:sz="4" w:space="0" w:color="auto"/>
              <w:right w:val="single" w:sz="4" w:space="0" w:color="auto"/>
            </w:tcBorders>
            <w:vAlign w:val="center"/>
          </w:tcPr>
          <w:p w14:paraId="6905EB18" w14:textId="77777777" w:rsidR="004250EC" w:rsidRPr="00935B0A" w:rsidRDefault="004250EC" w:rsidP="004250EC">
            <w:pPr>
              <w:ind w:right="-30"/>
              <w:jc w:val="center"/>
              <w:rPr>
                <w:rFonts w:ascii="Arial Narrow" w:hAnsi="Arial Narrow"/>
                <w:b/>
                <w:sz w:val="20"/>
                <w:szCs w:val="20"/>
              </w:rPr>
            </w:pPr>
          </w:p>
        </w:tc>
        <w:tc>
          <w:tcPr>
            <w:tcW w:w="1869" w:type="dxa"/>
            <w:tcBorders>
              <w:top w:val="single" w:sz="4" w:space="0" w:color="auto"/>
              <w:left w:val="nil"/>
              <w:bottom w:val="single" w:sz="4" w:space="0" w:color="auto"/>
              <w:right w:val="single" w:sz="4" w:space="0" w:color="auto"/>
            </w:tcBorders>
            <w:vAlign w:val="center"/>
          </w:tcPr>
          <w:p w14:paraId="2318F7A0" w14:textId="77777777" w:rsidR="004250EC" w:rsidRPr="00935B0A" w:rsidRDefault="004250EC" w:rsidP="004250EC">
            <w:pPr>
              <w:ind w:right="-30"/>
              <w:jc w:val="center"/>
              <w:rPr>
                <w:rFonts w:ascii="Arial Narrow" w:hAnsi="Arial Narrow"/>
                <w:b/>
                <w:sz w:val="20"/>
                <w:szCs w:val="20"/>
                <w:vertAlign w:val="superscript"/>
              </w:rPr>
            </w:pPr>
            <w:r w:rsidRPr="00935B0A">
              <w:rPr>
                <w:rFonts w:ascii="Arial Narrow" w:hAnsi="Arial Narrow"/>
                <w:b/>
                <w:sz w:val="20"/>
                <w:szCs w:val="20"/>
              </w:rPr>
              <w:t>Anexo 17-B</w:t>
            </w:r>
            <w:r w:rsidRPr="00935B0A">
              <w:rPr>
                <w:rFonts w:ascii="Arial Narrow" w:hAnsi="Arial Narrow"/>
                <w:b/>
                <w:sz w:val="20"/>
                <w:szCs w:val="20"/>
                <w:vertAlign w:val="superscript"/>
              </w:rPr>
              <w:t>13</w:t>
            </w:r>
          </w:p>
          <w:p w14:paraId="0FE06AED" w14:textId="77777777" w:rsidR="004250EC" w:rsidRPr="00935B0A" w:rsidRDefault="004250EC" w:rsidP="004250EC">
            <w:pPr>
              <w:ind w:right="-30"/>
              <w:jc w:val="center"/>
              <w:rPr>
                <w:rFonts w:ascii="Arial Narrow" w:hAnsi="Arial Narrow"/>
                <w:b/>
                <w:sz w:val="20"/>
                <w:szCs w:val="20"/>
              </w:rPr>
            </w:pPr>
          </w:p>
        </w:tc>
        <w:tc>
          <w:tcPr>
            <w:tcW w:w="3964" w:type="dxa"/>
            <w:tcBorders>
              <w:top w:val="single" w:sz="4" w:space="0" w:color="auto"/>
              <w:left w:val="nil"/>
              <w:bottom w:val="single" w:sz="4" w:space="0" w:color="auto"/>
              <w:right w:val="single" w:sz="4" w:space="0" w:color="auto"/>
            </w:tcBorders>
          </w:tcPr>
          <w:p w14:paraId="2F72C99C"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Hoja de Control de Pago de Primas al Fondo de Seguro de Depósito</w:t>
            </w:r>
          </w:p>
        </w:tc>
        <w:tc>
          <w:tcPr>
            <w:tcW w:w="1391" w:type="dxa"/>
            <w:tcBorders>
              <w:top w:val="single" w:sz="4" w:space="0" w:color="auto"/>
              <w:left w:val="nil"/>
              <w:bottom w:val="single" w:sz="4" w:space="0" w:color="auto"/>
              <w:right w:val="single" w:sz="4" w:space="0" w:color="auto"/>
            </w:tcBorders>
            <w:vAlign w:val="center"/>
          </w:tcPr>
          <w:p w14:paraId="61AD3266"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Trimestral</w:t>
            </w:r>
          </w:p>
        </w:tc>
      </w:tr>
      <w:tr w:rsidR="004250EC" w:rsidRPr="00935B0A" w14:paraId="277EBAE7" w14:textId="77777777">
        <w:trPr>
          <w:cantSplit/>
          <w:trHeight w:val="500"/>
        </w:trPr>
        <w:tc>
          <w:tcPr>
            <w:tcW w:w="1908" w:type="dxa"/>
            <w:vMerge w:val="restart"/>
            <w:tcBorders>
              <w:top w:val="single" w:sz="4" w:space="0" w:color="auto"/>
              <w:left w:val="single" w:sz="6" w:space="0" w:color="auto"/>
              <w:bottom w:val="single" w:sz="4" w:space="0" w:color="auto"/>
              <w:right w:val="single" w:sz="6" w:space="0" w:color="auto"/>
            </w:tcBorders>
            <w:vAlign w:val="center"/>
          </w:tcPr>
          <w:p w14:paraId="7E59BEDC"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Otros</w:t>
            </w:r>
          </w:p>
        </w:tc>
        <w:tc>
          <w:tcPr>
            <w:tcW w:w="1869" w:type="dxa"/>
            <w:tcBorders>
              <w:top w:val="single" w:sz="6" w:space="0" w:color="auto"/>
              <w:left w:val="single" w:sz="6" w:space="0" w:color="auto"/>
              <w:bottom w:val="single" w:sz="6" w:space="0" w:color="auto"/>
              <w:right w:val="single" w:sz="6" w:space="0" w:color="auto"/>
            </w:tcBorders>
            <w:vAlign w:val="center"/>
          </w:tcPr>
          <w:p w14:paraId="53FBFDAC"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Anexo 20</w:t>
            </w:r>
          </w:p>
        </w:tc>
        <w:tc>
          <w:tcPr>
            <w:tcW w:w="3964" w:type="dxa"/>
            <w:tcBorders>
              <w:top w:val="single" w:sz="6" w:space="0" w:color="auto"/>
              <w:left w:val="single" w:sz="6" w:space="0" w:color="auto"/>
              <w:bottom w:val="single" w:sz="6" w:space="0" w:color="auto"/>
              <w:right w:val="single" w:sz="6" w:space="0" w:color="auto"/>
            </w:tcBorders>
          </w:tcPr>
          <w:p w14:paraId="053FA427" w14:textId="77777777" w:rsidR="004250EC" w:rsidRPr="00935B0A" w:rsidRDefault="004250EC" w:rsidP="004250EC">
            <w:pPr>
              <w:ind w:left="28" w:right="28"/>
              <w:jc w:val="both"/>
              <w:rPr>
                <w:rFonts w:ascii="Arial Narrow" w:hAnsi="Arial Narrow"/>
                <w:sz w:val="20"/>
                <w:szCs w:val="20"/>
              </w:rPr>
            </w:pPr>
            <w:r w:rsidRPr="00935B0A">
              <w:rPr>
                <w:rFonts w:ascii="Arial Narrow" w:hAnsi="Arial Narrow"/>
                <w:sz w:val="20"/>
                <w:szCs w:val="20"/>
              </w:rPr>
              <w:t>Balance Sectorizado por Agentes Económicos (*) (**)</w:t>
            </w:r>
          </w:p>
        </w:tc>
        <w:tc>
          <w:tcPr>
            <w:tcW w:w="1391" w:type="dxa"/>
            <w:tcBorders>
              <w:top w:val="single" w:sz="6" w:space="0" w:color="auto"/>
              <w:left w:val="single" w:sz="6" w:space="0" w:color="auto"/>
              <w:bottom w:val="single" w:sz="6" w:space="0" w:color="auto"/>
              <w:right w:val="single" w:sz="6" w:space="0" w:color="auto"/>
            </w:tcBorders>
            <w:vAlign w:val="center"/>
          </w:tcPr>
          <w:p w14:paraId="75891886" w14:textId="77777777" w:rsidR="004250EC" w:rsidRPr="00935B0A" w:rsidRDefault="004250EC" w:rsidP="004250EC">
            <w:pPr>
              <w:ind w:right="-30"/>
              <w:jc w:val="center"/>
              <w:rPr>
                <w:rFonts w:ascii="Arial Narrow" w:hAnsi="Arial Narrow"/>
                <w:sz w:val="20"/>
                <w:szCs w:val="20"/>
              </w:rPr>
            </w:pPr>
            <w:r w:rsidRPr="00935B0A">
              <w:rPr>
                <w:rFonts w:ascii="Arial Narrow" w:hAnsi="Arial Narrow"/>
                <w:sz w:val="20"/>
                <w:szCs w:val="20"/>
              </w:rPr>
              <w:t>Mensual</w:t>
            </w:r>
          </w:p>
        </w:tc>
      </w:tr>
      <w:tr w:rsidR="004250EC" w:rsidRPr="00935B0A" w14:paraId="7C08C839" w14:textId="77777777" w:rsidTr="0090014E">
        <w:trPr>
          <w:cantSplit/>
          <w:trHeight w:val="600"/>
        </w:trPr>
        <w:tc>
          <w:tcPr>
            <w:tcW w:w="1908" w:type="dxa"/>
            <w:vMerge/>
            <w:tcBorders>
              <w:top w:val="nil"/>
              <w:left w:val="single" w:sz="6" w:space="0" w:color="auto"/>
              <w:bottom w:val="single" w:sz="4" w:space="0" w:color="auto"/>
              <w:right w:val="single" w:sz="6" w:space="0" w:color="auto"/>
            </w:tcBorders>
            <w:vAlign w:val="center"/>
          </w:tcPr>
          <w:p w14:paraId="43D4EAE3" w14:textId="77777777" w:rsidR="004250EC" w:rsidRPr="00935B0A" w:rsidRDefault="004250EC" w:rsidP="004250EC">
            <w:pPr>
              <w:ind w:right="-30"/>
              <w:jc w:val="center"/>
              <w:rPr>
                <w:rFonts w:ascii="Arial Narrow" w:hAnsi="Arial Narrow"/>
                <w:b/>
                <w:sz w:val="20"/>
                <w:szCs w:val="20"/>
              </w:rPr>
            </w:pPr>
          </w:p>
        </w:tc>
        <w:tc>
          <w:tcPr>
            <w:tcW w:w="1869" w:type="dxa"/>
            <w:tcBorders>
              <w:top w:val="single" w:sz="6" w:space="0" w:color="auto"/>
              <w:left w:val="single" w:sz="6" w:space="0" w:color="auto"/>
              <w:bottom w:val="single" w:sz="4" w:space="0" w:color="auto"/>
              <w:right w:val="single" w:sz="6" w:space="0" w:color="auto"/>
            </w:tcBorders>
            <w:vAlign w:val="center"/>
          </w:tcPr>
          <w:p w14:paraId="5A43DE6E"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vertAlign w:val="superscript"/>
              </w:rPr>
              <w:t>14</w:t>
            </w:r>
          </w:p>
          <w:p w14:paraId="78B9053D" w14:textId="77777777" w:rsidR="004250EC" w:rsidRPr="00935B0A" w:rsidRDefault="004250EC" w:rsidP="004250EC">
            <w:pPr>
              <w:ind w:right="-30"/>
              <w:jc w:val="center"/>
              <w:rPr>
                <w:rFonts w:ascii="Arial Narrow" w:hAnsi="Arial Narrow"/>
                <w:b/>
                <w:sz w:val="20"/>
                <w:szCs w:val="20"/>
              </w:rPr>
            </w:pPr>
          </w:p>
        </w:tc>
        <w:tc>
          <w:tcPr>
            <w:tcW w:w="3964" w:type="dxa"/>
            <w:tcBorders>
              <w:top w:val="single" w:sz="6" w:space="0" w:color="auto"/>
              <w:left w:val="single" w:sz="6" w:space="0" w:color="auto"/>
              <w:bottom w:val="single" w:sz="4" w:space="0" w:color="auto"/>
              <w:right w:val="single" w:sz="6" w:space="0" w:color="auto"/>
            </w:tcBorders>
          </w:tcPr>
          <w:p w14:paraId="6D0AE8D9" w14:textId="77777777" w:rsidR="004250EC" w:rsidRPr="00935B0A" w:rsidRDefault="004250EC" w:rsidP="004250EC">
            <w:pPr>
              <w:ind w:left="28" w:right="28"/>
              <w:jc w:val="both"/>
              <w:rPr>
                <w:rFonts w:ascii="Arial Narrow" w:hAnsi="Arial Narrow"/>
                <w:sz w:val="20"/>
                <w:szCs w:val="20"/>
              </w:rPr>
            </w:pPr>
          </w:p>
        </w:tc>
        <w:tc>
          <w:tcPr>
            <w:tcW w:w="1391" w:type="dxa"/>
            <w:tcBorders>
              <w:top w:val="single" w:sz="6" w:space="0" w:color="auto"/>
              <w:left w:val="single" w:sz="6" w:space="0" w:color="auto"/>
              <w:bottom w:val="single" w:sz="4" w:space="0" w:color="auto"/>
              <w:right w:val="single" w:sz="6" w:space="0" w:color="auto"/>
            </w:tcBorders>
            <w:vAlign w:val="center"/>
          </w:tcPr>
          <w:p w14:paraId="5693B80E" w14:textId="77777777" w:rsidR="004250EC" w:rsidRPr="00935B0A" w:rsidRDefault="004250EC" w:rsidP="004250EC">
            <w:pPr>
              <w:ind w:right="-30"/>
              <w:jc w:val="center"/>
              <w:rPr>
                <w:rFonts w:ascii="Arial Narrow" w:hAnsi="Arial Narrow"/>
                <w:sz w:val="20"/>
                <w:szCs w:val="20"/>
              </w:rPr>
            </w:pPr>
          </w:p>
        </w:tc>
      </w:tr>
      <w:tr w:rsidR="004250EC" w:rsidRPr="00935B0A" w14:paraId="785362C4" w14:textId="77777777" w:rsidTr="00B06968">
        <w:trPr>
          <w:cantSplit/>
          <w:trHeight w:val="1303"/>
        </w:trPr>
        <w:tc>
          <w:tcPr>
            <w:tcW w:w="3777" w:type="dxa"/>
            <w:gridSpan w:val="2"/>
            <w:tcBorders>
              <w:top w:val="single" w:sz="4" w:space="0" w:color="auto"/>
              <w:left w:val="single" w:sz="4" w:space="0" w:color="auto"/>
              <w:bottom w:val="single" w:sz="4" w:space="0" w:color="auto"/>
              <w:right w:val="single" w:sz="6" w:space="0" w:color="auto"/>
            </w:tcBorders>
            <w:vAlign w:val="center"/>
          </w:tcPr>
          <w:p w14:paraId="77F63C6C" w14:textId="77777777" w:rsidR="004250EC" w:rsidRPr="00935B0A" w:rsidRDefault="004250EC" w:rsidP="004250EC">
            <w:pPr>
              <w:ind w:right="-30"/>
              <w:jc w:val="center"/>
              <w:rPr>
                <w:rFonts w:ascii="Arial Narrow" w:hAnsi="Arial Narrow"/>
                <w:b/>
                <w:sz w:val="20"/>
                <w:szCs w:val="20"/>
              </w:rPr>
            </w:pPr>
            <w:r w:rsidRPr="00935B0A">
              <w:rPr>
                <w:rFonts w:ascii="Arial Narrow" w:hAnsi="Arial Narrow"/>
                <w:b/>
                <w:sz w:val="20"/>
                <w:szCs w:val="20"/>
              </w:rPr>
              <w:t>FORMA E</w:t>
            </w:r>
            <w:r w:rsidRPr="00935B0A">
              <w:rPr>
                <w:rFonts w:ascii="Arial Narrow" w:hAnsi="Arial Narrow"/>
                <w:b/>
                <w:sz w:val="20"/>
                <w:szCs w:val="20"/>
                <w:vertAlign w:val="superscript"/>
              </w:rPr>
              <w:t>15</w:t>
            </w:r>
          </w:p>
        </w:tc>
        <w:tc>
          <w:tcPr>
            <w:tcW w:w="3964" w:type="dxa"/>
            <w:tcBorders>
              <w:top w:val="single" w:sz="4" w:space="0" w:color="auto"/>
              <w:left w:val="single" w:sz="6" w:space="0" w:color="auto"/>
              <w:bottom w:val="single" w:sz="4" w:space="0" w:color="auto"/>
              <w:right w:val="single" w:sz="6" w:space="0" w:color="auto"/>
            </w:tcBorders>
          </w:tcPr>
          <w:p w14:paraId="3C78F60B" w14:textId="77777777" w:rsidR="004250EC" w:rsidRPr="00935B0A" w:rsidRDefault="004250EC" w:rsidP="004250EC">
            <w:pPr>
              <w:ind w:right="-30"/>
              <w:rPr>
                <w:rFonts w:ascii="Arial Narrow" w:hAnsi="Arial Narrow"/>
                <w:sz w:val="20"/>
                <w:szCs w:val="20"/>
              </w:rPr>
            </w:pPr>
            <w:r w:rsidRPr="00935B0A">
              <w:rPr>
                <w:rFonts w:ascii="Arial Narrow" w:hAnsi="Arial Narrow"/>
                <w:sz w:val="20"/>
                <w:szCs w:val="20"/>
              </w:rPr>
              <w:t>Información Adelantada del Balance</w:t>
            </w:r>
          </w:p>
          <w:p w14:paraId="0783D2C0" w14:textId="77777777" w:rsidR="004250EC" w:rsidRPr="00935B0A" w:rsidRDefault="004250EC" w:rsidP="004250EC">
            <w:pPr>
              <w:ind w:right="-30"/>
              <w:rPr>
                <w:rFonts w:ascii="Arial Narrow" w:hAnsi="Arial Narrow"/>
                <w:sz w:val="20"/>
                <w:szCs w:val="20"/>
              </w:rPr>
            </w:pPr>
            <w:r w:rsidRPr="00935B0A">
              <w:rPr>
                <w:rFonts w:ascii="Arial Narrow" w:hAnsi="Arial Narrow"/>
                <w:sz w:val="20"/>
                <w:szCs w:val="20"/>
              </w:rPr>
              <w:t xml:space="preserve">Anexo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 “Sectorización de los Principales Rubros del Balance” y Relación de Agentes Económicos (*) (**)</w:t>
            </w:r>
          </w:p>
        </w:tc>
        <w:tc>
          <w:tcPr>
            <w:tcW w:w="1391" w:type="dxa"/>
            <w:tcBorders>
              <w:top w:val="single" w:sz="4" w:space="0" w:color="auto"/>
              <w:left w:val="single" w:sz="6" w:space="0" w:color="auto"/>
              <w:bottom w:val="single" w:sz="4" w:space="0" w:color="auto"/>
              <w:right w:val="single" w:sz="4" w:space="0" w:color="auto"/>
            </w:tcBorders>
            <w:vAlign w:val="center"/>
          </w:tcPr>
          <w:p w14:paraId="6738BF8D" w14:textId="77777777" w:rsidR="004250EC" w:rsidRPr="00935B0A" w:rsidRDefault="004250EC" w:rsidP="004250EC">
            <w:pPr>
              <w:ind w:right="-30"/>
              <w:jc w:val="center"/>
              <w:rPr>
                <w:rFonts w:ascii="Arial Narrow" w:hAnsi="Arial Narrow"/>
                <w:sz w:val="20"/>
                <w:szCs w:val="20"/>
              </w:rPr>
            </w:pPr>
          </w:p>
          <w:p w14:paraId="07198015" w14:textId="77777777" w:rsidR="004250EC" w:rsidRPr="00935B0A" w:rsidRDefault="004250EC" w:rsidP="004250EC">
            <w:pPr>
              <w:ind w:left="28" w:right="28"/>
              <w:jc w:val="center"/>
              <w:rPr>
                <w:rFonts w:ascii="Arial Narrow" w:hAnsi="Arial Narrow"/>
                <w:sz w:val="20"/>
                <w:szCs w:val="20"/>
              </w:rPr>
            </w:pPr>
            <w:r w:rsidRPr="00935B0A">
              <w:rPr>
                <w:rFonts w:ascii="Arial Narrow" w:hAnsi="Arial Narrow"/>
                <w:sz w:val="20"/>
                <w:szCs w:val="20"/>
              </w:rPr>
              <w:t>Quincenal</w:t>
            </w:r>
          </w:p>
        </w:tc>
      </w:tr>
    </w:tbl>
    <w:p w14:paraId="320101CC" w14:textId="77777777" w:rsidR="00965622" w:rsidRPr="00935B0A" w:rsidRDefault="00965622" w:rsidP="00BC030E">
      <w:pPr>
        <w:tabs>
          <w:tab w:val="left" w:pos="1873"/>
          <w:tab w:val="left" w:pos="2160"/>
          <w:tab w:val="left" w:pos="3574"/>
          <w:tab w:val="left" w:pos="7260"/>
          <w:tab w:val="left" w:pos="8961"/>
        </w:tabs>
        <w:spacing w:before="180"/>
        <w:rPr>
          <w:rFonts w:ascii="Arial Narrow" w:hAnsi="Arial Narrow"/>
          <w:sz w:val="20"/>
          <w:szCs w:val="20"/>
        </w:rPr>
      </w:pPr>
      <w:r w:rsidRPr="00935B0A">
        <w:rPr>
          <w:rFonts w:ascii="Arial Narrow" w:hAnsi="Arial Narrow"/>
          <w:sz w:val="20"/>
          <w:szCs w:val="20"/>
          <w:vertAlign w:val="superscript"/>
        </w:rPr>
        <w:t>(*</w:t>
      </w:r>
      <w:proofErr w:type="gramStart"/>
      <w:r w:rsidRPr="00935B0A">
        <w:rPr>
          <w:rFonts w:ascii="Arial Narrow" w:hAnsi="Arial Narrow"/>
          <w:sz w:val="20"/>
          <w:szCs w:val="20"/>
          <w:vertAlign w:val="superscript"/>
        </w:rPr>
        <w:t xml:space="preserve">)  </w:t>
      </w:r>
      <w:r w:rsidRPr="00935B0A">
        <w:rPr>
          <w:rFonts w:ascii="Arial Narrow" w:hAnsi="Arial Narrow"/>
          <w:sz w:val="20"/>
          <w:szCs w:val="20"/>
        </w:rPr>
        <w:t>Anexos</w:t>
      </w:r>
      <w:proofErr w:type="gramEnd"/>
      <w:r w:rsidRPr="00935B0A">
        <w:rPr>
          <w:rFonts w:ascii="Arial Narrow" w:hAnsi="Arial Narrow"/>
          <w:sz w:val="20"/>
          <w:szCs w:val="20"/>
        </w:rPr>
        <w:t xml:space="preserve"> con formatos requeridos por el BCRP</w:t>
      </w:r>
    </w:p>
    <w:p w14:paraId="6BAECE0B" w14:textId="77777777" w:rsidR="00965622" w:rsidRPr="00935B0A" w:rsidRDefault="00965622" w:rsidP="00BC030E">
      <w:pPr>
        <w:tabs>
          <w:tab w:val="left" w:pos="1873"/>
          <w:tab w:val="left" w:pos="2160"/>
          <w:tab w:val="left" w:pos="3574"/>
          <w:tab w:val="left" w:pos="7260"/>
          <w:tab w:val="left" w:pos="8961"/>
        </w:tabs>
        <w:spacing w:before="180"/>
        <w:rPr>
          <w:rFonts w:ascii="Arial Narrow" w:hAnsi="Arial Narrow"/>
          <w:sz w:val="20"/>
          <w:szCs w:val="20"/>
        </w:rPr>
      </w:pPr>
      <w:r w:rsidRPr="00935B0A">
        <w:rPr>
          <w:rFonts w:ascii="Arial Narrow" w:hAnsi="Arial Narrow"/>
          <w:sz w:val="20"/>
          <w:szCs w:val="20"/>
          <w:vertAlign w:val="superscript"/>
        </w:rPr>
        <w:t>(**</w:t>
      </w:r>
      <w:proofErr w:type="gramStart"/>
      <w:r w:rsidRPr="00935B0A">
        <w:rPr>
          <w:rFonts w:ascii="Arial Narrow" w:hAnsi="Arial Narrow"/>
          <w:sz w:val="20"/>
          <w:szCs w:val="20"/>
          <w:vertAlign w:val="superscript"/>
        </w:rPr>
        <w:t xml:space="preserve">)  </w:t>
      </w:r>
      <w:r w:rsidRPr="00935B0A">
        <w:rPr>
          <w:rFonts w:ascii="Arial Narrow" w:hAnsi="Arial Narrow"/>
          <w:sz w:val="20"/>
          <w:szCs w:val="20"/>
        </w:rPr>
        <w:t>Información</w:t>
      </w:r>
      <w:proofErr w:type="gramEnd"/>
      <w:r w:rsidRPr="00935B0A">
        <w:rPr>
          <w:rFonts w:ascii="Arial Narrow" w:hAnsi="Arial Narrow"/>
          <w:sz w:val="20"/>
          <w:szCs w:val="20"/>
        </w:rPr>
        <w:t xml:space="preserve"> a ser remitidas directamente al BCRP conforme la Resol.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123-2005 del 25.01.2005.</w:t>
      </w:r>
    </w:p>
    <w:p w14:paraId="2C235B28" w14:textId="77777777" w:rsidR="00642831" w:rsidRPr="00935B0A" w:rsidRDefault="00642831" w:rsidP="00BC030E">
      <w:pPr>
        <w:ind w:right="-30"/>
        <w:rPr>
          <w:rFonts w:ascii="Arial Narrow" w:hAnsi="Arial Narrow"/>
          <w:sz w:val="20"/>
          <w:szCs w:val="20"/>
        </w:rPr>
        <w:sectPr w:rsidR="00642831" w:rsidRPr="00935B0A" w:rsidSect="00E61876">
          <w:headerReference w:type="default" r:id="rId8"/>
          <w:footerReference w:type="even" r:id="rId9"/>
          <w:footerReference w:type="default" r:id="rId10"/>
          <w:pgSz w:w="11907" w:h="16834" w:code="9"/>
          <w:pgMar w:top="1418" w:right="1134" w:bottom="1134" w:left="1701" w:header="567" w:footer="851" w:gutter="0"/>
          <w:pgNumType w:start="1"/>
          <w:cols w:space="720"/>
          <w:noEndnote/>
        </w:sectPr>
      </w:pPr>
    </w:p>
    <w:p w14:paraId="636CDB61" w14:textId="77777777" w:rsidR="0000104D" w:rsidRPr="00935B0A" w:rsidRDefault="0000104D" w:rsidP="00BC030E">
      <w:pPr>
        <w:ind w:right="-30"/>
        <w:rPr>
          <w:rFonts w:ascii="Arial Narrow" w:hAnsi="Arial Narrow"/>
          <w:sz w:val="20"/>
          <w:szCs w:val="20"/>
        </w:rPr>
      </w:pPr>
    </w:p>
    <w:p w14:paraId="62290DE0" w14:textId="77777777" w:rsidR="00965622" w:rsidRPr="00935B0A" w:rsidRDefault="00965622" w:rsidP="00BC030E">
      <w:pPr>
        <w:ind w:right="-30"/>
        <w:rPr>
          <w:rFonts w:ascii="Arial Narrow" w:hAnsi="Arial Narrow"/>
          <w:sz w:val="20"/>
          <w:szCs w:val="20"/>
        </w:rPr>
      </w:pPr>
    </w:p>
    <w:p w14:paraId="5C062AF5" w14:textId="77777777" w:rsidR="00965622" w:rsidRPr="00935B0A" w:rsidRDefault="008427B4" w:rsidP="00BC030E">
      <w:pPr>
        <w:pStyle w:val="Epgrafe"/>
        <w:ind w:right="113"/>
        <w:jc w:val="left"/>
        <w:outlineLvl w:val="0"/>
        <w:rPr>
          <w:rFonts w:ascii="Arial Narrow" w:hAnsi="Arial Narrow"/>
        </w:rPr>
      </w:pPr>
      <w:r w:rsidRPr="00935B0A">
        <w:rPr>
          <w:rFonts w:ascii="Arial Narrow" w:hAnsi="Arial Narrow"/>
        </w:rPr>
        <w:t>REPORTES:</w:t>
      </w:r>
    </w:p>
    <w:p w14:paraId="73AAD803" w14:textId="77777777" w:rsidR="00965622" w:rsidRPr="00935B0A" w:rsidRDefault="00965622" w:rsidP="00BC030E">
      <w:pPr>
        <w:rPr>
          <w:rFonts w:ascii="Arial Narrow" w:hAnsi="Arial Narrow"/>
          <w:sz w:val="20"/>
          <w:szCs w:val="20"/>
        </w:rPr>
      </w:pPr>
    </w:p>
    <w:tbl>
      <w:tblPr>
        <w:tblW w:w="0" w:type="auto"/>
        <w:tblLayout w:type="fixed"/>
        <w:tblCellMar>
          <w:left w:w="30" w:type="dxa"/>
          <w:right w:w="30" w:type="dxa"/>
        </w:tblCellMar>
        <w:tblLook w:val="0000" w:firstRow="0" w:lastRow="0" w:firstColumn="0" w:lastColumn="0" w:noHBand="0" w:noVBand="0"/>
      </w:tblPr>
      <w:tblGrid>
        <w:gridCol w:w="1830"/>
        <w:gridCol w:w="1260"/>
        <w:gridCol w:w="3060"/>
        <w:gridCol w:w="1440"/>
      </w:tblGrid>
      <w:tr w:rsidR="00965622" w:rsidRPr="00935B0A" w14:paraId="014A899E" w14:textId="77777777" w:rsidTr="00935B0A">
        <w:trPr>
          <w:cantSplit/>
          <w:trHeight w:val="565"/>
          <w:tblHeader/>
        </w:trPr>
        <w:tc>
          <w:tcPr>
            <w:tcW w:w="1830" w:type="dxa"/>
            <w:tcBorders>
              <w:top w:val="single" w:sz="4" w:space="0" w:color="auto"/>
              <w:left w:val="single" w:sz="4" w:space="0" w:color="auto"/>
              <w:bottom w:val="single" w:sz="4" w:space="0" w:color="auto"/>
              <w:right w:val="single" w:sz="4" w:space="0" w:color="auto"/>
            </w:tcBorders>
            <w:shd w:val="pct20" w:color="auto" w:fill="FFFFFF"/>
            <w:vAlign w:val="center"/>
          </w:tcPr>
          <w:p w14:paraId="7C2DD137" w14:textId="77777777" w:rsidR="00965622" w:rsidRPr="00935B0A" w:rsidRDefault="00965622" w:rsidP="00935B0A">
            <w:pPr>
              <w:ind w:right="-30"/>
              <w:jc w:val="center"/>
              <w:rPr>
                <w:rFonts w:ascii="Arial Narrow" w:hAnsi="Arial Narrow"/>
                <w:b/>
                <w:sz w:val="20"/>
                <w:szCs w:val="20"/>
              </w:rPr>
            </w:pPr>
            <w:r w:rsidRPr="00935B0A">
              <w:rPr>
                <w:rFonts w:ascii="Arial Narrow" w:hAnsi="Arial Narrow"/>
                <w:b/>
                <w:sz w:val="20"/>
                <w:szCs w:val="20"/>
              </w:rPr>
              <w:t>TEMAS</w:t>
            </w:r>
          </w:p>
        </w:tc>
        <w:tc>
          <w:tcPr>
            <w:tcW w:w="1260" w:type="dxa"/>
            <w:tcBorders>
              <w:top w:val="single" w:sz="4" w:space="0" w:color="auto"/>
              <w:left w:val="single" w:sz="4" w:space="0" w:color="auto"/>
              <w:bottom w:val="single" w:sz="4" w:space="0" w:color="auto"/>
              <w:right w:val="single" w:sz="6" w:space="0" w:color="auto"/>
            </w:tcBorders>
            <w:shd w:val="pct20" w:color="auto" w:fill="FFFFFF"/>
            <w:vAlign w:val="center"/>
          </w:tcPr>
          <w:p w14:paraId="04C01B01" w14:textId="77777777" w:rsidR="00965622" w:rsidRPr="00935B0A" w:rsidRDefault="00965622" w:rsidP="00935B0A">
            <w:pPr>
              <w:ind w:right="-30"/>
              <w:jc w:val="center"/>
              <w:rPr>
                <w:rFonts w:ascii="Arial Narrow" w:hAnsi="Arial Narrow"/>
                <w:b/>
                <w:sz w:val="20"/>
                <w:szCs w:val="20"/>
              </w:rPr>
            </w:pPr>
            <w:r w:rsidRPr="00935B0A">
              <w:rPr>
                <w:rFonts w:ascii="Arial Narrow" w:hAnsi="Arial Narrow"/>
                <w:b/>
                <w:sz w:val="20"/>
                <w:szCs w:val="20"/>
              </w:rPr>
              <w:t>Manual de Contabilidad</w:t>
            </w:r>
          </w:p>
        </w:tc>
        <w:tc>
          <w:tcPr>
            <w:tcW w:w="3060" w:type="dxa"/>
            <w:tcBorders>
              <w:top w:val="single" w:sz="4" w:space="0" w:color="auto"/>
              <w:left w:val="single" w:sz="4" w:space="0" w:color="auto"/>
              <w:bottom w:val="single" w:sz="4" w:space="0" w:color="auto"/>
            </w:tcBorders>
            <w:shd w:val="pct20" w:color="auto" w:fill="FFFFFF"/>
            <w:vAlign w:val="center"/>
          </w:tcPr>
          <w:p w14:paraId="58D897C1" w14:textId="77777777" w:rsidR="00965622" w:rsidRPr="00935B0A" w:rsidRDefault="00965622" w:rsidP="00935B0A">
            <w:pPr>
              <w:ind w:right="-30"/>
              <w:jc w:val="center"/>
              <w:rPr>
                <w:rFonts w:ascii="Arial Narrow" w:hAnsi="Arial Narrow"/>
                <w:b/>
                <w:sz w:val="20"/>
                <w:szCs w:val="20"/>
              </w:rPr>
            </w:pPr>
            <w:r w:rsidRPr="00935B0A">
              <w:rPr>
                <w:rFonts w:ascii="Arial Narrow" w:hAnsi="Arial Narrow"/>
                <w:b/>
                <w:sz w:val="20"/>
                <w:szCs w:val="20"/>
              </w:rPr>
              <w:t>DESCRIPCION</w:t>
            </w:r>
          </w:p>
        </w:tc>
        <w:tc>
          <w:tcPr>
            <w:tcW w:w="1440" w:type="dxa"/>
            <w:tcBorders>
              <w:top w:val="single" w:sz="4" w:space="0" w:color="auto"/>
              <w:left w:val="single" w:sz="4" w:space="0" w:color="auto"/>
              <w:bottom w:val="single" w:sz="4" w:space="0" w:color="auto"/>
              <w:right w:val="single" w:sz="4" w:space="0" w:color="auto"/>
            </w:tcBorders>
            <w:shd w:val="pct20" w:color="auto" w:fill="FFFFFF"/>
            <w:vAlign w:val="center"/>
          </w:tcPr>
          <w:p w14:paraId="0842AF44" w14:textId="77777777" w:rsidR="00965622" w:rsidRPr="00935B0A" w:rsidRDefault="00965622" w:rsidP="00935B0A">
            <w:pPr>
              <w:ind w:right="-30"/>
              <w:jc w:val="center"/>
              <w:rPr>
                <w:rFonts w:ascii="Arial Narrow" w:hAnsi="Arial Narrow"/>
                <w:b/>
                <w:sz w:val="20"/>
                <w:szCs w:val="20"/>
              </w:rPr>
            </w:pPr>
            <w:r w:rsidRPr="00935B0A">
              <w:rPr>
                <w:rFonts w:ascii="Arial Narrow" w:hAnsi="Arial Narrow"/>
                <w:b/>
                <w:sz w:val="20"/>
                <w:szCs w:val="20"/>
              </w:rPr>
              <w:t>PERIODICIDAD</w:t>
            </w:r>
          </w:p>
        </w:tc>
      </w:tr>
      <w:tr w:rsidR="00145F2E" w:rsidRPr="00935B0A" w14:paraId="6006C8D2" w14:textId="77777777" w:rsidTr="00B55F8D">
        <w:trPr>
          <w:cantSplit/>
          <w:trHeight w:val="936"/>
        </w:trPr>
        <w:tc>
          <w:tcPr>
            <w:tcW w:w="1830" w:type="dxa"/>
            <w:vMerge w:val="restart"/>
            <w:tcBorders>
              <w:top w:val="single" w:sz="4" w:space="0" w:color="auto"/>
              <w:left w:val="single" w:sz="6" w:space="0" w:color="auto"/>
              <w:right w:val="single" w:sz="6" w:space="0" w:color="auto"/>
            </w:tcBorders>
            <w:vAlign w:val="center"/>
          </w:tcPr>
          <w:p w14:paraId="238E1192" w14:textId="77777777" w:rsidR="00145F2E" w:rsidRPr="00935B0A" w:rsidRDefault="00145F2E" w:rsidP="00BC030E">
            <w:pPr>
              <w:spacing w:before="100" w:after="100"/>
              <w:ind w:right="-30"/>
              <w:jc w:val="center"/>
              <w:rPr>
                <w:rFonts w:ascii="Arial Narrow" w:hAnsi="Arial Narrow"/>
                <w:b/>
                <w:sz w:val="20"/>
                <w:szCs w:val="20"/>
              </w:rPr>
            </w:pPr>
            <w:r w:rsidRPr="00935B0A">
              <w:rPr>
                <w:rFonts w:ascii="Arial Narrow" w:hAnsi="Arial Narrow"/>
                <w:b/>
                <w:sz w:val="20"/>
                <w:szCs w:val="20"/>
                <w:lang w:val="es-MX"/>
              </w:rPr>
              <w:t>Requerimientos Patrimoniales, Patrimonio Efectivo y Ratio de Capital Global</w:t>
            </w:r>
          </w:p>
        </w:tc>
        <w:tc>
          <w:tcPr>
            <w:tcW w:w="1260" w:type="dxa"/>
            <w:tcBorders>
              <w:top w:val="single" w:sz="4" w:space="0" w:color="auto"/>
              <w:left w:val="single" w:sz="6" w:space="0" w:color="auto"/>
              <w:bottom w:val="nil"/>
              <w:right w:val="single" w:sz="6" w:space="0" w:color="auto"/>
            </w:tcBorders>
            <w:vAlign w:val="center"/>
          </w:tcPr>
          <w:p w14:paraId="1C44D719" w14:textId="77777777" w:rsidR="00145F2E" w:rsidRPr="00935B0A" w:rsidRDefault="00145F2E" w:rsidP="00BC030E">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2 </w:t>
            </w:r>
            <w:r w:rsidRPr="00935B0A">
              <w:rPr>
                <w:rFonts w:ascii="Arial Narrow" w:hAnsi="Arial Narrow"/>
                <w:b/>
                <w:sz w:val="20"/>
                <w:szCs w:val="20"/>
                <w:vertAlign w:val="superscript"/>
              </w:rPr>
              <w:t>16</w:t>
            </w:r>
          </w:p>
          <w:p w14:paraId="17FC9CE2" w14:textId="77777777" w:rsidR="00145F2E" w:rsidRPr="00935B0A" w:rsidRDefault="00145F2E" w:rsidP="00BC030E">
            <w:pPr>
              <w:spacing w:before="100" w:after="100"/>
              <w:ind w:right="-30"/>
              <w:jc w:val="center"/>
              <w:rPr>
                <w:rFonts w:ascii="Arial Narrow" w:hAnsi="Arial Narrow"/>
                <w:b/>
                <w:sz w:val="20"/>
                <w:szCs w:val="20"/>
              </w:rPr>
            </w:pPr>
            <w:r w:rsidRPr="00935B0A">
              <w:rPr>
                <w:rFonts w:ascii="Arial Narrow" w:hAnsi="Arial Narrow"/>
                <w:b/>
                <w:sz w:val="20"/>
                <w:szCs w:val="20"/>
              </w:rPr>
              <w:t xml:space="preserve">(Anexo </w:t>
            </w:r>
            <w:proofErr w:type="gramStart"/>
            <w:r w:rsidRPr="00935B0A">
              <w:rPr>
                <w:rFonts w:ascii="Arial Narrow" w:hAnsi="Arial Narrow"/>
                <w:b/>
                <w:sz w:val="20"/>
                <w:szCs w:val="20"/>
              </w:rPr>
              <w:t>A )</w:t>
            </w:r>
            <w:proofErr w:type="gramEnd"/>
          </w:p>
        </w:tc>
        <w:tc>
          <w:tcPr>
            <w:tcW w:w="3060" w:type="dxa"/>
            <w:tcBorders>
              <w:top w:val="single" w:sz="4" w:space="0" w:color="auto"/>
              <w:left w:val="single" w:sz="6" w:space="0" w:color="auto"/>
              <w:bottom w:val="nil"/>
              <w:right w:val="single" w:sz="6" w:space="0" w:color="auto"/>
            </w:tcBorders>
          </w:tcPr>
          <w:p w14:paraId="511B4E2C" w14:textId="77777777" w:rsidR="00145F2E" w:rsidRPr="00935B0A" w:rsidRDefault="00145F2E" w:rsidP="00BC030E">
            <w:pPr>
              <w:spacing w:before="100" w:after="100"/>
              <w:ind w:left="28" w:right="28"/>
              <w:jc w:val="both"/>
              <w:rPr>
                <w:rFonts w:ascii="Arial Narrow" w:hAnsi="Arial Narrow"/>
                <w:sz w:val="20"/>
                <w:szCs w:val="20"/>
              </w:rPr>
            </w:pPr>
          </w:p>
        </w:tc>
        <w:tc>
          <w:tcPr>
            <w:tcW w:w="1440" w:type="dxa"/>
            <w:tcBorders>
              <w:top w:val="single" w:sz="4" w:space="0" w:color="auto"/>
              <w:left w:val="single" w:sz="6" w:space="0" w:color="auto"/>
              <w:bottom w:val="nil"/>
              <w:right w:val="single" w:sz="6" w:space="0" w:color="auto"/>
            </w:tcBorders>
            <w:vAlign w:val="center"/>
          </w:tcPr>
          <w:p w14:paraId="1F92DBCB" w14:textId="77777777" w:rsidR="00145F2E" w:rsidRPr="00935B0A" w:rsidRDefault="00145F2E" w:rsidP="00BC030E">
            <w:pPr>
              <w:spacing w:before="100" w:after="100"/>
              <w:ind w:right="-30"/>
              <w:jc w:val="center"/>
              <w:rPr>
                <w:rFonts w:ascii="Arial Narrow" w:hAnsi="Arial Narrow"/>
                <w:sz w:val="20"/>
                <w:szCs w:val="20"/>
              </w:rPr>
            </w:pPr>
          </w:p>
        </w:tc>
      </w:tr>
      <w:tr w:rsidR="004B6E2C" w:rsidRPr="00935B0A" w14:paraId="1E7CDAC9" w14:textId="77777777" w:rsidTr="00B55F8D">
        <w:trPr>
          <w:cantSplit/>
          <w:trHeight w:val="599"/>
        </w:trPr>
        <w:tc>
          <w:tcPr>
            <w:tcW w:w="1830" w:type="dxa"/>
            <w:vMerge/>
            <w:tcBorders>
              <w:left w:val="single" w:sz="6" w:space="0" w:color="auto"/>
              <w:right w:val="single" w:sz="6" w:space="0" w:color="auto"/>
            </w:tcBorders>
          </w:tcPr>
          <w:p w14:paraId="7F530477"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2EDF43D1" w14:textId="77777777" w:rsidR="004B6E2C" w:rsidRPr="00935B0A" w:rsidRDefault="004B6E2C" w:rsidP="004B6E2C">
            <w:pPr>
              <w:spacing w:before="40"/>
              <w:jc w:val="center"/>
              <w:rPr>
                <w:rFonts w:ascii="Arial Narrow" w:hAnsi="Arial Narrow"/>
                <w:b/>
                <w:sz w:val="20"/>
                <w:szCs w:val="20"/>
              </w:rPr>
            </w:pPr>
            <w:r w:rsidRPr="00935B0A">
              <w:rPr>
                <w:rFonts w:ascii="Arial Narrow" w:hAnsi="Arial Narrow"/>
                <w:b/>
                <w:sz w:val="20"/>
                <w:szCs w:val="20"/>
              </w:rPr>
              <w:t xml:space="preserve">Reporte </w:t>
            </w:r>
          </w:p>
          <w:p w14:paraId="463962B2" w14:textId="77777777" w:rsidR="004B6E2C" w:rsidRPr="00935B0A" w:rsidRDefault="004B6E2C" w:rsidP="004B6E2C">
            <w:pPr>
              <w:spacing w:before="40"/>
              <w:jc w:val="center"/>
              <w:rPr>
                <w:rFonts w:ascii="Arial Narrow" w:hAnsi="Arial Narrow"/>
                <w:b/>
                <w:sz w:val="20"/>
                <w:szCs w:val="20"/>
                <w:vertAlign w:val="superscript"/>
              </w:rPr>
            </w:pPr>
            <w:r w:rsidRPr="00935B0A">
              <w:rPr>
                <w:rFonts w:ascii="Arial Narrow" w:hAnsi="Arial Narrow"/>
                <w:b/>
                <w:sz w:val="20"/>
                <w:szCs w:val="20"/>
              </w:rPr>
              <w:t xml:space="preserve">2-A1 </w:t>
            </w:r>
            <w:r w:rsidRPr="00935B0A">
              <w:rPr>
                <w:rFonts w:ascii="Arial Narrow" w:hAnsi="Arial Narrow"/>
                <w:b/>
                <w:sz w:val="20"/>
                <w:szCs w:val="20"/>
                <w:vertAlign w:val="superscript"/>
              </w:rPr>
              <w:t>16.1</w:t>
            </w:r>
          </w:p>
          <w:p w14:paraId="228C223B" w14:textId="77777777" w:rsidR="004B6E2C" w:rsidRPr="00935B0A" w:rsidRDefault="004B6E2C" w:rsidP="004B6E2C">
            <w:pPr>
              <w:spacing w:before="40"/>
              <w:jc w:val="center"/>
              <w:rPr>
                <w:rFonts w:ascii="Arial Narrow" w:hAnsi="Arial Narrow"/>
                <w:b/>
                <w:sz w:val="20"/>
                <w:szCs w:val="20"/>
                <w:vertAlign w:val="superscript"/>
              </w:rPr>
            </w:pPr>
          </w:p>
        </w:tc>
        <w:tc>
          <w:tcPr>
            <w:tcW w:w="3060" w:type="dxa"/>
            <w:tcBorders>
              <w:top w:val="single" w:sz="2" w:space="0" w:color="auto"/>
              <w:left w:val="single" w:sz="6" w:space="0" w:color="auto"/>
              <w:bottom w:val="single" w:sz="4" w:space="0" w:color="auto"/>
              <w:right w:val="single" w:sz="6" w:space="0" w:color="auto"/>
            </w:tcBorders>
          </w:tcPr>
          <w:p w14:paraId="7509E38F" w14:textId="77777777" w:rsidR="004B6E2C" w:rsidRPr="00935B0A" w:rsidRDefault="004B6E2C" w:rsidP="004B6E2C">
            <w:pPr>
              <w:tabs>
                <w:tab w:val="num" w:pos="540"/>
              </w:tabs>
              <w:spacing w:before="40" w:after="40"/>
              <w:ind w:left="28" w:right="28"/>
              <w:jc w:val="both"/>
              <w:rPr>
                <w:rFonts w:ascii="Arial Narrow" w:hAnsi="Arial Narrow"/>
                <w:sz w:val="20"/>
                <w:szCs w:val="20"/>
              </w:rPr>
            </w:pPr>
            <w:r w:rsidRPr="00935B0A">
              <w:rPr>
                <w:rFonts w:ascii="Arial Narrow" w:hAnsi="Arial Narrow"/>
                <w:sz w:val="20"/>
                <w:szCs w:val="20"/>
              </w:rPr>
              <w:t>Activos y Contingentes Ponderados por Riesgo de Crédito – Método Estándar</w:t>
            </w:r>
          </w:p>
        </w:tc>
        <w:tc>
          <w:tcPr>
            <w:tcW w:w="1440" w:type="dxa"/>
            <w:tcBorders>
              <w:top w:val="single" w:sz="2" w:space="0" w:color="auto"/>
              <w:left w:val="single" w:sz="6" w:space="0" w:color="auto"/>
              <w:bottom w:val="single" w:sz="4" w:space="0" w:color="auto"/>
              <w:right w:val="single" w:sz="6" w:space="0" w:color="auto"/>
            </w:tcBorders>
            <w:vAlign w:val="center"/>
          </w:tcPr>
          <w:p w14:paraId="176BD2A6" w14:textId="77777777" w:rsidR="004B6E2C" w:rsidRPr="00935B0A" w:rsidRDefault="004B6E2C" w:rsidP="004B6E2C">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77E12A98" w14:textId="77777777" w:rsidTr="00B55F8D">
        <w:trPr>
          <w:cantSplit/>
          <w:trHeight w:val="599"/>
        </w:trPr>
        <w:tc>
          <w:tcPr>
            <w:tcW w:w="1830" w:type="dxa"/>
            <w:vMerge/>
            <w:tcBorders>
              <w:left w:val="single" w:sz="6" w:space="0" w:color="auto"/>
              <w:right w:val="single" w:sz="6" w:space="0" w:color="auto"/>
            </w:tcBorders>
          </w:tcPr>
          <w:p w14:paraId="36E21881"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1AD2CB48"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w:t>
            </w:r>
          </w:p>
          <w:p w14:paraId="23CD4866" w14:textId="77777777" w:rsidR="004B6E2C" w:rsidRPr="00935B0A" w:rsidRDefault="004B6E2C" w:rsidP="00BC030E">
            <w:pPr>
              <w:spacing w:before="40"/>
              <w:jc w:val="center"/>
              <w:rPr>
                <w:rFonts w:ascii="Arial Narrow" w:hAnsi="Arial Narrow"/>
                <w:b/>
                <w:sz w:val="20"/>
                <w:szCs w:val="20"/>
                <w:vertAlign w:val="superscript"/>
              </w:rPr>
            </w:pPr>
            <w:r w:rsidRPr="00935B0A">
              <w:rPr>
                <w:rFonts w:ascii="Arial Narrow" w:hAnsi="Arial Narrow"/>
                <w:b/>
                <w:sz w:val="20"/>
                <w:szCs w:val="20"/>
              </w:rPr>
              <w:t>2-A2</w:t>
            </w:r>
            <w:r w:rsidRPr="00935B0A">
              <w:rPr>
                <w:rFonts w:ascii="Arial Narrow" w:hAnsi="Arial Narrow"/>
                <w:b/>
                <w:sz w:val="20"/>
                <w:szCs w:val="20"/>
                <w:vertAlign w:val="superscript"/>
              </w:rPr>
              <w:t xml:space="preserve"> 16.1</w:t>
            </w:r>
          </w:p>
        </w:tc>
        <w:tc>
          <w:tcPr>
            <w:tcW w:w="3060" w:type="dxa"/>
            <w:tcBorders>
              <w:top w:val="single" w:sz="2" w:space="0" w:color="auto"/>
              <w:left w:val="single" w:sz="6" w:space="0" w:color="auto"/>
              <w:bottom w:val="single" w:sz="4" w:space="0" w:color="auto"/>
              <w:right w:val="single" w:sz="6" w:space="0" w:color="auto"/>
            </w:tcBorders>
          </w:tcPr>
          <w:p w14:paraId="155F3039" w14:textId="77777777" w:rsidR="004B6E2C" w:rsidRPr="00935B0A" w:rsidRDefault="004B6E2C" w:rsidP="00BC030E">
            <w:pPr>
              <w:tabs>
                <w:tab w:val="num" w:pos="540"/>
              </w:tabs>
              <w:spacing w:before="40" w:after="40"/>
              <w:ind w:left="28" w:right="28"/>
              <w:jc w:val="both"/>
              <w:rPr>
                <w:rFonts w:ascii="Arial Narrow" w:hAnsi="Arial Narrow"/>
                <w:sz w:val="20"/>
                <w:szCs w:val="20"/>
              </w:rPr>
            </w:pPr>
            <w:r w:rsidRPr="00935B0A">
              <w:rPr>
                <w:rFonts w:ascii="Arial Narrow" w:hAnsi="Arial Narrow"/>
                <w:sz w:val="20"/>
                <w:szCs w:val="20"/>
              </w:rPr>
              <w:t>Activos y Contingentes Ponderados por Riesgo de Crédito- Métodos Basados en Calificaciones Internas</w:t>
            </w:r>
          </w:p>
        </w:tc>
        <w:tc>
          <w:tcPr>
            <w:tcW w:w="1440" w:type="dxa"/>
            <w:tcBorders>
              <w:top w:val="single" w:sz="2" w:space="0" w:color="auto"/>
              <w:left w:val="single" w:sz="6" w:space="0" w:color="auto"/>
              <w:bottom w:val="single" w:sz="4" w:space="0" w:color="auto"/>
              <w:right w:val="single" w:sz="6" w:space="0" w:color="auto"/>
            </w:tcBorders>
            <w:vAlign w:val="center"/>
          </w:tcPr>
          <w:p w14:paraId="7FC9B2E6"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66CDF232" w14:textId="77777777" w:rsidTr="00B55F8D">
        <w:trPr>
          <w:cantSplit/>
          <w:trHeight w:val="599"/>
        </w:trPr>
        <w:tc>
          <w:tcPr>
            <w:tcW w:w="1830" w:type="dxa"/>
            <w:vMerge/>
            <w:tcBorders>
              <w:left w:val="single" w:sz="6" w:space="0" w:color="auto"/>
              <w:right w:val="single" w:sz="6" w:space="0" w:color="auto"/>
            </w:tcBorders>
          </w:tcPr>
          <w:p w14:paraId="142C11F7"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79B9F73C"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2-B1 </w:t>
            </w:r>
            <w:r w:rsidRPr="00935B0A">
              <w:rPr>
                <w:rFonts w:ascii="Arial Narrow" w:hAnsi="Arial Narrow"/>
                <w:b/>
                <w:sz w:val="20"/>
                <w:szCs w:val="20"/>
                <w:vertAlign w:val="superscript"/>
              </w:rPr>
              <w:t>16.1</w:t>
            </w:r>
          </w:p>
          <w:p w14:paraId="6E4EB613"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(Anexo 1-A)</w:t>
            </w:r>
          </w:p>
        </w:tc>
        <w:tc>
          <w:tcPr>
            <w:tcW w:w="3060" w:type="dxa"/>
            <w:tcBorders>
              <w:top w:val="single" w:sz="2" w:space="0" w:color="auto"/>
              <w:left w:val="single" w:sz="6" w:space="0" w:color="auto"/>
              <w:bottom w:val="single" w:sz="4" w:space="0" w:color="auto"/>
              <w:right w:val="single" w:sz="6" w:space="0" w:color="auto"/>
            </w:tcBorders>
          </w:tcPr>
          <w:p w14:paraId="5CABEBB7" w14:textId="77777777" w:rsidR="004B6E2C" w:rsidRPr="00935B0A" w:rsidRDefault="004B6E2C" w:rsidP="00BC030E">
            <w:pPr>
              <w:tabs>
                <w:tab w:val="num" w:pos="540"/>
              </w:tabs>
              <w:spacing w:before="40" w:after="40"/>
              <w:ind w:left="28" w:right="28"/>
              <w:jc w:val="both"/>
              <w:rPr>
                <w:rFonts w:ascii="Arial Narrow" w:hAnsi="Arial Narrow"/>
                <w:sz w:val="20"/>
                <w:szCs w:val="20"/>
              </w:rPr>
            </w:pPr>
            <w:r w:rsidRPr="00935B0A">
              <w:rPr>
                <w:rFonts w:ascii="Arial Narrow" w:hAnsi="Arial Narrow"/>
                <w:sz w:val="20"/>
                <w:szCs w:val="20"/>
              </w:rPr>
              <w:t>Método Estándar - Requerimiento de Patrimonio Efectivo por Riesgo de Tasa de Interés en la Cartera de Negociación - Riesgo Específico</w:t>
            </w:r>
          </w:p>
          <w:p w14:paraId="4A7EAC36" w14:textId="77777777" w:rsidR="004B6E2C" w:rsidRPr="00935B0A" w:rsidRDefault="004B6E2C" w:rsidP="00BC030E">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78A1808F"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54C2CD63" w14:textId="77777777" w:rsidTr="00B55F8D">
        <w:trPr>
          <w:cantSplit/>
          <w:trHeight w:val="599"/>
        </w:trPr>
        <w:tc>
          <w:tcPr>
            <w:tcW w:w="1830" w:type="dxa"/>
            <w:vMerge/>
            <w:tcBorders>
              <w:left w:val="single" w:sz="6" w:space="0" w:color="auto"/>
              <w:right w:val="single" w:sz="6" w:space="0" w:color="auto"/>
            </w:tcBorders>
          </w:tcPr>
          <w:p w14:paraId="05D158EF"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4B4D8A76"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2-B1 </w:t>
            </w:r>
            <w:r w:rsidRPr="00935B0A">
              <w:rPr>
                <w:rFonts w:ascii="Arial Narrow" w:hAnsi="Arial Narrow"/>
                <w:b/>
                <w:sz w:val="20"/>
                <w:szCs w:val="20"/>
                <w:vertAlign w:val="superscript"/>
              </w:rPr>
              <w:t>16.1</w:t>
            </w:r>
          </w:p>
          <w:p w14:paraId="78C5AF33"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(Anexo 1-B)</w:t>
            </w:r>
          </w:p>
        </w:tc>
        <w:tc>
          <w:tcPr>
            <w:tcW w:w="3060" w:type="dxa"/>
            <w:tcBorders>
              <w:top w:val="single" w:sz="2" w:space="0" w:color="auto"/>
              <w:left w:val="single" w:sz="6" w:space="0" w:color="auto"/>
              <w:bottom w:val="single" w:sz="4" w:space="0" w:color="auto"/>
              <w:right w:val="single" w:sz="6" w:space="0" w:color="auto"/>
            </w:tcBorders>
          </w:tcPr>
          <w:p w14:paraId="52DF2BAA" w14:textId="77777777" w:rsidR="004B6E2C" w:rsidRPr="00935B0A" w:rsidRDefault="004B6E2C" w:rsidP="00BC030E">
            <w:pPr>
              <w:tabs>
                <w:tab w:val="num" w:pos="540"/>
              </w:tabs>
              <w:spacing w:before="40" w:after="40"/>
              <w:ind w:left="28" w:right="28"/>
              <w:jc w:val="both"/>
              <w:rPr>
                <w:rFonts w:ascii="Arial Narrow" w:hAnsi="Arial Narrow"/>
                <w:sz w:val="20"/>
                <w:szCs w:val="20"/>
              </w:rPr>
            </w:pPr>
            <w:r w:rsidRPr="00935B0A">
              <w:rPr>
                <w:rFonts w:ascii="Arial Narrow" w:hAnsi="Arial Narrow"/>
                <w:sz w:val="20"/>
                <w:szCs w:val="20"/>
              </w:rPr>
              <w:t>Método Estándar - Requerimiento de Patrimonio Efectivo por Riesgo de Tasa de Interés en la Cartera de Negociación - Riesgo General</w:t>
            </w:r>
          </w:p>
          <w:p w14:paraId="569B0793" w14:textId="77777777" w:rsidR="004B6E2C" w:rsidRPr="00935B0A" w:rsidRDefault="004B6E2C" w:rsidP="00BC030E">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147E850C"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208C4680" w14:textId="77777777" w:rsidTr="00B55F8D">
        <w:trPr>
          <w:cantSplit/>
          <w:trHeight w:val="599"/>
        </w:trPr>
        <w:tc>
          <w:tcPr>
            <w:tcW w:w="1830" w:type="dxa"/>
            <w:vMerge/>
            <w:tcBorders>
              <w:left w:val="single" w:sz="6" w:space="0" w:color="auto"/>
              <w:right w:val="single" w:sz="6" w:space="0" w:color="auto"/>
            </w:tcBorders>
          </w:tcPr>
          <w:p w14:paraId="504E395D"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63FB7BED"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2-B1 </w:t>
            </w:r>
            <w:r w:rsidRPr="00935B0A">
              <w:rPr>
                <w:rFonts w:ascii="Arial Narrow" w:hAnsi="Arial Narrow"/>
                <w:b/>
                <w:sz w:val="20"/>
                <w:szCs w:val="20"/>
                <w:vertAlign w:val="superscript"/>
              </w:rPr>
              <w:t>16.1</w:t>
            </w:r>
          </w:p>
          <w:p w14:paraId="41CE1674"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(Anexo 1-C)</w:t>
            </w:r>
          </w:p>
        </w:tc>
        <w:tc>
          <w:tcPr>
            <w:tcW w:w="3060" w:type="dxa"/>
            <w:tcBorders>
              <w:top w:val="single" w:sz="2" w:space="0" w:color="auto"/>
              <w:left w:val="single" w:sz="6" w:space="0" w:color="auto"/>
              <w:bottom w:val="single" w:sz="4" w:space="0" w:color="auto"/>
              <w:right w:val="single" w:sz="6" w:space="0" w:color="auto"/>
            </w:tcBorders>
          </w:tcPr>
          <w:p w14:paraId="1A403470" w14:textId="77777777" w:rsidR="004B6E2C" w:rsidRPr="00935B0A" w:rsidRDefault="004B6E2C" w:rsidP="00BC030E">
            <w:pPr>
              <w:tabs>
                <w:tab w:val="num" w:pos="540"/>
              </w:tabs>
              <w:spacing w:before="40" w:after="40"/>
              <w:ind w:left="28" w:right="28"/>
              <w:jc w:val="both"/>
              <w:rPr>
                <w:rFonts w:ascii="Arial Narrow" w:hAnsi="Arial Narrow"/>
                <w:sz w:val="20"/>
                <w:szCs w:val="20"/>
              </w:rPr>
            </w:pPr>
            <w:r w:rsidRPr="00935B0A">
              <w:rPr>
                <w:rFonts w:ascii="Arial Narrow" w:hAnsi="Arial Narrow"/>
                <w:sz w:val="20"/>
                <w:szCs w:val="20"/>
              </w:rPr>
              <w:t>Método Estándar - Resumen Requerimiento de Patrimonio Efectivo por Riesgo de Tasa de Interés en la Cartera de Negociación</w:t>
            </w:r>
          </w:p>
          <w:p w14:paraId="2C286D6D" w14:textId="77777777" w:rsidR="004B6E2C" w:rsidRPr="00935B0A" w:rsidRDefault="004B6E2C" w:rsidP="00BC030E">
            <w:pPr>
              <w:tabs>
                <w:tab w:val="num" w:pos="540"/>
              </w:tabs>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25FAC60A" w14:textId="77777777" w:rsidR="004B6E2C" w:rsidRPr="00935B0A" w:rsidRDefault="004B6E2C" w:rsidP="00BC030E">
            <w:pPr>
              <w:tabs>
                <w:tab w:val="num" w:pos="540"/>
              </w:tabs>
              <w:spacing w:before="40" w:after="40"/>
              <w:ind w:left="28" w:right="28"/>
              <w:jc w:val="center"/>
              <w:rPr>
                <w:rFonts w:ascii="Arial Narrow" w:hAnsi="Arial Narrow"/>
                <w:sz w:val="20"/>
                <w:szCs w:val="20"/>
              </w:rPr>
            </w:pPr>
            <w:r w:rsidRPr="00935B0A">
              <w:rPr>
                <w:rFonts w:ascii="Arial Narrow" w:hAnsi="Arial Narrow"/>
                <w:sz w:val="20"/>
                <w:szCs w:val="20"/>
              </w:rPr>
              <w:t>Mensual</w:t>
            </w:r>
          </w:p>
        </w:tc>
      </w:tr>
      <w:tr w:rsidR="004B6E2C" w:rsidRPr="00935B0A" w14:paraId="0C83C48F" w14:textId="77777777" w:rsidTr="00B55F8D">
        <w:trPr>
          <w:cantSplit/>
          <w:trHeight w:val="599"/>
        </w:trPr>
        <w:tc>
          <w:tcPr>
            <w:tcW w:w="1830" w:type="dxa"/>
            <w:vMerge/>
            <w:tcBorders>
              <w:left w:val="single" w:sz="6" w:space="0" w:color="auto"/>
              <w:right w:val="single" w:sz="6" w:space="0" w:color="auto"/>
            </w:tcBorders>
          </w:tcPr>
          <w:p w14:paraId="4079604F"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0B709F4D"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w:t>
            </w:r>
          </w:p>
          <w:p w14:paraId="7A9C1653"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2-B1</w:t>
            </w:r>
            <w:r w:rsidRPr="00935B0A">
              <w:rPr>
                <w:rFonts w:ascii="Arial Narrow" w:hAnsi="Arial Narrow"/>
                <w:b/>
                <w:sz w:val="20"/>
                <w:szCs w:val="20"/>
                <w:vertAlign w:val="superscript"/>
              </w:rPr>
              <w:t>16.1</w:t>
            </w:r>
            <w:r w:rsidRPr="00935B0A">
              <w:rPr>
                <w:rFonts w:ascii="Arial Narrow" w:hAnsi="Arial Narrow"/>
                <w:b/>
                <w:sz w:val="20"/>
                <w:szCs w:val="20"/>
              </w:rPr>
              <w:t xml:space="preserve"> </w:t>
            </w:r>
          </w:p>
          <w:p w14:paraId="511167AF"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(Anexo 2)</w:t>
            </w:r>
          </w:p>
        </w:tc>
        <w:tc>
          <w:tcPr>
            <w:tcW w:w="3060" w:type="dxa"/>
            <w:tcBorders>
              <w:top w:val="single" w:sz="2" w:space="0" w:color="auto"/>
              <w:left w:val="single" w:sz="6" w:space="0" w:color="auto"/>
              <w:bottom w:val="single" w:sz="4" w:space="0" w:color="auto"/>
              <w:right w:val="single" w:sz="6" w:space="0" w:color="auto"/>
            </w:tcBorders>
          </w:tcPr>
          <w:p w14:paraId="23C39664" w14:textId="77777777" w:rsidR="004B6E2C" w:rsidRPr="00935B0A" w:rsidRDefault="004B6E2C" w:rsidP="00BC030E">
            <w:pPr>
              <w:tabs>
                <w:tab w:val="num" w:pos="540"/>
              </w:tabs>
              <w:ind w:right="-6"/>
              <w:jc w:val="both"/>
              <w:rPr>
                <w:rFonts w:ascii="Arial Narrow" w:hAnsi="Arial Narrow"/>
                <w:sz w:val="20"/>
                <w:szCs w:val="20"/>
              </w:rPr>
            </w:pPr>
            <w:r w:rsidRPr="00935B0A">
              <w:rPr>
                <w:rFonts w:ascii="Arial Narrow" w:hAnsi="Arial Narrow"/>
                <w:sz w:val="20"/>
                <w:szCs w:val="20"/>
              </w:rPr>
              <w:t>Método Estándar - Requerimiento de Patrimonio Efectivo por Riesgo de Precio en la Cartera de Negociación</w:t>
            </w:r>
          </w:p>
          <w:p w14:paraId="216D50CC" w14:textId="77777777" w:rsidR="004B6E2C" w:rsidRPr="00935B0A" w:rsidRDefault="004B6E2C" w:rsidP="00BC030E">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79C16D1C"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626F9690" w14:textId="77777777" w:rsidTr="00B55F8D">
        <w:trPr>
          <w:cantSplit/>
          <w:trHeight w:val="599"/>
        </w:trPr>
        <w:tc>
          <w:tcPr>
            <w:tcW w:w="1830" w:type="dxa"/>
            <w:vMerge/>
            <w:tcBorders>
              <w:left w:val="single" w:sz="6" w:space="0" w:color="auto"/>
              <w:right w:val="single" w:sz="6" w:space="0" w:color="auto"/>
            </w:tcBorders>
          </w:tcPr>
          <w:p w14:paraId="36185F51"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600D7732"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2-B1 </w:t>
            </w:r>
            <w:r w:rsidRPr="00935B0A">
              <w:rPr>
                <w:rFonts w:ascii="Arial Narrow" w:hAnsi="Arial Narrow"/>
                <w:b/>
                <w:sz w:val="20"/>
                <w:szCs w:val="20"/>
                <w:vertAlign w:val="superscript"/>
              </w:rPr>
              <w:t>16.1</w:t>
            </w:r>
            <w:r w:rsidRPr="00935B0A">
              <w:rPr>
                <w:rFonts w:ascii="Arial Narrow" w:hAnsi="Arial Narrow"/>
                <w:b/>
                <w:sz w:val="20"/>
                <w:szCs w:val="20"/>
              </w:rPr>
              <w:t xml:space="preserve"> (Anexo 3)</w:t>
            </w:r>
          </w:p>
        </w:tc>
        <w:tc>
          <w:tcPr>
            <w:tcW w:w="3060" w:type="dxa"/>
            <w:tcBorders>
              <w:top w:val="single" w:sz="2" w:space="0" w:color="auto"/>
              <w:left w:val="single" w:sz="6" w:space="0" w:color="auto"/>
              <w:bottom w:val="single" w:sz="4" w:space="0" w:color="auto"/>
              <w:right w:val="single" w:sz="6" w:space="0" w:color="auto"/>
            </w:tcBorders>
          </w:tcPr>
          <w:p w14:paraId="7FA2B205" w14:textId="77777777" w:rsidR="004B6E2C" w:rsidRPr="00935B0A" w:rsidRDefault="004B6E2C" w:rsidP="00BC030E">
            <w:pPr>
              <w:tabs>
                <w:tab w:val="num" w:pos="540"/>
              </w:tabs>
              <w:ind w:right="-6"/>
              <w:jc w:val="both"/>
              <w:rPr>
                <w:rFonts w:ascii="Arial Narrow" w:hAnsi="Arial Narrow"/>
                <w:sz w:val="20"/>
                <w:szCs w:val="20"/>
              </w:rPr>
            </w:pPr>
            <w:r w:rsidRPr="00935B0A">
              <w:rPr>
                <w:rFonts w:ascii="Arial Narrow" w:hAnsi="Arial Narrow"/>
                <w:sz w:val="20"/>
                <w:szCs w:val="20"/>
              </w:rPr>
              <w:t>Método Estándar - Requerimiento de Patrimonio Efectivo por Riesgo Cambiario</w:t>
            </w:r>
          </w:p>
          <w:p w14:paraId="1F94697F" w14:textId="77777777" w:rsidR="004B6E2C" w:rsidRPr="00935B0A" w:rsidRDefault="004B6E2C" w:rsidP="00BC030E">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1B9FF465"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500E20BA" w14:textId="77777777" w:rsidTr="00B55F8D">
        <w:trPr>
          <w:cantSplit/>
          <w:trHeight w:val="599"/>
        </w:trPr>
        <w:tc>
          <w:tcPr>
            <w:tcW w:w="1830" w:type="dxa"/>
            <w:vMerge/>
            <w:tcBorders>
              <w:left w:val="single" w:sz="6" w:space="0" w:color="auto"/>
              <w:right w:val="single" w:sz="6" w:space="0" w:color="auto"/>
            </w:tcBorders>
          </w:tcPr>
          <w:p w14:paraId="6DF00447"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2BE0FC33"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2-B1 </w:t>
            </w:r>
            <w:r w:rsidRPr="00935B0A">
              <w:rPr>
                <w:rFonts w:ascii="Arial Narrow" w:hAnsi="Arial Narrow"/>
                <w:b/>
                <w:sz w:val="20"/>
                <w:szCs w:val="20"/>
                <w:vertAlign w:val="superscript"/>
              </w:rPr>
              <w:t>16.1</w:t>
            </w:r>
            <w:r w:rsidRPr="00935B0A">
              <w:rPr>
                <w:rFonts w:ascii="Arial Narrow" w:hAnsi="Arial Narrow"/>
                <w:b/>
                <w:sz w:val="20"/>
                <w:szCs w:val="20"/>
              </w:rPr>
              <w:t xml:space="preserve"> (Anexo 4)</w:t>
            </w:r>
          </w:p>
        </w:tc>
        <w:tc>
          <w:tcPr>
            <w:tcW w:w="3060" w:type="dxa"/>
            <w:tcBorders>
              <w:top w:val="single" w:sz="2" w:space="0" w:color="auto"/>
              <w:left w:val="single" w:sz="6" w:space="0" w:color="auto"/>
              <w:bottom w:val="single" w:sz="4" w:space="0" w:color="auto"/>
              <w:right w:val="single" w:sz="6" w:space="0" w:color="auto"/>
            </w:tcBorders>
          </w:tcPr>
          <w:p w14:paraId="7137F349" w14:textId="77777777" w:rsidR="004B6E2C" w:rsidRPr="00935B0A" w:rsidRDefault="004B6E2C" w:rsidP="00BC030E">
            <w:pPr>
              <w:tabs>
                <w:tab w:val="num" w:pos="540"/>
              </w:tabs>
              <w:ind w:right="-6"/>
              <w:jc w:val="both"/>
              <w:rPr>
                <w:rFonts w:ascii="Arial Narrow" w:hAnsi="Arial Narrow"/>
                <w:sz w:val="20"/>
                <w:szCs w:val="20"/>
              </w:rPr>
            </w:pPr>
            <w:r w:rsidRPr="00935B0A">
              <w:rPr>
                <w:rFonts w:ascii="Arial Narrow" w:hAnsi="Arial Narrow"/>
                <w:sz w:val="20"/>
                <w:szCs w:val="20"/>
              </w:rPr>
              <w:t xml:space="preserve">Método Estándar- Requerimiento de Patrimonio Efectivo por Riesgo de </w:t>
            </w:r>
            <w:proofErr w:type="spellStart"/>
            <w:r w:rsidRPr="00935B0A">
              <w:rPr>
                <w:rFonts w:ascii="Arial Narrow" w:hAnsi="Arial Narrow"/>
                <w:sz w:val="20"/>
                <w:szCs w:val="20"/>
              </w:rPr>
              <w:t>Commodities</w:t>
            </w:r>
            <w:proofErr w:type="spellEnd"/>
          </w:p>
          <w:p w14:paraId="0A7D31A8" w14:textId="77777777" w:rsidR="004B6E2C" w:rsidRPr="00935B0A" w:rsidRDefault="004B6E2C" w:rsidP="00BC030E">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7FE6B080"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65A711E1" w14:textId="77777777" w:rsidTr="00B55F8D">
        <w:trPr>
          <w:cantSplit/>
          <w:trHeight w:val="599"/>
        </w:trPr>
        <w:tc>
          <w:tcPr>
            <w:tcW w:w="1830" w:type="dxa"/>
            <w:vMerge/>
            <w:tcBorders>
              <w:left w:val="single" w:sz="6" w:space="0" w:color="auto"/>
              <w:right w:val="single" w:sz="6" w:space="0" w:color="auto"/>
            </w:tcBorders>
          </w:tcPr>
          <w:p w14:paraId="490A4DB8"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2B5476FE"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2-B2 </w:t>
            </w:r>
            <w:r w:rsidRPr="00935B0A">
              <w:rPr>
                <w:rFonts w:ascii="Arial Narrow" w:hAnsi="Arial Narrow"/>
                <w:b/>
                <w:sz w:val="20"/>
                <w:szCs w:val="20"/>
                <w:vertAlign w:val="superscript"/>
              </w:rPr>
              <w:t>16.1</w:t>
            </w:r>
            <w:r w:rsidRPr="00935B0A">
              <w:rPr>
                <w:rFonts w:ascii="Arial Narrow" w:hAnsi="Arial Narrow"/>
                <w:b/>
                <w:sz w:val="20"/>
                <w:szCs w:val="20"/>
              </w:rPr>
              <w:t xml:space="preserve"> (Anexo A)</w:t>
            </w:r>
          </w:p>
        </w:tc>
        <w:tc>
          <w:tcPr>
            <w:tcW w:w="3060" w:type="dxa"/>
            <w:tcBorders>
              <w:top w:val="single" w:sz="2" w:space="0" w:color="auto"/>
              <w:left w:val="single" w:sz="6" w:space="0" w:color="auto"/>
              <w:bottom w:val="single" w:sz="4" w:space="0" w:color="auto"/>
              <w:right w:val="single" w:sz="6" w:space="0" w:color="auto"/>
            </w:tcBorders>
          </w:tcPr>
          <w:p w14:paraId="6265BE5F" w14:textId="77777777" w:rsidR="004B6E2C" w:rsidRPr="00935B0A" w:rsidRDefault="004B6E2C" w:rsidP="00BC030E">
            <w:pPr>
              <w:tabs>
                <w:tab w:val="num" w:pos="540"/>
              </w:tabs>
              <w:ind w:right="-6"/>
              <w:jc w:val="both"/>
              <w:rPr>
                <w:rFonts w:ascii="Arial Narrow" w:hAnsi="Arial Narrow"/>
                <w:sz w:val="20"/>
                <w:szCs w:val="20"/>
              </w:rPr>
            </w:pPr>
            <w:r w:rsidRPr="00935B0A">
              <w:rPr>
                <w:rFonts w:ascii="Arial Narrow" w:hAnsi="Arial Narrow"/>
                <w:sz w:val="20"/>
                <w:szCs w:val="20"/>
              </w:rPr>
              <w:t>Modelo Interno – VAR Varianzas y Covarianzas</w:t>
            </w:r>
          </w:p>
          <w:p w14:paraId="74452304" w14:textId="77777777" w:rsidR="004B6E2C" w:rsidRPr="00935B0A" w:rsidRDefault="004B6E2C" w:rsidP="00BC030E">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1B5D4EDC"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12182D57" w14:textId="77777777" w:rsidTr="00B55F8D">
        <w:trPr>
          <w:cantSplit/>
          <w:trHeight w:val="599"/>
        </w:trPr>
        <w:tc>
          <w:tcPr>
            <w:tcW w:w="1830" w:type="dxa"/>
            <w:vMerge/>
            <w:tcBorders>
              <w:left w:val="single" w:sz="6" w:space="0" w:color="auto"/>
              <w:right w:val="single" w:sz="6" w:space="0" w:color="auto"/>
            </w:tcBorders>
          </w:tcPr>
          <w:p w14:paraId="5565DB46"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3F99F3E8"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2-B2 </w:t>
            </w:r>
            <w:r w:rsidRPr="00935B0A">
              <w:rPr>
                <w:rFonts w:ascii="Arial Narrow" w:hAnsi="Arial Narrow"/>
                <w:b/>
                <w:sz w:val="20"/>
                <w:szCs w:val="20"/>
                <w:vertAlign w:val="superscript"/>
              </w:rPr>
              <w:t>16.1</w:t>
            </w:r>
            <w:r w:rsidRPr="00935B0A">
              <w:rPr>
                <w:rFonts w:ascii="Arial Narrow" w:hAnsi="Arial Narrow"/>
                <w:b/>
                <w:sz w:val="20"/>
                <w:szCs w:val="20"/>
              </w:rPr>
              <w:t xml:space="preserve"> (Anexo B)</w:t>
            </w:r>
          </w:p>
        </w:tc>
        <w:tc>
          <w:tcPr>
            <w:tcW w:w="3060" w:type="dxa"/>
            <w:tcBorders>
              <w:top w:val="single" w:sz="2" w:space="0" w:color="auto"/>
              <w:left w:val="single" w:sz="6" w:space="0" w:color="auto"/>
              <w:bottom w:val="single" w:sz="4" w:space="0" w:color="auto"/>
              <w:right w:val="single" w:sz="6" w:space="0" w:color="auto"/>
            </w:tcBorders>
          </w:tcPr>
          <w:p w14:paraId="102EDF34" w14:textId="77777777" w:rsidR="004B6E2C" w:rsidRPr="00935B0A" w:rsidRDefault="004B6E2C" w:rsidP="00BC030E">
            <w:pPr>
              <w:tabs>
                <w:tab w:val="num" w:pos="540"/>
              </w:tabs>
              <w:ind w:right="-6"/>
              <w:jc w:val="both"/>
              <w:rPr>
                <w:rFonts w:ascii="Arial Narrow" w:hAnsi="Arial Narrow"/>
                <w:sz w:val="20"/>
                <w:szCs w:val="20"/>
              </w:rPr>
            </w:pPr>
            <w:r w:rsidRPr="00935B0A">
              <w:rPr>
                <w:rFonts w:ascii="Arial Narrow" w:hAnsi="Arial Narrow"/>
                <w:sz w:val="20"/>
                <w:szCs w:val="20"/>
              </w:rPr>
              <w:t xml:space="preserve"> Modelo Interno – VAR Simulación Histórica</w:t>
            </w:r>
          </w:p>
          <w:p w14:paraId="71359226" w14:textId="77777777" w:rsidR="004B6E2C" w:rsidRPr="00935B0A" w:rsidRDefault="004B6E2C" w:rsidP="00BC030E">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2F34A7DA"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21C3A0B5" w14:textId="77777777" w:rsidTr="00B55F8D">
        <w:trPr>
          <w:cantSplit/>
          <w:trHeight w:val="599"/>
        </w:trPr>
        <w:tc>
          <w:tcPr>
            <w:tcW w:w="1830" w:type="dxa"/>
            <w:vMerge/>
            <w:tcBorders>
              <w:left w:val="single" w:sz="6" w:space="0" w:color="auto"/>
              <w:right w:val="single" w:sz="6" w:space="0" w:color="auto"/>
            </w:tcBorders>
          </w:tcPr>
          <w:p w14:paraId="44901F99"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681904E0" w14:textId="77777777" w:rsidR="004B6E2C" w:rsidRPr="00935B0A" w:rsidRDefault="004B6E2C" w:rsidP="00BC030E">
            <w:pPr>
              <w:ind w:right="-6"/>
              <w:jc w:val="center"/>
              <w:rPr>
                <w:rFonts w:ascii="Arial Narrow" w:hAnsi="Arial Narrow"/>
                <w:b/>
                <w:sz w:val="20"/>
                <w:szCs w:val="20"/>
              </w:rPr>
            </w:pPr>
            <w:r w:rsidRPr="00935B0A">
              <w:rPr>
                <w:rFonts w:ascii="Arial Narrow" w:hAnsi="Arial Narrow"/>
                <w:b/>
                <w:sz w:val="20"/>
                <w:szCs w:val="20"/>
              </w:rPr>
              <w:t xml:space="preserve">Reporte 2-B2 </w:t>
            </w:r>
            <w:r w:rsidRPr="00935B0A">
              <w:rPr>
                <w:rFonts w:ascii="Arial Narrow" w:hAnsi="Arial Narrow"/>
                <w:b/>
                <w:sz w:val="20"/>
                <w:szCs w:val="20"/>
                <w:vertAlign w:val="superscript"/>
              </w:rPr>
              <w:t>16.1</w:t>
            </w:r>
            <w:r w:rsidRPr="00935B0A">
              <w:rPr>
                <w:rFonts w:ascii="Arial Narrow" w:hAnsi="Arial Narrow"/>
                <w:b/>
                <w:sz w:val="20"/>
                <w:szCs w:val="20"/>
              </w:rPr>
              <w:t xml:space="preserve"> (Anexo C)</w:t>
            </w:r>
          </w:p>
        </w:tc>
        <w:tc>
          <w:tcPr>
            <w:tcW w:w="3060" w:type="dxa"/>
            <w:tcBorders>
              <w:top w:val="single" w:sz="2" w:space="0" w:color="auto"/>
              <w:left w:val="single" w:sz="6" w:space="0" w:color="auto"/>
              <w:bottom w:val="single" w:sz="4" w:space="0" w:color="auto"/>
              <w:right w:val="single" w:sz="6" w:space="0" w:color="auto"/>
            </w:tcBorders>
          </w:tcPr>
          <w:p w14:paraId="22DCEC7A" w14:textId="77777777" w:rsidR="004B6E2C" w:rsidRPr="00935B0A" w:rsidRDefault="004B6E2C" w:rsidP="00BC030E">
            <w:pPr>
              <w:tabs>
                <w:tab w:val="num" w:pos="540"/>
              </w:tabs>
              <w:ind w:right="-6"/>
              <w:jc w:val="both"/>
              <w:rPr>
                <w:rFonts w:ascii="Arial Narrow" w:hAnsi="Arial Narrow"/>
                <w:sz w:val="20"/>
                <w:szCs w:val="20"/>
              </w:rPr>
            </w:pPr>
            <w:r w:rsidRPr="00935B0A">
              <w:rPr>
                <w:rFonts w:ascii="Arial Narrow" w:hAnsi="Arial Narrow"/>
                <w:sz w:val="20"/>
                <w:szCs w:val="20"/>
              </w:rPr>
              <w:t xml:space="preserve"> Modelo Interno – VAR Simulación de Montecarlo</w:t>
            </w:r>
          </w:p>
        </w:tc>
        <w:tc>
          <w:tcPr>
            <w:tcW w:w="1440" w:type="dxa"/>
            <w:tcBorders>
              <w:top w:val="single" w:sz="2" w:space="0" w:color="auto"/>
              <w:left w:val="single" w:sz="6" w:space="0" w:color="auto"/>
              <w:bottom w:val="single" w:sz="4" w:space="0" w:color="auto"/>
              <w:right w:val="single" w:sz="6" w:space="0" w:color="auto"/>
            </w:tcBorders>
            <w:vAlign w:val="center"/>
          </w:tcPr>
          <w:p w14:paraId="1068DBC4"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52A3704E" w14:textId="77777777" w:rsidTr="00B55F8D">
        <w:trPr>
          <w:cantSplit/>
          <w:trHeight w:val="599"/>
        </w:trPr>
        <w:tc>
          <w:tcPr>
            <w:tcW w:w="1830" w:type="dxa"/>
            <w:vMerge/>
            <w:tcBorders>
              <w:left w:val="single" w:sz="6" w:space="0" w:color="auto"/>
              <w:right w:val="single" w:sz="6" w:space="0" w:color="auto"/>
            </w:tcBorders>
          </w:tcPr>
          <w:p w14:paraId="68F90390"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340A93EA"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2-C1 </w:t>
            </w:r>
            <w:r w:rsidRPr="00935B0A">
              <w:rPr>
                <w:rFonts w:ascii="Arial Narrow" w:hAnsi="Arial Narrow"/>
                <w:b/>
                <w:sz w:val="20"/>
                <w:szCs w:val="20"/>
                <w:vertAlign w:val="superscript"/>
              </w:rPr>
              <w:t>16.2</w:t>
            </w:r>
          </w:p>
        </w:tc>
        <w:tc>
          <w:tcPr>
            <w:tcW w:w="3060" w:type="dxa"/>
            <w:tcBorders>
              <w:top w:val="single" w:sz="2" w:space="0" w:color="auto"/>
              <w:left w:val="single" w:sz="6" w:space="0" w:color="auto"/>
              <w:bottom w:val="single" w:sz="4" w:space="0" w:color="auto"/>
              <w:right w:val="single" w:sz="6" w:space="0" w:color="auto"/>
            </w:tcBorders>
          </w:tcPr>
          <w:p w14:paraId="14D9415E" w14:textId="77777777" w:rsidR="004B6E2C" w:rsidRPr="00935B0A" w:rsidRDefault="004B6E2C" w:rsidP="00BC030E">
            <w:pPr>
              <w:tabs>
                <w:tab w:val="num" w:pos="540"/>
              </w:tabs>
              <w:ind w:right="-6"/>
              <w:jc w:val="both"/>
              <w:rPr>
                <w:rFonts w:ascii="Arial Narrow" w:hAnsi="Arial Narrow"/>
                <w:sz w:val="20"/>
                <w:szCs w:val="20"/>
              </w:rPr>
            </w:pPr>
            <w:r w:rsidRPr="00935B0A">
              <w:rPr>
                <w:rFonts w:ascii="Arial Narrow" w:hAnsi="Arial Narrow"/>
                <w:sz w:val="20"/>
                <w:szCs w:val="20"/>
              </w:rPr>
              <w:t xml:space="preserve"> Requerimiento de Patrimonio Efectivo por Riesgo Operacional- Método del Indicador Básico</w:t>
            </w:r>
          </w:p>
          <w:p w14:paraId="6DAD5FF4" w14:textId="77777777" w:rsidR="004B6E2C" w:rsidRPr="00935B0A" w:rsidRDefault="004B6E2C" w:rsidP="00BC030E">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2F47054F"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471B0B11" w14:textId="77777777" w:rsidTr="00B55F8D">
        <w:trPr>
          <w:cantSplit/>
          <w:trHeight w:val="599"/>
        </w:trPr>
        <w:tc>
          <w:tcPr>
            <w:tcW w:w="1830" w:type="dxa"/>
            <w:vMerge/>
            <w:tcBorders>
              <w:left w:val="single" w:sz="6" w:space="0" w:color="auto"/>
              <w:right w:val="single" w:sz="6" w:space="0" w:color="auto"/>
            </w:tcBorders>
          </w:tcPr>
          <w:p w14:paraId="63183A8C"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338B0160" w14:textId="77777777" w:rsidR="004B6E2C" w:rsidRPr="00935B0A" w:rsidRDefault="004B6E2C" w:rsidP="00BC030E">
            <w:pPr>
              <w:ind w:right="-6"/>
              <w:jc w:val="center"/>
              <w:rPr>
                <w:rFonts w:ascii="Arial Narrow" w:hAnsi="Arial Narrow"/>
                <w:b/>
                <w:sz w:val="20"/>
                <w:szCs w:val="20"/>
              </w:rPr>
            </w:pPr>
            <w:r w:rsidRPr="00935B0A">
              <w:rPr>
                <w:rFonts w:ascii="Arial Narrow" w:hAnsi="Arial Narrow"/>
                <w:b/>
                <w:sz w:val="20"/>
                <w:szCs w:val="20"/>
              </w:rPr>
              <w:t xml:space="preserve">Reporte 2-C2 </w:t>
            </w:r>
            <w:r w:rsidRPr="00935B0A">
              <w:rPr>
                <w:rFonts w:ascii="Arial Narrow" w:hAnsi="Arial Narrow"/>
                <w:b/>
                <w:sz w:val="20"/>
                <w:szCs w:val="20"/>
                <w:vertAlign w:val="superscript"/>
              </w:rPr>
              <w:t>16.2</w:t>
            </w:r>
          </w:p>
        </w:tc>
        <w:tc>
          <w:tcPr>
            <w:tcW w:w="3060" w:type="dxa"/>
            <w:tcBorders>
              <w:top w:val="single" w:sz="2" w:space="0" w:color="auto"/>
              <w:left w:val="single" w:sz="6" w:space="0" w:color="auto"/>
              <w:bottom w:val="single" w:sz="4" w:space="0" w:color="auto"/>
              <w:right w:val="single" w:sz="6" w:space="0" w:color="auto"/>
            </w:tcBorders>
          </w:tcPr>
          <w:p w14:paraId="76C084A8" w14:textId="77777777" w:rsidR="004B6E2C" w:rsidRPr="00935B0A" w:rsidRDefault="004B6E2C" w:rsidP="00BC030E">
            <w:pPr>
              <w:tabs>
                <w:tab w:val="num" w:pos="540"/>
              </w:tabs>
              <w:ind w:right="-6"/>
              <w:jc w:val="both"/>
              <w:rPr>
                <w:rFonts w:ascii="Arial Narrow" w:hAnsi="Arial Narrow"/>
                <w:sz w:val="20"/>
                <w:szCs w:val="20"/>
              </w:rPr>
            </w:pPr>
            <w:r w:rsidRPr="00935B0A">
              <w:rPr>
                <w:rFonts w:ascii="Arial Narrow" w:hAnsi="Arial Narrow"/>
                <w:sz w:val="20"/>
                <w:szCs w:val="20"/>
              </w:rPr>
              <w:t>Requerimiento de Patrimonio Efectivo por Riesgo Operacional- Método Estándar Alternativo</w:t>
            </w:r>
          </w:p>
          <w:p w14:paraId="52AE177E" w14:textId="77777777" w:rsidR="004B6E2C" w:rsidRPr="00935B0A" w:rsidRDefault="004B6E2C" w:rsidP="00BC030E">
            <w:pPr>
              <w:tabs>
                <w:tab w:val="num" w:pos="540"/>
              </w:tabs>
              <w:ind w:right="-6"/>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7BC81D5A"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1774EDB5" w14:textId="77777777" w:rsidTr="00B55F8D">
        <w:trPr>
          <w:cantSplit/>
          <w:trHeight w:val="599"/>
        </w:trPr>
        <w:tc>
          <w:tcPr>
            <w:tcW w:w="1830" w:type="dxa"/>
            <w:vMerge/>
            <w:tcBorders>
              <w:left w:val="single" w:sz="6" w:space="0" w:color="auto"/>
              <w:right w:val="single" w:sz="6" w:space="0" w:color="auto"/>
            </w:tcBorders>
          </w:tcPr>
          <w:p w14:paraId="7384714D"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3AFB86EB"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2-D </w:t>
            </w:r>
            <w:r w:rsidRPr="00935B0A">
              <w:rPr>
                <w:rFonts w:ascii="Arial Narrow" w:hAnsi="Arial Narrow"/>
                <w:b/>
                <w:sz w:val="20"/>
                <w:szCs w:val="20"/>
                <w:vertAlign w:val="superscript"/>
              </w:rPr>
              <w:t>16.3</w:t>
            </w:r>
          </w:p>
        </w:tc>
        <w:tc>
          <w:tcPr>
            <w:tcW w:w="3060" w:type="dxa"/>
            <w:tcBorders>
              <w:top w:val="single" w:sz="2" w:space="0" w:color="auto"/>
              <w:left w:val="single" w:sz="6" w:space="0" w:color="auto"/>
              <w:bottom w:val="single" w:sz="4" w:space="0" w:color="auto"/>
              <w:right w:val="single" w:sz="6" w:space="0" w:color="auto"/>
            </w:tcBorders>
          </w:tcPr>
          <w:p w14:paraId="5E73A73B" w14:textId="77777777" w:rsidR="004B6E2C" w:rsidRPr="00935B0A" w:rsidRDefault="004B6E2C" w:rsidP="00BC030E">
            <w:pPr>
              <w:pStyle w:val="Textoindependiente"/>
              <w:rPr>
                <w:rFonts w:ascii="Arial Narrow" w:hAnsi="Arial Narrow"/>
                <w:b w:val="0"/>
                <w:bCs/>
                <w:sz w:val="20"/>
                <w:szCs w:val="20"/>
              </w:rPr>
            </w:pPr>
          </w:p>
          <w:p w14:paraId="15E375AD" w14:textId="77777777" w:rsidR="004B6E2C" w:rsidRPr="00935B0A" w:rsidRDefault="004B6E2C" w:rsidP="00BC030E">
            <w:pPr>
              <w:tabs>
                <w:tab w:val="num" w:pos="540"/>
              </w:tabs>
              <w:ind w:right="-6"/>
              <w:jc w:val="both"/>
              <w:rPr>
                <w:rFonts w:ascii="Arial Narrow" w:hAnsi="Arial Narrow"/>
                <w:sz w:val="20"/>
                <w:szCs w:val="20"/>
              </w:rPr>
            </w:pPr>
          </w:p>
          <w:p w14:paraId="52262F42" w14:textId="77777777" w:rsidR="004B6E2C" w:rsidRPr="00935B0A" w:rsidRDefault="004B6E2C" w:rsidP="00BC030E">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1DEFE6C6" w14:textId="77777777" w:rsidR="004B6E2C" w:rsidRPr="00935B0A" w:rsidRDefault="004B6E2C" w:rsidP="00BC030E">
            <w:pPr>
              <w:spacing w:before="40"/>
              <w:jc w:val="center"/>
              <w:rPr>
                <w:rFonts w:ascii="Arial Narrow" w:hAnsi="Arial Narrow"/>
                <w:sz w:val="20"/>
                <w:szCs w:val="20"/>
              </w:rPr>
            </w:pPr>
          </w:p>
        </w:tc>
      </w:tr>
      <w:tr w:rsidR="004B6E2C" w:rsidRPr="00935B0A" w14:paraId="2886844D" w14:textId="77777777" w:rsidTr="00097269">
        <w:trPr>
          <w:cantSplit/>
          <w:trHeight w:val="599"/>
        </w:trPr>
        <w:tc>
          <w:tcPr>
            <w:tcW w:w="1830" w:type="dxa"/>
            <w:vMerge/>
            <w:tcBorders>
              <w:left w:val="single" w:sz="6" w:space="0" w:color="auto"/>
              <w:right w:val="single" w:sz="6" w:space="0" w:color="auto"/>
            </w:tcBorders>
          </w:tcPr>
          <w:p w14:paraId="7BCFFFEF"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759A6317" w14:textId="77777777" w:rsidR="004B6E2C" w:rsidRPr="00935B0A" w:rsidRDefault="004B6E2C" w:rsidP="004B6E2C">
            <w:pPr>
              <w:spacing w:before="100" w:after="100"/>
              <w:ind w:right="-30"/>
              <w:jc w:val="center"/>
              <w:rPr>
                <w:rFonts w:ascii="Arial Narrow" w:hAnsi="Arial Narrow"/>
                <w:b/>
                <w:sz w:val="20"/>
                <w:szCs w:val="20"/>
              </w:rPr>
            </w:pPr>
            <w:r w:rsidRPr="00935B0A">
              <w:rPr>
                <w:rFonts w:ascii="Arial Narrow" w:hAnsi="Arial Narrow"/>
                <w:b/>
                <w:sz w:val="20"/>
                <w:szCs w:val="20"/>
              </w:rPr>
              <w:t>Reporte 3</w:t>
            </w:r>
            <w:r w:rsidRPr="00935B0A">
              <w:rPr>
                <w:rFonts w:ascii="Arial Narrow" w:hAnsi="Arial Narrow"/>
                <w:b/>
                <w:sz w:val="20"/>
                <w:szCs w:val="20"/>
                <w:vertAlign w:val="superscript"/>
              </w:rPr>
              <w:t>17</w:t>
            </w:r>
          </w:p>
          <w:p w14:paraId="3ED85F85" w14:textId="77777777" w:rsidR="004B6E2C" w:rsidRPr="00935B0A" w:rsidRDefault="004B6E2C" w:rsidP="003D0696">
            <w:pPr>
              <w:spacing w:before="100" w:after="100"/>
              <w:ind w:right="-30"/>
              <w:jc w:val="center"/>
              <w:rPr>
                <w:rFonts w:ascii="Arial Narrow" w:hAnsi="Arial Narrow"/>
                <w:b/>
                <w:sz w:val="20"/>
                <w:szCs w:val="20"/>
              </w:rPr>
            </w:pPr>
          </w:p>
        </w:tc>
        <w:tc>
          <w:tcPr>
            <w:tcW w:w="3060" w:type="dxa"/>
            <w:tcBorders>
              <w:top w:val="single" w:sz="2" w:space="0" w:color="auto"/>
              <w:left w:val="single" w:sz="6" w:space="0" w:color="auto"/>
              <w:bottom w:val="single" w:sz="4" w:space="0" w:color="auto"/>
              <w:right w:val="single" w:sz="6" w:space="0" w:color="auto"/>
            </w:tcBorders>
          </w:tcPr>
          <w:p w14:paraId="0DD53607" w14:textId="77777777" w:rsidR="004B6E2C" w:rsidRPr="00935B0A" w:rsidRDefault="004B6E2C" w:rsidP="004B6E2C">
            <w:pPr>
              <w:spacing w:before="100" w:after="100"/>
              <w:ind w:left="28" w:right="28"/>
              <w:jc w:val="both"/>
              <w:rPr>
                <w:rFonts w:ascii="Arial Narrow" w:hAnsi="Arial Narrow"/>
                <w:sz w:val="20"/>
                <w:szCs w:val="20"/>
              </w:rPr>
            </w:pPr>
            <w:r w:rsidRPr="00935B0A">
              <w:rPr>
                <w:rFonts w:ascii="Arial Narrow" w:hAnsi="Arial Narrow"/>
                <w:sz w:val="20"/>
                <w:szCs w:val="20"/>
              </w:rPr>
              <w:t xml:space="preserve">Patrimonio Efectivo </w:t>
            </w:r>
          </w:p>
          <w:p w14:paraId="478673AC" w14:textId="77777777" w:rsidR="004B6E2C" w:rsidRPr="00935B0A" w:rsidRDefault="004B6E2C" w:rsidP="004B6E2C">
            <w:pPr>
              <w:spacing w:before="100" w:after="10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0C10721E" w14:textId="77777777" w:rsidR="004B6E2C" w:rsidRPr="00935B0A" w:rsidRDefault="004B6E2C" w:rsidP="004B6E2C">
            <w:pPr>
              <w:spacing w:before="100" w:after="100"/>
              <w:ind w:right="-30"/>
              <w:jc w:val="center"/>
              <w:rPr>
                <w:rFonts w:ascii="Arial Narrow" w:hAnsi="Arial Narrow"/>
                <w:sz w:val="20"/>
                <w:szCs w:val="20"/>
              </w:rPr>
            </w:pPr>
            <w:r w:rsidRPr="00935B0A">
              <w:rPr>
                <w:rFonts w:ascii="Arial Narrow" w:hAnsi="Arial Narrow"/>
                <w:sz w:val="20"/>
                <w:szCs w:val="20"/>
              </w:rPr>
              <w:t>Mensual</w:t>
            </w:r>
          </w:p>
          <w:p w14:paraId="6DF69A33" w14:textId="77777777" w:rsidR="004B6E2C" w:rsidRPr="00935B0A" w:rsidRDefault="004B6E2C" w:rsidP="004B6E2C">
            <w:pPr>
              <w:spacing w:before="100" w:after="100"/>
              <w:ind w:right="-30"/>
              <w:jc w:val="center"/>
              <w:rPr>
                <w:rFonts w:ascii="Arial Narrow" w:hAnsi="Arial Narrow"/>
                <w:sz w:val="20"/>
                <w:szCs w:val="20"/>
              </w:rPr>
            </w:pPr>
          </w:p>
        </w:tc>
      </w:tr>
      <w:tr w:rsidR="004B6E2C" w:rsidRPr="00935B0A" w14:paraId="510C4D6B" w14:textId="77777777" w:rsidTr="00097269">
        <w:trPr>
          <w:cantSplit/>
          <w:trHeight w:val="599"/>
        </w:trPr>
        <w:tc>
          <w:tcPr>
            <w:tcW w:w="1830" w:type="dxa"/>
            <w:vMerge/>
            <w:tcBorders>
              <w:left w:val="single" w:sz="6" w:space="0" w:color="auto"/>
              <w:right w:val="single" w:sz="6" w:space="0" w:color="auto"/>
            </w:tcBorders>
          </w:tcPr>
          <w:p w14:paraId="4B8E357F"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29A71378"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w:t>
            </w:r>
          </w:p>
          <w:p w14:paraId="09A29D44"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4-A1</w:t>
            </w:r>
            <w:r w:rsidRPr="00935B0A">
              <w:rPr>
                <w:rFonts w:ascii="Arial Narrow" w:hAnsi="Arial Narrow"/>
                <w:b/>
                <w:sz w:val="20"/>
                <w:szCs w:val="20"/>
                <w:vertAlign w:val="superscript"/>
              </w:rPr>
              <w:t>17.1</w:t>
            </w:r>
          </w:p>
        </w:tc>
        <w:tc>
          <w:tcPr>
            <w:tcW w:w="3060" w:type="dxa"/>
            <w:tcBorders>
              <w:top w:val="single" w:sz="2" w:space="0" w:color="auto"/>
              <w:left w:val="single" w:sz="6" w:space="0" w:color="auto"/>
              <w:bottom w:val="single" w:sz="4" w:space="0" w:color="auto"/>
              <w:right w:val="single" w:sz="6" w:space="0" w:color="auto"/>
            </w:tcBorders>
          </w:tcPr>
          <w:p w14:paraId="3E77F5CC" w14:textId="77777777" w:rsidR="004B6E2C" w:rsidRPr="00935B0A" w:rsidRDefault="00105357" w:rsidP="00BC030E">
            <w:pPr>
              <w:spacing w:before="40" w:after="40"/>
              <w:ind w:left="28" w:right="28"/>
              <w:jc w:val="both"/>
              <w:rPr>
                <w:rFonts w:ascii="Arial Narrow" w:hAnsi="Arial Narrow"/>
                <w:sz w:val="20"/>
                <w:szCs w:val="20"/>
              </w:rPr>
            </w:pPr>
            <w:r w:rsidRPr="00105357">
              <w:rPr>
                <w:rFonts w:ascii="Arial Narrow" w:hAnsi="Arial Narrow"/>
                <w:sz w:val="20"/>
                <w:szCs w:val="20"/>
              </w:rPr>
              <w:t>Requerimiento de Colchón por Ciclo Económico – Empresas que aplican Método Estándar</w:t>
            </w:r>
          </w:p>
        </w:tc>
        <w:tc>
          <w:tcPr>
            <w:tcW w:w="1440" w:type="dxa"/>
            <w:tcBorders>
              <w:top w:val="single" w:sz="2" w:space="0" w:color="auto"/>
              <w:left w:val="single" w:sz="6" w:space="0" w:color="auto"/>
              <w:bottom w:val="single" w:sz="4" w:space="0" w:color="auto"/>
              <w:right w:val="single" w:sz="6" w:space="0" w:color="auto"/>
            </w:tcBorders>
            <w:vAlign w:val="center"/>
          </w:tcPr>
          <w:p w14:paraId="1B1D6083"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604EF91A" w14:textId="77777777" w:rsidTr="00097269">
        <w:trPr>
          <w:cantSplit/>
          <w:trHeight w:val="599"/>
        </w:trPr>
        <w:tc>
          <w:tcPr>
            <w:tcW w:w="1830" w:type="dxa"/>
            <w:vMerge/>
            <w:tcBorders>
              <w:left w:val="single" w:sz="6" w:space="0" w:color="auto"/>
              <w:right w:val="single" w:sz="6" w:space="0" w:color="auto"/>
            </w:tcBorders>
          </w:tcPr>
          <w:p w14:paraId="6002D4D1"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67AB32AF"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w:t>
            </w:r>
          </w:p>
          <w:p w14:paraId="2DC45ED5"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4-A2</w:t>
            </w:r>
            <w:r w:rsidRPr="00935B0A">
              <w:rPr>
                <w:rFonts w:ascii="Arial Narrow" w:hAnsi="Arial Narrow"/>
                <w:b/>
                <w:sz w:val="20"/>
                <w:szCs w:val="20"/>
                <w:vertAlign w:val="superscript"/>
              </w:rPr>
              <w:t>17.1</w:t>
            </w:r>
          </w:p>
        </w:tc>
        <w:tc>
          <w:tcPr>
            <w:tcW w:w="3060" w:type="dxa"/>
            <w:tcBorders>
              <w:top w:val="single" w:sz="2" w:space="0" w:color="auto"/>
              <w:left w:val="single" w:sz="6" w:space="0" w:color="auto"/>
              <w:bottom w:val="single" w:sz="4" w:space="0" w:color="auto"/>
              <w:right w:val="single" w:sz="6" w:space="0" w:color="auto"/>
            </w:tcBorders>
          </w:tcPr>
          <w:p w14:paraId="6176E380" w14:textId="77777777" w:rsidR="004B6E2C" w:rsidRPr="00935B0A" w:rsidRDefault="00105357" w:rsidP="00BC030E">
            <w:pPr>
              <w:spacing w:before="40" w:after="40"/>
              <w:ind w:left="28" w:right="28"/>
              <w:jc w:val="both"/>
              <w:rPr>
                <w:rFonts w:ascii="Arial Narrow" w:hAnsi="Arial Narrow"/>
                <w:sz w:val="20"/>
                <w:szCs w:val="20"/>
              </w:rPr>
            </w:pPr>
            <w:r w:rsidRPr="00105357">
              <w:rPr>
                <w:rFonts w:ascii="Arial Narrow" w:hAnsi="Arial Narrow"/>
                <w:sz w:val="20"/>
                <w:szCs w:val="20"/>
              </w:rPr>
              <w:t>Requerimiento de Colchón por el Ciclo Económico– Empresas que aplican Método IRB</w:t>
            </w:r>
          </w:p>
        </w:tc>
        <w:tc>
          <w:tcPr>
            <w:tcW w:w="1440" w:type="dxa"/>
            <w:tcBorders>
              <w:top w:val="single" w:sz="2" w:space="0" w:color="auto"/>
              <w:left w:val="single" w:sz="6" w:space="0" w:color="auto"/>
              <w:bottom w:val="single" w:sz="4" w:space="0" w:color="auto"/>
              <w:right w:val="single" w:sz="6" w:space="0" w:color="auto"/>
            </w:tcBorders>
            <w:vAlign w:val="center"/>
          </w:tcPr>
          <w:p w14:paraId="29028256"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51637D77" w14:textId="77777777" w:rsidTr="00097269">
        <w:trPr>
          <w:cantSplit/>
          <w:trHeight w:val="599"/>
        </w:trPr>
        <w:tc>
          <w:tcPr>
            <w:tcW w:w="1830" w:type="dxa"/>
            <w:vMerge/>
            <w:tcBorders>
              <w:left w:val="single" w:sz="6" w:space="0" w:color="auto"/>
              <w:right w:val="single" w:sz="6" w:space="0" w:color="auto"/>
            </w:tcBorders>
          </w:tcPr>
          <w:p w14:paraId="50B74ECF"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23573869"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w:t>
            </w:r>
          </w:p>
          <w:p w14:paraId="641BEC7C"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4-B1</w:t>
            </w:r>
            <w:r w:rsidRPr="00935B0A">
              <w:rPr>
                <w:rFonts w:ascii="Arial Narrow" w:hAnsi="Arial Narrow"/>
                <w:b/>
                <w:sz w:val="20"/>
                <w:szCs w:val="20"/>
                <w:vertAlign w:val="superscript"/>
              </w:rPr>
              <w:t>17.1</w:t>
            </w:r>
          </w:p>
        </w:tc>
        <w:tc>
          <w:tcPr>
            <w:tcW w:w="3060" w:type="dxa"/>
            <w:tcBorders>
              <w:top w:val="single" w:sz="2" w:space="0" w:color="auto"/>
              <w:left w:val="single" w:sz="6" w:space="0" w:color="auto"/>
              <w:bottom w:val="single" w:sz="4" w:space="0" w:color="auto"/>
              <w:right w:val="single" w:sz="6" w:space="0" w:color="auto"/>
            </w:tcBorders>
          </w:tcPr>
          <w:p w14:paraId="1E4C30CF" w14:textId="77777777" w:rsidR="004B6E2C" w:rsidRPr="00935B0A" w:rsidRDefault="00D33CE7" w:rsidP="00BC030E">
            <w:pPr>
              <w:spacing w:before="40" w:after="40"/>
              <w:ind w:left="28" w:right="28"/>
              <w:jc w:val="both"/>
              <w:rPr>
                <w:rFonts w:ascii="Arial Narrow" w:hAnsi="Arial Narrow"/>
                <w:sz w:val="20"/>
                <w:szCs w:val="20"/>
              </w:rPr>
            </w:pPr>
            <w:r w:rsidRPr="00D33CE7">
              <w:rPr>
                <w:rFonts w:ascii="Arial Narrow" w:hAnsi="Arial Narrow"/>
                <w:sz w:val="20"/>
                <w:szCs w:val="20"/>
              </w:rPr>
              <w:t>Requerimiento de Patrimonio Efectivo por Riesgo por Concentración Individual</w:t>
            </w:r>
          </w:p>
        </w:tc>
        <w:tc>
          <w:tcPr>
            <w:tcW w:w="1440" w:type="dxa"/>
            <w:tcBorders>
              <w:top w:val="single" w:sz="2" w:space="0" w:color="auto"/>
              <w:left w:val="single" w:sz="6" w:space="0" w:color="auto"/>
              <w:bottom w:val="single" w:sz="4" w:space="0" w:color="auto"/>
              <w:right w:val="single" w:sz="6" w:space="0" w:color="auto"/>
            </w:tcBorders>
            <w:vAlign w:val="center"/>
          </w:tcPr>
          <w:p w14:paraId="6BF92DEB"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31558F5D" w14:textId="77777777" w:rsidTr="00097269">
        <w:trPr>
          <w:cantSplit/>
          <w:trHeight w:val="599"/>
        </w:trPr>
        <w:tc>
          <w:tcPr>
            <w:tcW w:w="1830" w:type="dxa"/>
            <w:vMerge/>
            <w:tcBorders>
              <w:left w:val="single" w:sz="6" w:space="0" w:color="auto"/>
              <w:right w:val="single" w:sz="6" w:space="0" w:color="auto"/>
            </w:tcBorders>
          </w:tcPr>
          <w:p w14:paraId="70D12A0D"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23471D2D"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w:t>
            </w:r>
          </w:p>
          <w:p w14:paraId="7A3702EA"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4-B2</w:t>
            </w:r>
            <w:r w:rsidRPr="00935B0A">
              <w:rPr>
                <w:rFonts w:ascii="Arial Narrow" w:hAnsi="Arial Narrow"/>
                <w:b/>
                <w:sz w:val="20"/>
                <w:szCs w:val="20"/>
                <w:vertAlign w:val="superscript"/>
              </w:rPr>
              <w:t>17.1</w:t>
            </w:r>
          </w:p>
        </w:tc>
        <w:tc>
          <w:tcPr>
            <w:tcW w:w="3060" w:type="dxa"/>
            <w:tcBorders>
              <w:top w:val="single" w:sz="2" w:space="0" w:color="auto"/>
              <w:left w:val="single" w:sz="6" w:space="0" w:color="auto"/>
              <w:bottom w:val="single" w:sz="4" w:space="0" w:color="auto"/>
              <w:right w:val="single" w:sz="6" w:space="0" w:color="auto"/>
            </w:tcBorders>
          </w:tcPr>
          <w:p w14:paraId="2B77B45C" w14:textId="77777777" w:rsidR="004B6E2C" w:rsidRPr="00935B0A" w:rsidRDefault="00D33CE7" w:rsidP="00BC030E">
            <w:pPr>
              <w:spacing w:before="40" w:after="40"/>
              <w:ind w:left="28" w:right="28"/>
              <w:jc w:val="both"/>
              <w:rPr>
                <w:rFonts w:ascii="Arial Narrow" w:hAnsi="Arial Narrow"/>
                <w:sz w:val="20"/>
                <w:szCs w:val="20"/>
              </w:rPr>
            </w:pPr>
            <w:r w:rsidRPr="00D33CE7">
              <w:rPr>
                <w:rFonts w:ascii="Arial Narrow" w:hAnsi="Arial Narrow"/>
                <w:sz w:val="20"/>
                <w:szCs w:val="20"/>
              </w:rPr>
              <w:t>Requerimiento de Patrimonio Efectivo por Riesgo por Concentración según Sector Económico</w:t>
            </w:r>
          </w:p>
        </w:tc>
        <w:tc>
          <w:tcPr>
            <w:tcW w:w="1440" w:type="dxa"/>
            <w:tcBorders>
              <w:top w:val="single" w:sz="2" w:space="0" w:color="auto"/>
              <w:left w:val="single" w:sz="6" w:space="0" w:color="auto"/>
              <w:bottom w:val="single" w:sz="4" w:space="0" w:color="auto"/>
              <w:right w:val="single" w:sz="6" w:space="0" w:color="auto"/>
            </w:tcBorders>
            <w:vAlign w:val="center"/>
          </w:tcPr>
          <w:p w14:paraId="2A4EEFE3"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1A812B31" w14:textId="77777777" w:rsidTr="00097269">
        <w:trPr>
          <w:cantSplit/>
          <w:trHeight w:val="599"/>
        </w:trPr>
        <w:tc>
          <w:tcPr>
            <w:tcW w:w="1830" w:type="dxa"/>
            <w:vMerge/>
            <w:tcBorders>
              <w:left w:val="single" w:sz="6" w:space="0" w:color="auto"/>
              <w:right w:val="single" w:sz="6" w:space="0" w:color="auto"/>
            </w:tcBorders>
          </w:tcPr>
          <w:p w14:paraId="3A69A998"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029BF8A6"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w:t>
            </w:r>
          </w:p>
          <w:p w14:paraId="349EB645"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4-B3</w:t>
            </w:r>
            <w:r w:rsidRPr="00935B0A">
              <w:rPr>
                <w:rFonts w:ascii="Arial Narrow" w:hAnsi="Arial Narrow"/>
                <w:b/>
                <w:sz w:val="20"/>
                <w:szCs w:val="20"/>
                <w:vertAlign w:val="superscript"/>
              </w:rPr>
              <w:t>17.1</w:t>
            </w:r>
          </w:p>
        </w:tc>
        <w:tc>
          <w:tcPr>
            <w:tcW w:w="3060" w:type="dxa"/>
            <w:tcBorders>
              <w:top w:val="single" w:sz="2" w:space="0" w:color="auto"/>
              <w:left w:val="single" w:sz="6" w:space="0" w:color="auto"/>
              <w:bottom w:val="single" w:sz="4" w:space="0" w:color="auto"/>
              <w:right w:val="single" w:sz="6" w:space="0" w:color="auto"/>
            </w:tcBorders>
          </w:tcPr>
          <w:p w14:paraId="47C3573A" w14:textId="77777777" w:rsidR="004B6E2C" w:rsidRPr="00935B0A" w:rsidRDefault="00D33CE7" w:rsidP="00BC030E">
            <w:pPr>
              <w:spacing w:before="40" w:after="40"/>
              <w:ind w:left="28" w:right="28"/>
              <w:jc w:val="both"/>
              <w:rPr>
                <w:rFonts w:ascii="Arial Narrow" w:hAnsi="Arial Narrow"/>
                <w:sz w:val="20"/>
                <w:szCs w:val="20"/>
              </w:rPr>
            </w:pPr>
            <w:r w:rsidRPr="00D33CE7">
              <w:rPr>
                <w:rFonts w:ascii="Arial Narrow" w:hAnsi="Arial Narrow"/>
                <w:sz w:val="20"/>
                <w:szCs w:val="20"/>
              </w:rPr>
              <w:t>Requerimiento de Patrimonio Efectivo por Riesgo por Concentración Regional</w:t>
            </w:r>
          </w:p>
        </w:tc>
        <w:tc>
          <w:tcPr>
            <w:tcW w:w="1440" w:type="dxa"/>
            <w:tcBorders>
              <w:top w:val="single" w:sz="2" w:space="0" w:color="auto"/>
              <w:left w:val="single" w:sz="6" w:space="0" w:color="auto"/>
              <w:bottom w:val="single" w:sz="4" w:space="0" w:color="auto"/>
              <w:right w:val="single" w:sz="6" w:space="0" w:color="auto"/>
            </w:tcBorders>
            <w:vAlign w:val="center"/>
          </w:tcPr>
          <w:p w14:paraId="2BF6149A"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4B6E2C" w:rsidRPr="00935B0A" w14:paraId="752F276E" w14:textId="77777777" w:rsidTr="00097269">
        <w:trPr>
          <w:cantSplit/>
          <w:trHeight w:val="599"/>
        </w:trPr>
        <w:tc>
          <w:tcPr>
            <w:tcW w:w="1830" w:type="dxa"/>
            <w:vMerge/>
            <w:tcBorders>
              <w:left w:val="single" w:sz="6" w:space="0" w:color="auto"/>
              <w:right w:val="single" w:sz="6" w:space="0" w:color="auto"/>
            </w:tcBorders>
          </w:tcPr>
          <w:p w14:paraId="6862C912" w14:textId="77777777" w:rsidR="004B6E2C" w:rsidRPr="00935B0A" w:rsidRDefault="004B6E2C"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30C8A250"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 xml:space="preserve">Reporte </w:t>
            </w:r>
          </w:p>
          <w:p w14:paraId="1C07AAAF" w14:textId="77777777" w:rsidR="004B6E2C" w:rsidRPr="00935B0A" w:rsidRDefault="004B6E2C" w:rsidP="00BC030E">
            <w:pPr>
              <w:spacing w:before="40"/>
              <w:jc w:val="center"/>
              <w:rPr>
                <w:rFonts w:ascii="Arial Narrow" w:hAnsi="Arial Narrow"/>
                <w:b/>
                <w:sz w:val="20"/>
                <w:szCs w:val="20"/>
              </w:rPr>
            </w:pPr>
            <w:r w:rsidRPr="00935B0A">
              <w:rPr>
                <w:rFonts w:ascii="Arial Narrow" w:hAnsi="Arial Narrow"/>
                <w:b/>
                <w:sz w:val="20"/>
                <w:szCs w:val="20"/>
              </w:rPr>
              <w:t>4-C</w:t>
            </w:r>
            <w:r w:rsidRPr="00935B0A">
              <w:rPr>
                <w:rFonts w:ascii="Arial Narrow" w:hAnsi="Arial Narrow"/>
                <w:b/>
                <w:sz w:val="20"/>
                <w:szCs w:val="20"/>
                <w:vertAlign w:val="superscript"/>
              </w:rPr>
              <w:t>17.1</w:t>
            </w:r>
          </w:p>
        </w:tc>
        <w:tc>
          <w:tcPr>
            <w:tcW w:w="3060" w:type="dxa"/>
            <w:tcBorders>
              <w:top w:val="single" w:sz="2" w:space="0" w:color="auto"/>
              <w:left w:val="single" w:sz="6" w:space="0" w:color="auto"/>
              <w:bottom w:val="single" w:sz="4" w:space="0" w:color="auto"/>
              <w:right w:val="single" w:sz="6" w:space="0" w:color="auto"/>
            </w:tcBorders>
          </w:tcPr>
          <w:p w14:paraId="6D2BCA52" w14:textId="77777777" w:rsidR="004B6E2C" w:rsidRPr="00935B0A" w:rsidRDefault="004B6E2C" w:rsidP="00BC030E">
            <w:pPr>
              <w:spacing w:before="40" w:after="40"/>
              <w:ind w:left="28" w:right="28"/>
              <w:jc w:val="both"/>
              <w:rPr>
                <w:rFonts w:ascii="Arial Narrow" w:hAnsi="Arial Narrow"/>
                <w:sz w:val="20"/>
                <w:szCs w:val="20"/>
              </w:rPr>
            </w:pPr>
            <w:r w:rsidRPr="00935B0A">
              <w:rPr>
                <w:rFonts w:ascii="Arial Narrow" w:hAnsi="Arial Narrow"/>
                <w:sz w:val="20"/>
                <w:szCs w:val="20"/>
              </w:rPr>
              <w:t>Requerimiento de Patrimonio Efectivo por Riesgo de Tasa de Interés en el Libro Bancario (</w:t>
            </w:r>
            <w:proofErr w:type="spellStart"/>
            <w:r w:rsidRPr="00935B0A">
              <w:rPr>
                <w:rFonts w:ascii="Arial Narrow" w:hAnsi="Arial Narrow"/>
                <w:sz w:val="20"/>
                <w:szCs w:val="20"/>
              </w:rPr>
              <w:t>Banking</w:t>
            </w:r>
            <w:proofErr w:type="spellEnd"/>
            <w:r w:rsidRPr="00935B0A">
              <w:rPr>
                <w:rFonts w:ascii="Arial Narrow" w:hAnsi="Arial Narrow"/>
                <w:sz w:val="20"/>
                <w:szCs w:val="20"/>
              </w:rPr>
              <w:t xml:space="preserve"> Book)</w:t>
            </w:r>
          </w:p>
        </w:tc>
        <w:tc>
          <w:tcPr>
            <w:tcW w:w="1440" w:type="dxa"/>
            <w:tcBorders>
              <w:top w:val="single" w:sz="2" w:space="0" w:color="auto"/>
              <w:left w:val="single" w:sz="6" w:space="0" w:color="auto"/>
              <w:bottom w:val="single" w:sz="4" w:space="0" w:color="auto"/>
              <w:right w:val="single" w:sz="6" w:space="0" w:color="auto"/>
            </w:tcBorders>
            <w:vAlign w:val="center"/>
          </w:tcPr>
          <w:p w14:paraId="43FDA852" w14:textId="77777777" w:rsidR="004B6E2C" w:rsidRPr="00935B0A" w:rsidRDefault="004B6E2C" w:rsidP="00BC030E">
            <w:pPr>
              <w:spacing w:before="40"/>
              <w:jc w:val="center"/>
              <w:rPr>
                <w:rFonts w:ascii="Arial Narrow" w:hAnsi="Arial Narrow"/>
                <w:sz w:val="20"/>
                <w:szCs w:val="20"/>
              </w:rPr>
            </w:pPr>
            <w:r w:rsidRPr="00935B0A">
              <w:rPr>
                <w:rFonts w:ascii="Arial Narrow" w:hAnsi="Arial Narrow"/>
                <w:sz w:val="20"/>
                <w:szCs w:val="20"/>
              </w:rPr>
              <w:t>Mensual</w:t>
            </w:r>
          </w:p>
        </w:tc>
      </w:tr>
      <w:tr w:rsidR="000F2FF3" w:rsidRPr="00935B0A" w14:paraId="083DC10F" w14:textId="77777777" w:rsidTr="00097269">
        <w:trPr>
          <w:cantSplit/>
          <w:trHeight w:val="599"/>
        </w:trPr>
        <w:tc>
          <w:tcPr>
            <w:tcW w:w="1830" w:type="dxa"/>
            <w:vMerge/>
            <w:tcBorders>
              <w:left w:val="single" w:sz="6" w:space="0" w:color="auto"/>
              <w:bottom w:val="single" w:sz="4" w:space="0" w:color="auto"/>
              <w:right w:val="single" w:sz="6" w:space="0" w:color="auto"/>
            </w:tcBorders>
          </w:tcPr>
          <w:p w14:paraId="2D089867" w14:textId="77777777" w:rsidR="000F2FF3" w:rsidRPr="00935B0A" w:rsidRDefault="000F2FF3" w:rsidP="00BC030E">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3DCB818F" w14:textId="77777777" w:rsidR="000F2FF3" w:rsidRPr="00935B0A" w:rsidRDefault="000F2FF3" w:rsidP="006A2BF5">
            <w:pPr>
              <w:spacing w:before="40"/>
              <w:jc w:val="center"/>
              <w:rPr>
                <w:rFonts w:ascii="Arial Narrow" w:hAnsi="Arial Narrow"/>
                <w:b/>
                <w:sz w:val="20"/>
                <w:szCs w:val="20"/>
              </w:rPr>
            </w:pPr>
            <w:r w:rsidRPr="00935B0A">
              <w:rPr>
                <w:rFonts w:ascii="Arial Narrow" w:hAnsi="Arial Narrow"/>
                <w:b/>
                <w:sz w:val="20"/>
                <w:szCs w:val="20"/>
              </w:rPr>
              <w:t xml:space="preserve">Reporte </w:t>
            </w:r>
          </w:p>
          <w:p w14:paraId="43361222" w14:textId="77777777" w:rsidR="000F2FF3" w:rsidRPr="00935B0A" w:rsidRDefault="000F2FF3" w:rsidP="006A2BF5">
            <w:pPr>
              <w:spacing w:before="40"/>
              <w:jc w:val="center"/>
              <w:rPr>
                <w:rFonts w:ascii="Arial Narrow" w:hAnsi="Arial Narrow"/>
                <w:b/>
                <w:sz w:val="20"/>
                <w:szCs w:val="20"/>
              </w:rPr>
            </w:pPr>
            <w:r w:rsidRPr="00935B0A">
              <w:rPr>
                <w:rFonts w:ascii="Arial Narrow" w:hAnsi="Arial Narrow"/>
                <w:b/>
                <w:sz w:val="20"/>
                <w:szCs w:val="20"/>
              </w:rPr>
              <w:t>4-D</w:t>
            </w:r>
            <w:r w:rsidRPr="00935B0A">
              <w:rPr>
                <w:rFonts w:ascii="Arial Narrow" w:hAnsi="Arial Narrow"/>
                <w:b/>
                <w:sz w:val="20"/>
                <w:szCs w:val="20"/>
                <w:vertAlign w:val="superscript"/>
              </w:rPr>
              <w:t>17.1</w:t>
            </w:r>
          </w:p>
        </w:tc>
        <w:tc>
          <w:tcPr>
            <w:tcW w:w="3060" w:type="dxa"/>
            <w:tcBorders>
              <w:top w:val="single" w:sz="2" w:space="0" w:color="auto"/>
              <w:left w:val="single" w:sz="6" w:space="0" w:color="auto"/>
              <w:bottom w:val="single" w:sz="4" w:space="0" w:color="auto"/>
              <w:right w:val="single" w:sz="6" w:space="0" w:color="auto"/>
            </w:tcBorders>
          </w:tcPr>
          <w:p w14:paraId="0C626B43" w14:textId="77777777" w:rsidR="000F2FF3" w:rsidRPr="00935B0A" w:rsidRDefault="00D33CE7" w:rsidP="002D5BC9">
            <w:pPr>
              <w:spacing w:before="40" w:after="40"/>
              <w:ind w:left="28" w:right="28"/>
              <w:jc w:val="both"/>
              <w:rPr>
                <w:rFonts w:ascii="Arial Narrow" w:hAnsi="Arial Narrow"/>
                <w:sz w:val="20"/>
                <w:szCs w:val="20"/>
              </w:rPr>
            </w:pPr>
            <w:r w:rsidRPr="00D33CE7">
              <w:rPr>
                <w:rFonts w:ascii="Arial Narrow" w:hAnsi="Arial Narrow"/>
                <w:sz w:val="20"/>
                <w:szCs w:val="20"/>
              </w:rPr>
              <w:t>Resumen de Requerimientos Patrimoniales</w:t>
            </w:r>
          </w:p>
        </w:tc>
        <w:tc>
          <w:tcPr>
            <w:tcW w:w="1440" w:type="dxa"/>
            <w:tcBorders>
              <w:top w:val="single" w:sz="2" w:space="0" w:color="auto"/>
              <w:left w:val="single" w:sz="6" w:space="0" w:color="auto"/>
              <w:bottom w:val="single" w:sz="4" w:space="0" w:color="auto"/>
              <w:right w:val="single" w:sz="6" w:space="0" w:color="auto"/>
            </w:tcBorders>
            <w:vAlign w:val="center"/>
          </w:tcPr>
          <w:p w14:paraId="36B992B3" w14:textId="77777777" w:rsidR="000F2FF3" w:rsidRPr="00935B0A" w:rsidRDefault="000F2FF3" w:rsidP="006A2BF5">
            <w:pPr>
              <w:spacing w:before="40"/>
              <w:jc w:val="center"/>
              <w:rPr>
                <w:rFonts w:ascii="Arial Narrow" w:hAnsi="Arial Narrow"/>
                <w:sz w:val="20"/>
                <w:szCs w:val="20"/>
              </w:rPr>
            </w:pPr>
            <w:r w:rsidRPr="00935B0A">
              <w:rPr>
                <w:rFonts w:ascii="Arial Narrow" w:hAnsi="Arial Narrow"/>
                <w:sz w:val="20"/>
                <w:szCs w:val="20"/>
              </w:rPr>
              <w:t>Mensual</w:t>
            </w:r>
          </w:p>
        </w:tc>
      </w:tr>
      <w:tr w:rsidR="00AC1127" w:rsidRPr="00935B0A" w14:paraId="6ACA58EE" w14:textId="77777777" w:rsidTr="00097269">
        <w:trPr>
          <w:cantSplit/>
          <w:trHeight w:val="599"/>
        </w:trPr>
        <w:tc>
          <w:tcPr>
            <w:tcW w:w="1830" w:type="dxa"/>
            <w:vMerge/>
            <w:tcBorders>
              <w:left w:val="single" w:sz="6" w:space="0" w:color="auto"/>
              <w:bottom w:val="single" w:sz="4" w:space="0" w:color="auto"/>
              <w:right w:val="single" w:sz="6" w:space="0" w:color="auto"/>
            </w:tcBorders>
          </w:tcPr>
          <w:p w14:paraId="442422BB" w14:textId="77777777" w:rsidR="00AC1127" w:rsidRPr="00935B0A" w:rsidRDefault="00AC1127" w:rsidP="00AC1127">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3955484F" w14:textId="77777777" w:rsidR="00AC1127" w:rsidRPr="00935B0A" w:rsidRDefault="00AC1127" w:rsidP="00AC1127">
            <w:pPr>
              <w:spacing w:before="40"/>
              <w:jc w:val="center"/>
              <w:rPr>
                <w:rFonts w:ascii="Arial Narrow" w:hAnsi="Arial Narrow"/>
                <w:b/>
                <w:sz w:val="20"/>
                <w:szCs w:val="20"/>
              </w:rPr>
            </w:pPr>
            <w:r w:rsidRPr="00935B0A">
              <w:rPr>
                <w:rFonts w:ascii="Arial Narrow" w:hAnsi="Arial Narrow"/>
                <w:b/>
                <w:sz w:val="20"/>
                <w:szCs w:val="20"/>
              </w:rPr>
              <w:t xml:space="preserve">Reporte </w:t>
            </w:r>
          </w:p>
          <w:p w14:paraId="17C3D984" w14:textId="77777777" w:rsidR="00AC1127" w:rsidRPr="00935B0A" w:rsidRDefault="00AC1127" w:rsidP="00AC1127">
            <w:pPr>
              <w:spacing w:before="40"/>
              <w:jc w:val="center"/>
              <w:rPr>
                <w:rFonts w:ascii="Arial Narrow" w:hAnsi="Arial Narrow"/>
                <w:b/>
                <w:sz w:val="20"/>
                <w:szCs w:val="20"/>
              </w:rPr>
            </w:pPr>
            <w:r w:rsidRPr="00935B0A">
              <w:rPr>
                <w:rFonts w:ascii="Arial Narrow" w:hAnsi="Arial Narrow"/>
                <w:b/>
                <w:sz w:val="20"/>
                <w:szCs w:val="20"/>
              </w:rPr>
              <w:t>4-</w:t>
            </w:r>
            <w:r>
              <w:rPr>
                <w:rFonts w:ascii="Arial Narrow" w:hAnsi="Arial Narrow"/>
                <w:b/>
                <w:sz w:val="20"/>
                <w:szCs w:val="20"/>
              </w:rPr>
              <w:t>E</w:t>
            </w:r>
            <w:r>
              <w:rPr>
                <w:rFonts w:ascii="Arial Narrow" w:hAnsi="Arial Narrow"/>
                <w:b/>
                <w:sz w:val="20"/>
                <w:szCs w:val="20"/>
                <w:vertAlign w:val="superscript"/>
              </w:rPr>
              <w:t>30</w:t>
            </w:r>
          </w:p>
        </w:tc>
        <w:tc>
          <w:tcPr>
            <w:tcW w:w="3060" w:type="dxa"/>
            <w:tcBorders>
              <w:top w:val="single" w:sz="2" w:space="0" w:color="auto"/>
              <w:left w:val="single" w:sz="6" w:space="0" w:color="auto"/>
              <w:bottom w:val="single" w:sz="4" w:space="0" w:color="auto"/>
              <w:right w:val="single" w:sz="6" w:space="0" w:color="auto"/>
            </w:tcBorders>
          </w:tcPr>
          <w:p w14:paraId="4F7C561F" w14:textId="77777777" w:rsidR="00AC1127" w:rsidRPr="00935B0A" w:rsidRDefault="00AC1127" w:rsidP="00AC1127">
            <w:pPr>
              <w:spacing w:before="40" w:after="40"/>
              <w:ind w:left="28" w:right="28"/>
              <w:jc w:val="both"/>
              <w:rPr>
                <w:rFonts w:ascii="Arial Narrow" w:hAnsi="Arial Narrow"/>
                <w:sz w:val="20"/>
                <w:szCs w:val="20"/>
              </w:rPr>
            </w:pPr>
            <w:r w:rsidRPr="00B707AA">
              <w:rPr>
                <w:rFonts w:ascii="Arial Narrow" w:hAnsi="Arial Narrow"/>
                <w:sz w:val="20"/>
                <w:szCs w:val="20"/>
              </w:rPr>
              <w:t>Información para calcular el Indicador de Riesgo por Concentración de Mercado</w:t>
            </w:r>
          </w:p>
        </w:tc>
        <w:tc>
          <w:tcPr>
            <w:tcW w:w="1440" w:type="dxa"/>
            <w:tcBorders>
              <w:top w:val="single" w:sz="2" w:space="0" w:color="auto"/>
              <w:left w:val="single" w:sz="6" w:space="0" w:color="auto"/>
              <w:bottom w:val="single" w:sz="4" w:space="0" w:color="auto"/>
              <w:right w:val="single" w:sz="6" w:space="0" w:color="auto"/>
            </w:tcBorders>
            <w:vAlign w:val="center"/>
          </w:tcPr>
          <w:p w14:paraId="7000D3CD" w14:textId="77777777" w:rsidR="00AC1127" w:rsidRPr="00935B0A" w:rsidRDefault="00C27CB5" w:rsidP="00AC1127">
            <w:pPr>
              <w:spacing w:before="40"/>
              <w:jc w:val="center"/>
              <w:rPr>
                <w:rFonts w:ascii="Arial Narrow" w:hAnsi="Arial Narrow"/>
                <w:sz w:val="20"/>
                <w:szCs w:val="20"/>
              </w:rPr>
            </w:pPr>
            <w:r w:rsidRPr="00B707AA">
              <w:rPr>
                <w:rFonts w:ascii="Arial Narrow" w:hAnsi="Arial Narrow"/>
                <w:sz w:val="20"/>
                <w:szCs w:val="20"/>
              </w:rPr>
              <w:t>Anual</w:t>
            </w:r>
          </w:p>
        </w:tc>
      </w:tr>
      <w:tr w:rsidR="00105357" w:rsidRPr="00935B0A" w14:paraId="51CFA00C" w14:textId="77777777" w:rsidTr="00097269">
        <w:trPr>
          <w:cantSplit/>
          <w:trHeight w:val="599"/>
        </w:trPr>
        <w:tc>
          <w:tcPr>
            <w:tcW w:w="1830" w:type="dxa"/>
            <w:vMerge/>
            <w:tcBorders>
              <w:left w:val="single" w:sz="6" w:space="0" w:color="auto"/>
              <w:bottom w:val="single" w:sz="4" w:space="0" w:color="auto"/>
              <w:right w:val="single" w:sz="6" w:space="0" w:color="auto"/>
            </w:tcBorders>
          </w:tcPr>
          <w:p w14:paraId="6FC28D3B" w14:textId="77777777" w:rsidR="00105357" w:rsidRPr="00935B0A" w:rsidRDefault="00105357" w:rsidP="0008451F">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15B10A7F" w14:textId="77777777" w:rsidR="00105357" w:rsidRPr="00935B0A" w:rsidRDefault="00105357" w:rsidP="0008451F">
            <w:pPr>
              <w:spacing w:before="40"/>
              <w:jc w:val="center"/>
              <w:rPr>
                <w:rFonts w:ascii="Arial Narrow" w:hAnsi="Arial Narrow"/>
                <w:b/>
                <w:sz w:val="20"/>
                <w:szCs w:val="20"/>
              </w:rPr>
            </w:pPr>
            <w:r>
              <w:rPr>
                <w:rFonts w:ascii="Arial Narrow" w:hAnsi="Arial Narrow"/>
                <w:b/>
                <w:sz w:val="20"/>
                <w:szCs w:val="20"/>
              </w:rPr>
              <w:t>Reporte 4-F</w:t>
            </w:r>
            <w:r>
              <w:rPr>
                <w:rFonts w:ascii="Arial Narrow" w:hAnsi="Arial Narrow"/>
                <w:b/>
                <w:sz w:val="20"/>
                <w:szCs w:val="20"/>
                <w:vertAlign w:val="superscript"/>
              </w:rPr>
              <w:t>32</w:t>
            </w:r>
          </w:p>
        </w:tc>
        <w:tc>
          <w:tcPr>
            <w:tcW w:w="3060" w:type="dxa"/>
            <w:tcBorders>
              <w:top w:val="single" w:sz="2" w:space="0" w:color="auto"/>
              <w:left w:val="single" w:sz="6" w:space="0" w:color="auto"/>
              <w:bottom w:val="single" w:sz="4" w:space="0" w:color="auto"/>
              <w:right w:val="single" w:sz="6" w:space="0" w:color="auto"/>
            </w:tcBorders>
          </w:tcPr>
          <w:p w14:paraId="43EC5991" w14:textId="77777777" w:rsidR="00105357" w:rsidRPr="00935B0A" w:rsidRDefault="00105357" w:rsidP="0008451F">
            <w:pPr>
              <w:spacing w:before="40" w:after="40"/>
              <w:ind w:left="28" w:right="28"/>
              <w:jc w:val="both"/>
              <w:rPr>
                <w:rFonts w:ascii="Arial Narrow" w:hAnsi="Arial Narrow"/>
                <w:sz w:val="20"/>
                <w:szCs w:val="20"/>
              </w:rPr>
            </w:pPr>
            <w:r w:rsidRPr="00105357">
              <w:rPr>
                <w:rFonts w:ascii="Arial Narrow" w:hAnsi="Arial Narrow"/>
                <w:sz w:val="20"/>
                <w:szCs w:val="20"/>
              </w:rPr>
              <w:t>Resumen del Requerimiento de Colchones de Conservación, por Ciclo Económico y por Riesgo por Concentración de Mercado</w:t>
            </w:r>
          </w:p>
        </w:tc>
        <w:tc>
          <w:tcPr>
            <w:tcW w:w="1440" w:type="dxa"/>
            <w:tcBorders>
              <w:top w:val="single" w:sz="2" w:space="0" w:color="auto"/>
              <w:left w:val="single" w:sz="6" w:space="0" w:color="auto"/>
              <w:bottom w:val="single" w:sz="4" w:space="0" w:color="auto"/>
              <w:right w:val="single" w:sz="6" w:space="0" w:color="auto"/>
            </w:tcBorders>
            <w:vAlign w:val="center"/>
          </w:tcPr>
          <w:p w14:paraId="5D34E8B0" w14:textId="77777777" w:rsidR="00105357" w:rsidRPr="00935B0A" w:rsidRDefault="00105357" w:rsidP="0008451F">
            <w:pPr>
              <w:spacing w:before="40"/>
              <w:jc w:val="center"/>
              <w:rPr>
                <w:rFonts w:ascii="Arial Narrow" w:hAnsi="Arial Narrow"/>
                <w:sz w:val="20"/>
                <w:szCs w:val="20"/>
              </w:rPr>
            </w:pPr>
            <w:r>
              <w:rPr>
                <w:rFonts w:ascii="Arial Narrow" w:hAnsi="Arial Narrow"/>
                <w:sz w:val="20"/>
                <w:szCs w:val="20"/>
              </w:rPr>
              <w:t>Mensual</w:t>
            </w:r>
          </w:p>
        </w:tc>
      </w:tr>
      <w:tr w:rsidR="0008451F" w:rsidRPr="00935B0A" w14:paraId="7B68EB6D" w14:textId="77777777" w:rsidTr="00097269">
        <w:trPr>
          <w:cantSplit/>
          <w:trHeight w:val="599"/>
        </w:trPr>
        <w:tc>
          <w:tcPr>
            <w:tcW w:w="1830" w:type="dxa"/>
            <w:vMerge/>
            <w:tcBorders>
              <w:left w:val="single" w:sz="6" w:space="0" w:color="auto"/>
              <w:bottom w:val="single" w:sz="4" w:space="0" w:color="auto"/>
              <w:right w:val="single" w:sz="6" w:space="0" w:color="auto"/>
            </w:tcBorders>
          </w:tcPr>
          <w:p w14:paraId="253BCCB8"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022978F4" w14:textId="77777777" w:rsidR="0008451F" w:rsidRPr="00935B0A" w:rsidRDefault="0008451F" w:rsidP="0008451F">
            <w:pPr>
              <w:spacing w:before="40"/>
              <w:jc w:val="center"/>
              <w:rPr>
                <w:rFonts w:ascii="Arial Narrow" w:hAnsi="Arial Narrow"/>
                <w:b/>
                <w:sz w:val="20"/>
                <w:szCs w:val="20"/>
              </w:rPr>
            </w:pPr>
            <w:r w:rsidRPr="00935B0A">
              <w:rPr>
                <w:rFonts w:ascii="Arial Narrow" w:hAnsi="Arial Narrow"/>
                <w:b/>
                <w:sz w:val="20"/>
                <w:szCs w:val="20"/>
              </w:rPr>
              <w:t xml:space="preserve">Reporte 34 </w:t>
            </w:r>
            <w:r w:rsidRPr="00935B0A">
              <w:rPr>
                <w:rFonts w:ascii="Arial Narrow" w:hAnsi="Arial Narrow"/>
                <w:b/>
                <w:sz w:val="20"/>
                <w:szCs w:val="20"/>
                <w:vertAlign w:val="superscript"/>
              </w:rPr>
              <w:t>17.2</w:t>
            </w:r>
            <w:r w:rsidRPr="00935B0A">
              <w:rPr>
                <w:rFonts w:ascii="Arial Narrow" w:hAnsi="Arial Narrow"/>
                <w:b/>
                <w:sz w:val="20"/>
                <w:szCs w:val="20"/>
              </w:rPr>
              <w:t xml:space="preserve"> </w:t>
            </w:r>
          </w:p>
        </w:tc>
        <w:tc>
          <w:tcPr>
            <w:tcW w:w="3060" w:type="dxa"/>
            <w:tcBorders>
              <w:top w:val="single" w:sz="2" w:space="0" w:color="auto"/>
              <w:left w:val="single" w:sz="6" w:space="0" w:color="auto"/>
              <w:bottom w:val="single" w:sz="4" w:space="0" w:color="auto"/>
              <w:right w:val="single" w:sz="6" w:space="0" w:color="auto"/>
            </w:tcBorders>
          </w:tcPr>
          <w:p w14:paraId="0C11CE68" w14:textId="77777777" w:rsidR="0008451F" w:rsidRPr="00935B0A" w:rsidRDefault="0008451F" w:rsidP="0008451F">
            <w:pPr>
              <w:spacing w:before="40" w:after="40"/>
              <w:ind w:left="28" w:right="28"/>
              <w:jc w:val="both"/>
              <w:rPr>
                <w:rFonts w:ascii="Arial Narrow" w:hAnsi="Arial Narrow"/>
                <w:sz w:val="20"/>
                <w:szCs w:val="20"/>
              </w:rPr>
            </w:pPr>
          </w:p>
        </w:tc>
        <w:tc>
          <w:tcPr>
            <w:tcW w:w="1440" w:type="dxa"/>
            <w:tcBorders>
              <w:top w:val="single" w:sz="2" w:space="0" w:color="auto"/>
              <w:left w:val="single" w:sz="6" w:space="0" w:color="auto"/>
              <w:bottom w:val="single" w:sz="4" w:space="0" w:color="auto"/>
              <w:right w:val="single" w:sz="6" w:space="0" w:color="auto"/>
            </w:tcBorders>
            <w:vAlign w:val="center"/>
          </w:tcPr>
          <w:p w14:paraId="2228343E" w14:textId="77777777" w:rsidR="0008451F" w:rsidRPr="00935B0A" w:rsidRDefault="0008451F" w:rsidP="0008451F">
            <w:pPr>
              <w:spacing w:before="40"/>
              <w:jc w:val="center"/>
              <w:rPr>
                <w:rFonts w:ascii="Arial Narrow" w:hAnsi="Arial Narrow"/>
                <w:sz w:val="20"/>
                <w:szCs w:val="20"/>
              </w:rPr>
            </w:pPr>
          </w:p>
        </w:tc>
      </w:tr>
      <w:tr w:rsidR="0008451F" w:rsidRPr="00935B0A" w14:paraId="61EE26E7" w14:textId="77777777" w:rsidTr="003A5313">
        <w:trPr>
          <w:cantSplit/>
          <w:trHeight w:val="599"/>
        </w:trPr>
        <w:tc>
          <w:tcPr>
            <w:tcW w:w="1830" w:type="dxa"/>
            <w:vMerge/>
            <w:tcBorders>
              <w:left w:val="single" w:sz="6" w:space="0" w:color="auto"/>
              <w:bottom w:val="single" w:sz="4" w:space="0" w:color="auto"/>
              <w:right w:val="single" w:sz="6" w:space="0" w:color="auto"/>
            </w:tcBorders>
          </w:tcPr>
          <w:p w14:paraId="031CBF68"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4" w:space="0" w:color="auto"/>
              <w:right w:val="single" w:sz="6" w:space="0" w:color="auto"/>
            </w:tcBorders>
            <w:vAlign w:val="center"/>
          </w:tcPr>
          <w:p w14:paraId="00E7ABF6" w14:textId="77777777" w:rsidR="0008451F" w:rsidRPr="00935B0A" w:rsidRDefault="0008451F" w:rsidP="0008451F">
            <w:pPr>
              <w:spacing w:before="40"/>
              <w:jc w:val="center"/>
              <w:rPr>
                <w:rFonts w:ascii="Arial Narrow" w:hAnsi="Arial Narrow"/>
                <w:b/>
                <w:sz w:val="20"/>
                <w:szCs w:val="20"/>
              </w:rPr>
            </w:pPr>
            <w:r>
              <w:rPr>
                <w:rFonts w:ascii="Arial Narrow" w:hAnsi="Arial Narrow"/>
                <w:b/>
                <w:sz w:val="20"/>
                <w:szCs w:val="20"/>
              </w:rPr>
              <w:t xml:space="preserve">Reporte 37 </w:t>
            </w:r>
            <w:r w:rsidRPr="00E53D31">
              <w:rPr>
                <w:rFonts w:ascii="Arial Narrow" w:hAnsi="Arial Narrow"/>
                <w:sz w:val="20"/>
                <w:szCs w:val="20"/>
                <w:vertAlign w:val="superscript"/>
              </w:rPr>
              <w:t>3</w:t>
            </w:r>
            <w:r>
              <w:rPr>
                <w:rFonts w:ascii="Arial Narrow" w:hAnsi="Arial Narrow"/>
                <w:sz w:val="20"/>
                <w:szCs w:val="20"/>
                <w:vertAlign w:val="superscript"/>
              </w:rPr>
              <w:t>1</w:t>
            </w:r>
          </w:p>
        </w:tc>
        <w:tc>
          <w:tcPr>
            <w:tcW w:w="3060" w:type="dxa"/>
            <w:tcBorders>
              <w:top w:val="single" w:sz="2" w:space="0" w:color="auto"/>
              <w:left w:val="single" w:sz="6" w:space="0" w:color="auto"/>
              <w:bottom w:val="single" w:sz="4" w:space="0" w:color="auto"/>
              <w:right w:val="single" w:sz="6" w:space="0" w:color="auto"/>
            </w:tcBorders>
            <w:vAlign w:val="center"/>
          </w:tcPr>
          <w:p w14:paraId="52BCB22B" w14:textId="77777777" w:rsidR="0008451F" w:rsidRPr="00935B0A" w:rsidRDefault="0008451F" w:rsidP="0008451F">
            <w:pPr>
              <w:spacing w:before="40" w:after="40"/>
              <w:ind w:left="28" w:right="28"/>
              <w:jc w:val="both"/>
              <w:rPr>
                <w:rFonts w:ascii="Arial Narrow" w:hAnsi="Arial Narrow"/>
                <w:sz w:val="20"/>
                <w:szCs w:val="20"/>
              </w:rPr>
            </w:pPr>
            <w:r>
              <w:rPr>
                <w:rFonts w:ascii="Arial Narrow" w:hAnsi="Arial Narrow"/>
                <w:sz w:val="20"/>
                <w:szCs w:val="20"/>
              </w:rPr>
              <w:t>Ratio de Apalancamiento</w:t>
            </w:r>
          </w:p>
        </w:tc>
        <w:tc>
          <w:tcPr>
            <w:tcW w:w="1440" w:type="dxa"/>
            <w:tcBorders>
              <w:top w:val="single" w:sz="2" w:space="0" w:color="auto"/>
              <w:left w:val="single" w:sz="6" w:space="0" w:color="auto"/>
              <w:bottom w:val="single" w:sz="4" w:space="0" w:color="auto"/>
              <w:right w:val="single" w:sz="6" w:space="0" w:color="auto"/>
            </w:tcBorders>
            <w:vAlign w:val="center"/>
          </w:tcPr>
          <w:p w14:paraId="2C0BF621" w14:textId="77777777" w:rsidR="0008451F" w:rsidRPr="00935B0A" w:rsidRDefault="0008451F" w:rsidP="0008451F">
            <w:pPr>
              <w:spacing w:before="40"/>
              <w:jc w:val="center"/>
              <w:rPr>
                <w:rFonts w:ascii="Arial Narrow" w:hAnsi="Arial Narrow"/>
                <w:sz w:val="20"/>
                <w:szCs w:val="20"/>
              </w:rPr>
            </w:pPr>
            <w:r>
              <w:rPr>
                <w:rFonts w:ascii="Arial Narrow" w:hAnsi="Arial Narrow"/>
                <w:sz w:val="20"/>
                <w:szCs w:val="20"/>
              </w:rPr>
              <w:t>Trimestral</w:t>
            </w:r>
          </w:p>
        </w:tc>
      </w:tr>
      <w:tr w:rsidR="0008451F" w:rsidRPr="00935B0A" w14:paraId="290C17ED" w14:textId="77777777" w:rsidTr="00097269">
        <w:trPr>
          <w:cantSplit/>
          <w:trHeight w:val="456"/>
        </w:trPr>
        <w:tc>
          <w:tcPr>
            <w:tcW w:w="1830" w:type="dxa"/>
            <w:tcBorders>
              <w:top w:val="single" w:sz="4" w:space="0" w:color="auto"/>
              <w:left w:val="single" w:sz="4" w:space="0" w:color="auto"/>
              <w:bottom w:val="single" w:sz="4" w:space="0" w:color="auto"/>
              <w:right w:val="single" w:sz="4" w:space="0" w:color="auto"/>
            </w:tcBorders>
            <w:vAlign w:val="center"/>
          </w:tcPr>
          <w:p w14:paraId="085760BC"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Tipo de Cambio</w:t>
            </w:r>
          </w:p>
        </w:tc>
        <w:tc>
          <w:tcPr>
            <w:tcW w:w="1260" w:type="dxa"/>
            <w:tcBorders>
              <w:top w:val="single" w:sz="4" w:space="0" w:color="auto"/>
              <w:left w:val="nil"/>
              <w:bottom w:val="single" w:sz="4" w:space="0" w:color="auto"/>
              <w:right w:val="single" w:sz="6" w:space="0" w:color="auto"/>
            </w:tcBorders>
            <w:vAlign w:val="center"/>
          </w:tcPr>
          <w:p w14:paraId="1B26C698"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5</w:t>
            </w:r>
          </w:p>
        </w:tc>
        <w:tc>
          <w:tcPr>
            <w:tcW w:w="3060" w:type="dxa"/>
            <w:tcBorders>
              <w:top w:val="single" w:sz="4" w:space="0" w:color="auto"/>
              <w:left w:val="single" w:sz="6" w:space="0" w:color="auto"/>
              <w:bottom w:val="single" w:sz="4" w:space="0" w:color="auto"/>
              <w:right w:val="single" w:sz="6" w:space="0" w:color="auto"/>
            </w:tcBorders>
          </w:tcPr>
          <w:p w14:paraId="399D74D5"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Cotización de Oferta y Demanda de Moneda Extranjera</w:t>
            </w:r>
          </w:p>
          <w:p w14:paraId="6897F162" w14:textId="77777777" w:rsidR="0008451F" w:rsidRPr="00935B0A" w:rsidRDefault="0008451F" w:rsidP="0008451F">
            <w:pPr>
              <w:spacing w:before="100" w:after="100"/>
              <w:ind w:left="28" w:right="28"/>
              <w:jc w:val="both"/>
              <w:rPr>
                <w:rFonts w:ascii="Arial Narrow" w:hAnsi="Arial Narrow"/>
                <w:sz w:val="20"/>
                <w:szCs w:val="20"/>
              </w:rPr>
            </w:pPr>
          </w:p>
        </w:tc>
        <w:tc>
          <w:tcPr>
            <w:tcW w:w="1440" w:type="dxa"/>
            <w:tcBorders>
              <w:top w:val="single" w:sz="4" w:space="0" w:color="auto"/>
              <w:left w:val="single" w:sz="6" w:space="0" w:color="auto"/>
              <w:bottom w:val="single" w:sz="4" w:space="0" w:color="auto"/>
              <w:right w:val="single" w:sz="4" w:space="0" w:color="auto"/>
            </w:tcBorders>
            <w:vAlign w:val="center"/>
          </w:tcPr>
          <w:p w14:paraId="28142CEC"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Diaria</w:t>
            </w:r>
          </w:p>
        </w:tc>
      </w:tr>
      <w:tr w:rsidR="0008451F" w:rsidRPr="00935B0A" w14:paraId="6F494F5D" w14:textId="77777777" w:rsidTr="00097269">
        <w:trPr>
          <w:cantSplit/>
          <w:trHeight w:val="1446"/>
        </w:trPr>
        <w:tc>
          <w:tcPr>
            <w:tcW w:w="1830" w:type="dxa"/>
            <w:tcBorders>
              <w:top w:val="single" w:sz="4" w:space="0" w:color="auto"/>
              <w:left w:val="single" w:sz="4" w:space="0" w:color="auto"/>
              <w:bottom w:val="single" w:sz="4" w:space="0" w:color="auto"/>
              <w:right w:val="single" w:sz="4" w:space="0" w:color="auto"/>
            </w:tcBorders>
            <w:vAlign w:val="center"/>
          </w:tcPr>
          <w:p w14:paraId="4FFEAFCB"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lastRenderedPageBreak/>
              <w:t>Riesgo de Mercado</w:t>
            </w:r>
          </w:p>
          <w:p w14:paraId="78AAF0A2"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4" w:space="0" w:color="auto"/>
              <w:left w:val="nil"/>
              <w:bottom w:val="single" w:sz="4" w:space="0" w:color="auto"/>
              <w:right w:val="single" w:sz="6" w:space="0" w:color="auto"/>
            </w:tcBorders>
            <w:vAlign w:val="center"/>
          </w:tcPr>
          <w:p w14:paraId="50DE7AA6" w14:textId="77777777" w:rsidR="0008451F" w:rsidRPr="00935B0A" w:rsidRDefault="0008451F" w:rsidP="0008451F">
            <w:pPr>
              <w:spacing w:before="40"/>
              <w:jc w:val="center"/>
              <w:rPr>
                <w:rFonts w:ascii="Arial Narrow" w:hAnsi="Arial Narrow"/>
                <w:b/>
                <w:sz w:val="20"/>
                <w:szCs w:val="20"/>
              </w:rPr>
            </w:pPr>
            <w:r w:rsidRPr="00935B0A">
              <w:rPr>
                <w:rFonts w:ascii="Arial Narrow" w:hAnsi="Arial Narrow"/>
                <w:b/>
                <w:sz w:val="20"/>
                <w:szCs w:val="20"/>
              </w:rPr>
              <w:t>Reporte 6-C</w:t>
            </w:r>
            <w:r w:rsidRPr="00935B0A">
              <w:rPr>
                <w:rFonts w:ascii="Arial Narrow" w:hAnsi="Arial Narrow"/>
                <w:b/>
                <w:sz w:val="20"/>
                <w:szCs w:val="20"/>
                <w:vertAlign w:val="superscript"/>
              </w:rPr>
              <w:t>18</w:t>
            </w:r>
          </w:p>
          <w:p w14:paraId="02141FA1" w14:textId="77777777" w:rsidR="0008451F" w:rsidRPr="00935B0A" w:rsidRDefault="0008451F" w:rsidP="0008451F">
            <w:pPr>
              <w:spacing w:before="40"/>
              <w:jc w:val="center"/>
              <w:rPr>
                <w:rFonts w:ascii="Arial Narrow" w:hAnsi="Arial Narrow"/>
                <w:b/>
                <w:sz w:val="20"/>
                <w:szCs w:val="20"/>
              </w:rPr>
            </w:pPr>
          </w:p>
        </w:tc>
        <w:tc>
          <w:tcPr>
            <w:tcW w:w="3060" w:type="dxa"/>
            <w:tcBorders>
              <w:top w:val="single" w:sz="4" w:space="0" w:color="auto"/>
              <w:left w:val="single" w:sz="6" w:space="0" w:color="auto"/>
              <w:bottom w:val="single" w:sz="4" w:space="0" w:color="auto"/>
              <w:right w:val="single" w:sz="6" w:space="0" w:color="auto"/>
            </w:tcBorders>
          </w:tcPr>
          <w:p w14:paraId="590E177D" w14:textId="77777777" w:rsidR="0008451F" w:rsidRPr="00935B0A" w:rsidRDefault="0008451F" w:rsidP="0008451F">
            <w:pPr>
              <w:spacing w:before="40" w:after="40"/>
              <w:ind w:left="28" w:right="28"/>
              <w:jc w:val="both"/>
              <w:rPr>
                <w:rFonts w:ascii="Arial Narrow" w:hAnsi="Arial Narrow"/>
                <w:sz w:val="20"/>
                <w:szCs w:val="20"/>
              </w:rPr>
            </w:pPr>
          </w:p>
          <w:p w14:paraId="0CA7F281" w14:textId="77777777" w:rsidR="0008451F" w:rsidRPr="00935B0A" w:rsidRDefault="0008451F" w:rsidP="0008451F">
            <w:pPr>
              <w:spacing w:before="40" w:after="40"/>
              <w:ind w:left="28" w:right="28"/>
              <w:jc w:val="both"/>
              <w:rPr>
                <w:rFonts w:ascii="Arial Narrow" w:hAnsi="Arial Narrow"/>
                <w:sz w:val="20"/>
                <w:szCs w:val="20"/>
              </w:rPr>
            </w:pPr>
            <w:r w:rsidRPr="00935B0A">
              <w:rPr>
                <w:rFonts w:ascii="Arial Narrow" w:hAnsi="Arial Narrow"/>
                <w:sz w:val="20"/>
                <w:szCs w:val="20"/>
              </w:rPr>
              <w:t>Reporte Diario de Tasas para Productos Financieros Derivados</w:t>
            </w:r>
          </w:p>
          <w:p w14:paraId="220EEC0C" w14:textId="77777777" w:rsidR="0008451F" w:rsidRPr="00935B0A" w:rsidRDefault="0008451F" w:rsidP="0008451F">
            <w:pPr>
              <w:spacing w:before="40" w:after="40"/>
              <w:ind w:left="28" w:right="28"/>
              <w:jc w:val="both"/>
              <w:rPr>
                <w:rFonts w:ascii="Arial Narrow" w:hAnsi="Arial Narrow"/>
                <w:sz w:val="20"/>
                <w:szCs w:val="20"/>
              </w:rPr>
            </w:pPr>
          </w:p>
        </w:tc>
        <w:tc>
          <w:tcPr>
            <w:tcW w:w="1440" w:type="dxa"/>
            <w:tcBorders>
              <w:top w:val="single" w:sz="4" w:space="0" w:color="auto"/>
              <w:left w:val="single" w:sz="6" w:space="0" w:color="auto"/>
              <w:bottom w:val="single" w:sz="4" w:space="0" w:color="auto"/>
              <w:right w:val="single" w:sz="4" w:space="0" w:color="auto"/>
            </w:tcBorders>
            <w:vAlign w:val="center"/>
          </w:tcPr>
          <w:p w14:paraId="31825024" w14:textId="77777777" w:rsidR="0008451F" w:rsidRPr="00935B0A" w:rsidRDefault="0008451F" w:rsidP="0008451F">
            <w:pPr>
              <w:spacing w:before="40"/>
              <w:jc w:val="center"/>
              <w:rPr>
                <w:rFonts w:ascii="Arial Narrow" w:hAnsi="Arial Narrow"/>
                <w:sz w:val="20"/>
                <w:szCs w:val="20"/>
              </w:rPr>
            </w:pPr>
            <w:r w:rsidRPr="00935B0A">
              <w:rPr>
                <w:rFonts w:ascii="Arial Narrow" w:hAnsi="Arial Narrow"/>
                <w:sz w:val="20"/>
                <w:szCs w:val="20"/>
              </w:rPr>
              <w:t>Diaria</w:t>
            </w:r>
          </w:p>
        </w:tc>
      </w:tr>
      <w:tr w:rsidR="0008451F" w:rsidRPr="00935B0A" w14:paraId="543257D8" w14:textId="77777777" w:rsidTr="00097269">
        <w:trPr>
          <w:cantSplit/>
          <w:trHeight w:val="547"/>
        </w:trPr>
        <w:tc>
          <w:tcPr>
            <w:tcW w:w="1830" w:type="dxa"/>
            <w:vMerge w:val="restart"/>
            <w:tcBorders>
              <w:top w:val="single" w:sz="4" w:space="0" w:color="auto"/>
              <w:left w:val="single" w:sz="6" w:space="0" w:color="auto"/>
              <w:right w:val="single" w:sz="6" w:space="0" w:color="auto"/>
            </w:tcBorders>
          </w:tcPr>
          <w:p w14:paraId="6A769E44" w14:textId="77777777" w:rsidR="0008451F" w:rsidRPr="00935B0A" w:rsidRDefault="0008451F" w:rsidP="0008451F">
            <w:pPr>
              <w:pStyle w:val="Ttulo2"/>
              <w:rPr>
                <w:rFonts w:ascii="Arial Narrow" w:hAnsi="Arial Narrow"/>
                <w:sz w:val="20"/>
                <w:szCs w:val="20"/>
              </w:rPr>
            </w:pPr>
          </w:p>
          <w:p w14:paraId="63A27DBA" w14:textId="77777777" w:rsidR="0008451F" w:rsidRPr="00935B0A" w:rsidRDefault="0008451F" w:rsidP="0008451F">
            <w:pPr>
              <w:pStyle w:val="Ttulo2"/>
              <w:rPr>
                <w:rFonts w:ascii="Arial Narrow" w:hAnsi="Arial Narrow"/>
                <w:sz w:val="20"/>
                <w:szCs w:val="20"/>
              </w:rPr>
            </w:pPr>
            <w:r w:rsidRPr="00935B0A">
              <w:rPr>
                <w:rFonts w:ascii="Arial Narrow" w:hAnsi="Arial Narrow"/>
                <w:sz w:val="20"/>
                <w:szCs w:val="20"/>
              </w:rPr>
              <w:t>Transparencia</w:t>
            </w:r>
          </w:p>
          <w:p w14:paraId="6BBE3F67" w14:textId="77777777" w:rsidR="0008451F" w:rsidRPr="00935B0A" w:rsidRDefault="0008451F" w:rsidP="0008451F">
            <w:pPr>
              <w:pStyle w:val="Ttulo2"/>
              <w:rPr>
                <w:rFonts w:ascii="Arial Narrow" w:hAnsi="Arial Narrow"/>
                <w:sz w:val="20"/>
                <w:szCs w:val="20"/>
              </w:rPr>
            </w:pPr>
          </w:p>
          <w:p w14:paraId="7C9355C4" w14:textId="77777777" w:rsidR="0008451F" w:rsidRPr="00935B0A" w:rsidRDefault="0008451F" w:rsidP="0008451F">
            <w:pPr>
              <w:pStyle w:val="Ttulo2"/>
              <w:rPr>
                <w:rFonts w:ascii="Arial Narrow" w:hAnsi="Arial Narrow"/>
                <w:b w:val="0"/>
                <w:sz w:val="20"/>
                <w:szCs w:val="20"/>
              </w:rPr>
            </w:pPr>
          </w:p>
        </w:tc>
        <w:tc>
          <w:tcPr>
            <w:tcW w:w="1260" w:type="dxa"/>
            <w:tcBorders>
              <w:top w:val="single" w:sz="4" w:space="0" w:color="auto"/>
              <w:left w:val="nil"/>
              <w:right w:val="single" w:sz="6" w:space="0" w:color="auto"/>
            </w:tcBorders>
            <w:vAlign w:val="center"/>
          </w:tcPr>
          <w:p w14:paraId="3B4E2A14" w14:textId="77777777" w:rsidR="0008451F" w:rsidRPr="00935B0A" w:rsidRDefault="0008451F" w:rsidP="0008451F">
            <w:pPr>
              <w:spacing w:before="40"/>
              <w:jc w:val="center"/>
              <w:rPr>
                <w:rFonts w:ascii="Arial Narrow" w:hAnsi="Arial Narrow"/>
                <w:b/>
                <w:sz w:val="20"/>
                <w:szCs w:val="20"/>
              </w:rPr>
            </w:pPr>
            <w:r w:rsidRPr="00935B0A">
              <w:rPr>
                <w:rFonts w:ascii="Arial Narrow" w:hAnsi="Arial Narrow"/>
                <w:b/>
                <w:sz w:val="20"/>
                <w:szCs w:val="20"/>
              </w:rPr>
              <w:t>Reporte 6-A</w:t>
            </w:r>
            <w:r w:rsidRPr="00935B0A">
              <w:rPr>
                <w:rFonts w:ascii="Arial Narrow" w:hAnsi="Arial Narrow"/>
                <w:b/>
                <w:sz w:val="20"/>
                <w:szCs w:val="20"/>
                <w:vertAlign w:val="superscript"/>
              </w:rPr>
              <w:t>18</w:t>
            </w:r>
          </w:p>
          <w:p w14:paraId="40B10E11" w14:textId="77777777" w:rsidR="0008451F" w:rsidRPr="00935B0A" w:rsidRDefault="0008451F" w:rsidP="0008451F">
            <w:pPr>
              <w:spacing w:before="40"/>
              <w:jc w:val="center"/>
              <w:rPr>
                <w:rFonts w:ascii="Arial Narrow" w:hAnsi="Arial Narrow"/>
                <w:b/>
                <w:sz w:val="20"/>
                <w:szCs w:val="20"/>
              </w:rPr>
            </w:pPr>
          </w:p>
        </w:tc>
        <w:tc>
          <w:tcPr>
            <w:tcW w:w="3060" w:type="dxa"/>
            <w:tcBorders>
              <w:top w:val="single" w:sz="4" w:space="0" w:color="auto"/>
              <w:left w:val="single" w:sz="6" w:space="0" w:color="auto"/>
              <w:right w:val="single" w:sz="6" w:space="0" w:color="auto"/>
            </w:tcBorders>
          </w:tcPr>
          <w:p w14:paraId="637582FB" w14:textId="77777777" w:rsidR="0008451F" w:rsidRPr="00935B0A" w:rsidRDefault="0008451F" w:rsidP="0008451F">
            <w:pPr>
              <w:spacing w:before="40" w:after="40"/>
              <w:ind w:left="28" w:right="28"/>
              <w:jc w:val="both"/>
              <w:rPr>
                <w:rFonts w:ascii="Arial Narrow" w:hAnsi="Arial Narrow"/>
                <w:sz w:val="20"/>
                <w:szCs w:val="20"/>
              </w:rPr>
            </w:pPr>
            <w:r w:rsidRPr="00935B0A">
              <w:rPr>
                <w:rFonts w:ascii="Arial Narrow" w:hAnsi="Arial Narrow"/>
                <w:sz w:val="20"/>
                <w:szCs w:val="20"/>
              </w:rPr>
              <w:t>Tasas de Interés Activas sobre Saldos</w:t>
            </w:r>
          </w:p>
        </w:tc>
        <w:tc>
          <w:tcPr>
            <w:tcW w:w="1440" w:type="dxa"/>
            <w:tcBorders>
              <w:top w:val="single" w:sz="4" w:space="0" w:color="auto"/>
              <w:left w:val="single" w:sz="6" w:space="0" w:color="auto"/>
              <w:right w:val="single" w:sz="6" w:space="0" w:color="auto"/>
            </w:tcBorders>
            <w:vAlign w:val="center"/>
          </w:tcPr>
          <w:p w14:paraId="2E2ECB19" w14:textId="77777777" w:rsidR="0008451F" w:rsidRPr="00935B0A" w:rsidRDefault="0008451F" w:rsidP="0008451F">
            <w:pPr>
              <w:spacing w:before="40"/>
              <w:jc w:val="center"/>
              <w:rPr>
                <w:rFonts w:ascii="Arial Narrow" w:hAnsi="Arial Narrow"/>
                <w:sz w:val="20"/>
                <w:szCs w:val="20"/>
              </w:rPr>
            </w:pPr>
            <w:r w:rsidRPr="00935B0A">
              <w:rPr>
                <w:rFonts w:ascii="Arial Narrow" w:hAnsi="Arial Narrow"/>
                <w:sz w:val="20"/>
                <w:szCs w:val="20"/>
              </w:rPr>
              <w:t>Diaria</w:t>
            </w:r>
          </w:p>
        </w:tc>
      </w:tr>
      <w:tr w:rsidR="0008451F" w:rsidRPr="00935B0A" w14:paraId="0EB49E24" w14:textId="77777777" w:rsidTr="00097269">
        <w:trPr>
          <w:cantSplit/>
          <w:trHeight w:val="547"/>
        </w:trPr>
        <w:tc>
          <w:tcPr>
            <w:tcW w:w="1830" w:type="dxa"/>
            <w:vMerge/>
            <w:tcBorders>
              <w:left w:val="single" w:sz="6" w:space="0" w:color="auto"/>
              <w:right w:val="single" w:sz="6" w:space="0" w:color="auto"/>
            </w:tcBorders>
          </w:tcPr>
          <w:p w14:paraId="2A60EA8A" w14:textId="77777777" w:rsidR="0008451F" w:rsidRPr="00935B0A" w:rsidRDefault="0008451F" w:rsidP="0008451F">
            <w:pPr>
              <w:pStyle w:val="Ttulo2"/>
              <w:rPr>
                <w:rFonts w:ascii="Arial Narrow" w:hAnsi="Arial Narrow"/>
                <w:b w:val="0"/>
                <w:sz w:val="20"/>
                <w:szCs w:val="20"/>
              </w:rPr>
            </w:pPr>
          </w:p>
        </w:tc>
        <w:tc>
          <w:tcPr>
            <w:tcW w:w="1260" w:type="dxa"/>
            <w:tcBorders>
              <w:top w:val="single" w:sz="2" w:space="0" w:color="auto"/>
              <w:left w:val="nil"/>
              <w:right w:val="single" w:sz="6" w:space="0" w:color="auto"/>
            </w:tcBorders>
            <w:vAlign w:val="center"/>
          </w:tcPr>
          <w:p w14:paraId="63126747" w14:textId="77777777" w:rsidR="0008451F" w:rsidRPr="00935B0A" w:rsidRDefault="0008451F" w:rsidP="0008451F">
            <w:pPr>
              <w:spacing w:before="40"/>
              <w:jc w:val="center"/>
              <w:rPr>
                <w:rFonts w:ascii="Arial Narrow" w:hAnsi="Arial Narrow"/>
                <w:b/>
                <w:sz w:val="20"/>
                <w:szCs w:val="20"/>
              </w:rPr>
            </w:pPr>
            <w:r w:rsidRPr="00935B0A">
              <w:rPr>
                <w:rFonts w:ascii="Arial Narrow" w:hAnsi="Arial Narrow"/>
                <w:b/>
                <w:sz w:val="20"/>
                <w:szCs w:val="20"/>
              </w:rPr>
              <w:t>Reporte 6-B</w:t>
            </w:r>
            <w:r w:rsidRPr="00935B0A">
              <w:rPr>
                <w:rFonts w:ascii="Arial Narrow" w:hAnsi="Arial Narrow"/>
                <w:b/>
                <w:sz w:val="20"/>
                <w:szCs w:val="20"/>
                <w:vertAlign w:val="superscript"/>
              </w:rPr>
              <w:t>18</w:t>
            </w:r>
          </w:p>
          <w:p w14:paraId="54110301" w14:textId="77777777" w:rsidR="0008451F" w:rsidRPr="00935B0A" w:rsidRDefault="0008451F" w:rsidP="0008451F">
            <w:pPr>
              <w:spacing w:before="40"/>
              <w:jc w:val="center"/>
              <w:rPr>
                <w:rFonts w:ascii="Arial Narrow" w:hAnsi="Arial Narrow"/>
                <w:b/>
                <w:sz w:val="20"/>
                <w:szCs w:val="20"/>
              </w:rPr>
            </w:pPr>
          </w:p>
        </w:tc>
        <w:tc>
          <w:tcPr>
            <w:tcW w:w="3060" w:type="dxa"/>
            <w:tcBorders>
              <w:top w:val="single" w:sz="2" w:space="0" w:color="auto"/>
              <w:left w:val="single" w:sz="6" w:space="0" w:color="auto"/>
              <w:right w:val="single" w:sz="6" w:space="0" w:color="auto"/>
            </w:tcBorders>
          </w:tcPr>
          <w:p w14:paraId="2BAD3301" w14:textId="77777777" w:rsidR="0008451F" w:rsidRPr="00935B0A" w:rsidRDefault="0008451F" w:rsidP="0008451F">
            <w:pPr>
              <w:spacing w:before="40" w:after="40"/>
              <w:ind w:left="28" w:right="28"/>
              <w:jc w:val="both"/>
              <w:rPr>
                <w:rFonts w:ascii="Arial Narrow" w:hAnsi="Arial Narrow"/>
                <w:sz w:val="20"/>
                <w:szCs w:val="20"/>
              </w:rPr>
            </w:pPr>
            <w:r w:rsidRPr="00935B0A">
              <w:rPr>
                <w:rFonts w:ascii="Arial Narrow" w:hAnsi="Arial Narrow"/>
                <w:sz w:val="20"/>
                <w:szCs w:val="20"/>
              </w:rPr>
              <w:t>Tasas de Interés Pasivas sobre Saldos</w:t>
            </w:r>
          </w:p>
        </w:tc>
        <w:tc>
          <w:tcPr>
            <w:tcW w:w="1440" w:type="dxa"/>
            <w:tcBorders>
              <w:top w:val="single" w:sz="2" w:space="0" w:color="auto"/>
              <w:left w:val="single" w:sz="6" w:space="0" w:color="auto"/>
              <w:right w:val="single" w:sz="6" w:space="0" w:color="auto"/>
            </w:tcBorders>
            <w:vAlign w:val="center"/>
          </w:tcPr>
          <w:p w14:paraId="2E8A6795" w14:textId="77777777" w:rsidR="0008451F" w:rsidRPr="00935B0A" w:rsidRDefault="0008451F" w:rsidP="0008451F">
            <w:pPr>
              <w:spacing w:before="40"/>
              <w:jc w:val="center"/>
              <w:rPr>
                <w:rFonts w:ascii="Arial Narrow" w:hAnsi="Arial Narrow"/>
                <w:sz w:val="20"/>
                <w:szCs w:val="20"/>
              </w:rPr>
            </w:pPr>
            <w:r w:rsidRPr="00935B0A">
              <w:rPr>
                <w:rFonts w:ascii="Arial Narrow" w:hAnsi="Arial Narrow"/>
                <w:sz w:val="20"/>
                <w:szCs w:val="20"/>
              </w:rPr>
              <w:t>Diaria</w:t>
            </w:r>
          </w:p>
        </w:tc>
      </w:tr>
      <w:tr w:rsidR="0008451F" w:rsidRPr="00935B0A" w14:paraId="1D2F4333" w14:textId="77777777" w:rsidTr="00097269">
        <w:trPr>
          <w:cantSplit/>
          <w:trHeight w:val="547"/>
        </w:trPr>
        <w:tc>
          <w:tcPr>
            <w:tcW w:w="1830" w:type="dxa"/>
            <w:vMerge/>
            <w:tcBorders>
              <w:left w:val="single" w:sz="6" w:space="0" w:color="auto"/>
              <w:right w:val="single" w:sz="6" w:space="0" w:color="auto"/>
            </w:tcBorders>
          </w:tcPr>
          <w:p w14:paraId="42238AD8" w14:textId="77777777" w:rsidR="0008451F" w:rsidRPr="00935B0A" w:rsidRDefault="0008451F" w:rsidP="0008451F">
            <w:pPr>
              <w:pStyle w:val="Ttulo2"/>
              <w:rPr>
                <w:rFonts w:ascii="Arial Narrow" w:hAnsi="Arial Narrow"/>
                <w:b w:val="0"/>
                <w:sz w:val="20"/>
                <w:szCs w:val="20"/>
              </w:rPr>
            </w:pPr>
          </w:p>
        </w:tc>
        <w:tc>
          <w:tcPr>
            <w:tcW w:w="1260" w:type="dxa"/>
            <w:tcBorders>
              <w:top w:val="single" w:sz="2" w:space="0" w:color="auto"/>
              <w:left w:val="nil"/>
              <w:right w:val="single" w:sz="6" w:space="0" w:color="auto"/>
            </w:tcBorders>
            <w:vAlign w:val="center"/>
          </w:tcPr>
          <w:p w14:paraId="68924A0C" w14:textId="77777777" w:rsidR="0008451F" w:rsidRPr="00935B0A" w:rsidRDefault="0008451F" w:rsidP="0008451F">
            <w:pPr>
              <w:spacing w:before="40"/>
              <w:jc w:val="center"/>
              <w:rPr>
                <w:rFonts w:ascii="Arial Narrow" w:hAnsi="Arial Narrow"/>
                <w:b/>
                <w:sz w:val="20"/>
                <w:szCs w:val="20"/>
              </w:rPr>
            </w:pPr>
            <w:r w:rsidRPr="00935B0A">
              <w:rPr>
                <w:rFonts w:ascii="Arial Narrow" w:hAnsi="Arial Narrow"/>
                <w:b/>
                <w:sz w:val="20"/>
                <w:szCs w:val="20"/>
              </w:rPr>
              <w:t>Reporte 6-D</w:t>
            </w:r>
            <w:r w:rsidRPr="00935B0A">
              <w:rPr>
                <w:rFonts w:ascii="Arial Narrow" w:hAnsi="Arial Narrow"/>
                <w:b/>
                <w:sz w:val="20"/>
                <w:szCs w:val="20"/>
                <w:vertAlign w:val="superscript"/>
              </w:rPr>
              <w:t>18</w:t>
            </w:r>
          </w:p>
          <w:p w14:paraId="4F2F966F" w14:textId="77777777" w:rsidR="0008451F" w:rsidRPr="00935B0A" w:rsidRDefault="0008451F" w:rsidP="0008451F">
            <w:pPr>
              <w:spacing w:before="40"/>
              <w:jc w:val="center"/>
              <w:rPr>
                <w:rFonts w:ascii="Arial Narrow" w:hAnsi="Arial Narrow"/>
                <w:b/>
                <w:sz w:val="20"/>
                <w:szCs w:val="20"/>
              </w:rPr>
            </w:pPr>
          </w:p>
        </w:tc>
        <w:tc>
          <w:tcPr>
            <w:tcW w:w="3060" w:type="dxa"/>
            <w:tcBorders>
              <w:top w:val="single" w:sz="2" w:space="0" w:color="auto"/>
              <w:left w:val="single" w:sz="6" w:space="0" w:color="auto"/>
              <w:right w:val="single" w:sz="6" w:space="0" w:color="auto"/>
            </w:tcBorders>
          </w:tcPr>
          <w:p w14:paraId="6FAB05A0" w14:textId="77777777" w:rsidR="0008451F" w:rsidRPr="00935B0A" w:rsidRDefault="0008451F" w:rsidP="0008451F">
            <w:pPr>
              <w:spacing w:before="40" w:after="40"/>
              <w:ind w:left="28" w:right="28"/>
              <w:jc w:val="both"/>
              <w:rPr>
                <w:rFonts w:ascii="Arial Narrow" w:hAnsi="Arial Narrow"/>
                <w:sz w:val="20"/>
                <w:szCs w:val="20"/>
              </w:rPr>
            </w:pPr>
            <w:r w:rsidRPr="00935B0A">
              <w:rPr>
                <w:rFonts w:ascii="Arial Narrow" w:hAnsi="Arial Narrow"/>
                <w:sz w:val="20"/>
                <w:szCs w:val="20"/>
              </w:rPr>
              <w:t>Tasas de Interés Activas de Operaciones Diarias</w:t>
            </w:r>
          </w:p>
        </w:tc>
        <w:tc>
          <w:tcPr>
            <w:tcW w:w="1440" w:type="dxa"/>
            <w:tcBorders>
              <w:top w:val="single" w:sz="2" w:space="0" w:color="auto"/>
              <w:left w:val="single" w:sz="6" w:space="0" w:color="auto"/>
              <w:right w:val="single" w:sz="6" w:space="0" w:color="auto"/>
            </w:tcBorders>
            <w:vAlign w:val="center"/>
          </w:tcPr>
          <w:p w14:paraId="0F03BB25" w14:textId="77777777" w:rsidR="0008451F" w:rsidRPr="00935B0A" w:rsidRDefault="0008451F" w:rsidP="0008451F">
            <w:pPr>
              <w:spacing w:before="40"/>
              <w:jc w:val="center"/>
              <w:rPr>
                <w:rFonts w:ascii="Arial Narrow" w:hAnsi="Arial Narrow"/>
                <w:sz w:val="20"/>
                <w:szCs w:val="20"/>
              </w:rPr>
            </w:pPr>
            <w:r w:rsidRPr="00935B0A">
              <w:rPr>
                <w:rFonts w:ascii="Arial Narrow" w:hAnsi="Arial Narrow"/>
                <w:sz w:val="20"/>
                <w:szCs w:val="20"/>
              </w:rPr>
              <w:t>Diaria</w:t>
            </w:r>
          </w:p>
        </w:tc>
      </w:tr>
      <w:tr w:rsidR="0008451F" w:rsidRPr="00935B0A" w14:paraId="04D9A011" w14:textId="77777777" w:rsidTr="00097269">
        <w:trPr>
          <w:cantSplit/>
          <w:trHeight w:val="719"/>
        </w:trPr>
        <w:tc>
          <w:tcPr>
            <w:tcW w:w="1830" w:type="dxa"/>
            <w:vMerge/>
            <w:tcBorders>
              <w:left w:val="single" w:sz="6" w:space="0" w:color="auto"/>
              <w:right w:val="single" w:sz="6" w:space="0" w:color="auto"/>
            </w:tcBorders>
          </w:tcPr>
          <w:p w14:paraId="3931BD51" w14:textId="77777777" w:rsidR="0008451F" w:rsidRPr="00935B0A" w:rsidRDefault="0008451F" w:rsidP="0008451F">
            <w:pPr>
              <w:pStyle w:val="Ttulo2"/>
              <w:rPr>
                <w:rFonts w:ascii="Arial Narrow" w:hAnsi="Arial Narrow"/>
                <w:b w:val="0"/>
                <w:sz w:val="20"/>
                <w:szCs w:val="20"/>
              </w:rPr>
            </w:pPr>
          </w:p>
        </w:tc>
        <w:tc>
          <w:tcPr>
            <w:tcW w:w="1260" w:type="dxa"/>
            <w:tcBorders>
              <w:top w:val="single" w:sz="2" w:space="0" w:color="auto"/>
              <w:left w:val="nil"/>
              <w:bottom w:val="single" w:sz="2" w:space="0" w:color="auto"/>
              <w:right w:val="single" w:sz="6" w:space="0" w:color="auto"/>
            </w:tcBorders>
            <w:vAlign w:val="center"/>
          </w:tcPr>
          <w:p w14:paraId="44389255" w14:textId="77777777" w:rsidR="0008451F" w:rsidRPr="00935B0A" w:rsidRDefault="0008451F" w:rsidP="0008451F">
            <w:pPr>
              <w:spacing w:before="40"/>
              <w:jc w:val="center"/>
              <w:rPr>
                <w:rFonts w:ascii="Arial Narrow" w:hAnsi="Arial Narrow"/>
                <w:b/>
                <w:sz w:val="20"/>
                <w:szCs w:val="20"/>
              </w:rPr>
            </w:pPr>
            <w:r w:rsidRPr="00935B0A">
              <w:rPr>
                <w:rFonts w:ascii="Arial Narrow" w:hAnsi="Arial Narrow"/>
                <w:b/>
                <w:sz w:val="20"/>
                <w:szCs w:val="20"/>
              </w:rPr>
              <w:t>Reporte 6-E</w:t>
            </w:r>
            <w:r w:rsidRPr="00935B0A">
              <w:rPr>
                <w:rFonts w:ascii="Arial Narrow" w:hAnsi="Arial Narrow"/>
                <w:b/>
                <w:sz w:val="20"/>
                <w:szCs w:val="20"/>
                <w:vertAlign w:val="superscript"/>
              </w:rPr>
              <w:t>18</w:t>
            </w:r>
          </w:p>
          <w:p w14:paraId="4952B2C7" w14:textId="77777777" w:rsidR="0008451F" w:rsidRPr="00935B0A" w:rsidRDefault="0008451F" w:rsidP="0008451F">
            <w:pPr>
              <w:spacing w:before="40"/>
              <w:jc w:val="center"/>
              <w:rPr>
                <w:rFonts w:ascii="Arial Narrow" w:hAnsi="Arial Narrow"/>
                <w:b/>
                <w:sz w:val="20"/>
                <w:szCs w:val="20"/>
              </w:rPr>
            </w:pPr>
          </w:p>
        </w:tc>
        <w:tc>
          <w:tcPr>
            <w:tcW w:w="3060" w:type="dxa"/>
            <w:tcBorders>
              <w:top w:val="single" w:sz="2" w:space="0" w:color="auto"/>
              <w:left w:val="single" w:sz="6" w:space="0" w:color="auto"/>
              <w:bottom w:val="single" w:sz="2" w:space="0" w:color="auto"/>
              <w:right w:val="single" w:sz="6" w:space="0" w:color="auto"/>
            </w:tcBorders>
          </w:tcPr>
          <w:p w14:paraId="04A1455A" w14:textId="77777777" w:rsidR="0008451F" w:rsidRPr="00935B0A" w:rsidRDefault="0008451F" w:rsidP="0008451F">
            <w:pPr>
              <w:spacing w:before="40" w:after="40"/>
              <w:ind w:left="28" w:right="28"/>
              <w:jc w:val="both"/>
              <w:rPr>
                <w:rFonts w:ascii="Arial Narrow" w:hAnsi="Arial Narrow"/>
                <w:sz w:val="20"/>
                <w:szCs w:val="20"/>
              </w:rPr>
            </w:pPr>
            <w:r w:rsidRPr="00935B0A">
              <w:rPr>
                <w:rFonts w:ascii="Arial Narrow" w:hAnsi="Arial Narrow"/>
                <w:sz w:val="20"/>
                <w:szCs w:val="20"/>
              </w:rPr>
              <w:t>Tasas de Interés Pasivas de Operaciones Diarias</w:t>
            </w:r>
          </w:p>
        </w:tc>
        <w:tc>
          <w:tcPr>
            <w:tcW w:w="1440" w:type="dxa"/>
            <w:tcBorders>
              <w:top w:val="single" w:sz="2" w:space="0" w:color="auto"/>
              <w:left w:val="single" w:sz="6" w:space="0" w:color="auto"/>
              <w:bottom w:val="single" w:sz="2" w:space="0" w:color="auto"/>
              <w:right w:val="single" w:sz="6" w:space="0" w:color="auto"/>
            </w:tcBorders>
            <w:vAlign w:val="center"/>
          </w:tcPr>
          <w:p w14:paraId="39EE44FE" w14:textId="77777777" w:rsidR="0008451F" w:rsidRPr="00935B0A" w:rsidRDefault="0008451F" w:rsidP="0008451F">
            <w:pPr>
              <w:spacing w:before="40"/>
              <w:jc w:val="center"/>
              <w:rPr>
                <w:rFonts w:ascii="Arial Narrow" w:hAnsi="Arial Narrow"/>
                <w:sz w:val="20"/>
                <w:szCs w:val="20"/>
              </w:rPr>
            </w:pPr>
            <w:r w:rsidRPr="00935B0A">
              <w:rPr>
                <w:rFonts w:ascii="Arial Narrow" w:hAnsi="Arial Narrow"/>
                <w:sz w:val="20"/>
                <w:szCs w:val="20"/>
              </w:rPr>
              <w:t>Diaria</w:t>
            </w:r>
          </w:p>
        </w:tc>
      </w:tr>
      <w:tr w:rsidR="0008451F" w:rsidRPr="00935B0A" w14:paraId="5A096D7E" w14:textId="77777777" w:rsidTr="00097269">
        <w:trPr>
          <w:cantSplit/>
          <w:trHeight w:val="360"/>
        </w:trPr>
        <w:tc>
          <w:tcPr>
            <w:tcW w:w="1830" w:type="dxa"/>
            <w:vMerge w:val="restart"/>
            <w:tcBorders>
              <w:top w:val="single" w:sz="4" w:space="0" w:color="auto"/>
              <w:left w:val="single" w:sz="6" w:space="0" w:color="auto"/>
              <w:right w:val="single" w:sz="6" w:space="0" w:color="auto"/>
            </w:tcBorders>
            <w:vAlign w:val="center"/>
          </w:tcPr>
          <w:p w14:paraId="2BDE4CD9"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Riesgo de Crédito</w:t>
            </w:r>
          </w:p>
        </w:tc>
        <w:tc>
          <w:tcPr>
            <w:tcW w:w="1260" w:type="dxa"/>
            <w:tcBorders>
              <w:top w:val="single" w:sz="4" w:space="0" w:color="auto"/>
              <w:left w:val="single" w:sz="6" w:space="0" w:color="auto"/>
              <w:bottom w:val="single" w:sz="2" w:space="0" w:color="auto"/>
              <w:right w:val="single" w:sz="6" w:space="0" w:color="auto"/>
            </w:tcBorders>
            <w:vAlign w:val="center"/>
          </w:tcPr>
          <w:p w14:paraId="0A36DBCE"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w:t>
            </w:r>
            <w:proofErr w:type="gramStart"/>
            <w:r w:rsidRPr="00935B0A">
              <w:rPr>
                <w:rFonts w:ascii="Arial Narrow" w:hAnsi="Arial Narrow"/>
                <w:b/>
                <w:sz w:val="20"/>
                <w:szCs w:val="20"/>
              </w:rPr>
              <w:t>7</w:t>
            </w:r>
            <w:r w:rsidRPr="00935B0A">
              <w:rPr>
                <w:rFonts w:ascii="Arial Narrow" w:hAnsi="Arial Narrow"/>
                <w:b/>
                <w:sz w:val="20"/>
                <w:szCs w:val="20"/>
                <w:vertAlign w:val="superscript"/>
              </w:rPr>
              <w:t xml:space="preserve">  19</w:t>
            </w:r>
            <w:proofErr w:type="gramEnd"/>
          </w:p>
        </w:tc>
        <w:tc>
          <w:tcPr>
            <w:tcW w:w="3060" w:type="dxa"/>
            <w:tcBorders>
              <w:top w:val="single" w:sz="4" w:space="0" w:color="auto"/>
              <w:left w:val="single" w:sz="6" w:space="0" w:color="auto"/>
              <w:bottom w:val="single" w:sz="2" w:space="0" w:color="auto"/>
              <w:right w:val="single" w:sz="6" w:space="0" w:color="auto"/>
            </w:tcBorders>
          </w:tcPr>
          <w:p w14:paraId="759B1F6F"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Tarjetas de Crédito</w:t>
            </w:r>
          </w:p>
        </w:tc>
        <w:tc>
          <w:tcPr>
            <w:tcW w:w="1440" w:type="dxa"/>
            <w:tcBorders>
              <w:top w:val="single" w:sz="4" w:space="0" w:color="auto"/>
              <w:left w:val="single" w:sz="6" w:space="0" w:color="auto"/>
              <w:bottom w:val="single" w:sz="2" w:space="0" w:color="auto"/>
              <w:right w:val="single" w:sz="6" w:space="0" w:color="auto"/>
            </w:tcBorders>
            <w:vAlign w:val="center"/>
          </w:tcPr>
          <w:p w14:paraId="5B11EEF7"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4ACFF8CC" w14:textId="77777777" w:rsidTr="00097269">
        <w:trPr>
          <w:cantSplit/>
          <w:trHeight w:val="360"/>
        </w:trPr>
        <w:tc>
          <w:tcPr>
            <w:tcW w:w="1830" w:type="dxa"/>
            <w:vMerge/>
            <w:tcBorders>
              <w:left w:val="single" w:sz="6" w:space="0" w:color="auto"/>
              <w:right w:val="single" w:sz="6" w:space="0" w:color="auto"/>
            </w:tcBorders>
          </w:tcPr>
          <w:p w14:paraId="36BA6CF7"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right w:val="single" w:sz="6" w:space="0" w:color="auto"/>
            </w:tcBorders>
            <w:vAlign w:val="center"/>
          </w:tcPr>
          <w:p w14:paraId="28F312AE"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8 </w:t>
            </w:r>
            <w:r w:rsidRPr="00935B0A">
              <w:rPr>
                <w:rFonts w:ascii="Arial Narrow" w:hAnsi="Arial Narrow"/>
                <w:b/>
                <w:sz w:val="20"/>
                <w:szCs w:val="20"/>
                <w:vertAlign w:val="superscript"/>
              </w:rPr>
              <w:t>19.1</w:t>
            </w:r>
          </w:p>
        </w:tc>
        <w:tc>
          <w:tcPr>
            <w:tcW w:w="3060" w:type="dxa"/>
            <w:tcBorders>
              <w:top w:val="single" w:sz="2" w:space="0" w:color="auto"/>
              <w:left w:val="single" w:sz="6" w:space="0" w:color="auto"/>
              <w:right w:val="single" w:sz="6" w:space="0" w:color="auto"/>
            </w:tcBorders>
          </w:tcPr>
          <w:p w14:paraId="1020539D"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Registro de Cuentas Corrientes y Rectificaciones (*)</w:t>
            </w:r>
          </w:p>
        </w:tc>
        <w:tc>
          <w:tcPr>
            <w:tcW w:w="1440" w:type="dxa"/>
            <w:tcBorders>
              <w:top w:val="single" w:sz="2" w:space="0" w:color="auto"/>
              <w:left w:val="single" w:sz="6" w:space="0" w:color="auto"/>
              <w:right w:val="single" w:sz="6" w:space="0" w:color="auto"/>
            </w:tcBorders>
            <w:vAlign w:val="center"/>
          </w:tcPr>
          <w:p w14:paraId="43345C91"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1CE073D9" w14:textId="77777777" w:rsidTr="00097269">
        <w:trPr>
          <w:cantSplit/>
          <w:trHeight w:val="547"/>
        </w:trPr>
        <w:tc>
          <w:tcPr>
            <w:tcW w:w="1830" w:type="dxa"/>
            <w:vMerge/>
            <w:tcBorders>
              <w:left w:val="single" w:sz="6" w:space="0" w:color="auto"/>
              <w:right w:val="single" w:sz="6" w:space="0" w:color="auto"/>
            </w:tcBorders>
          </w:tcPr>
          <w:p w14:paraId="278886F3"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2" w:space="0" w:color="auto"/>
              <w:left w:val="single" w:sz="6" w:space="0" w:color="auto"/>
              <w:bottom w:val="single" w:sz="6" w:space="0" w:color="auto"/>
              <w:right w:val="single" w:sz="6" w:space="0" w:color="auto"/>
            </w:tcBorders>
            <w:vAlign w:val="center"/>
          </w:tcPr>
          <w:p w14:paraId="3BADCDC7"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9</w:t>
            </w:r>
          </w:p>
        </w:tc>
        <w:tc>
          <w:tcPr>
            <w:tcW w:w="3060" w:type="dxa"/>
            <w:tcBorders>
              <w:top w:val="single" w:sz="2" w:space="0" w:color="auto"/>
              <w:left w:val="single" w:sz="6" w:space="0" w:color="auto"/>
              <w:bottom w:val="single" w:sz="6" w:space="0" w:color="auto"/>
              <w:right w:val="single" w:sz="6" w:space="0" w:color="auto"/>
            </w:tcBorders>
          </w:tcPr>
          <w:p w14:paraId="15BC194C"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Relación de Cuentas Corrientes Cerradas por Giros de Cheques sin Fondos (**)</w:t>
            </w:r>
          </w:p>
        </w:tc>
        <w:tc>
          <w:tcPr>
            <w:tcW w:w="1440" w:type="dxa"/>
            <w:tcBorders>
              <w:top w:val="single" w:sz="2" w:space="0" w:color="auto"/>
              <w:left w:val="single" w:sz="6" w:space="0" w:color="auto"/>
              <w:bottom w:val="single" w:sz="6" w:space="0" w:color="auto"/>
              <w:right w:val="single" w:sz="6" w:space="0" w:color="auto"/>
            </w:tcBorders>
            <w:vAlign w:val="center"/>
          </w:tcPr>
          <w:p w14:paraId="6C232F74"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67C8D4B6" w14:textId="77777777" w:rsidTr="00097269">
        <w:trPr>
          <w:cantSplit/>
          <w:trHeight w:val="440"/>
        </w:trPr>
        <w:tc>
          <w:tcPr>
            <w:tcW w:w="1830" w:type="dxa"/>
            <w:vMerge/>
            <w:tcBorders>
              <w:left w:val="single" w:sz="6" w:space="0" w:color="auto"/>
              <w:right w:val="single" w:sz="6" w:space="0" w:color="auto"/>
            </w:tcBorders>
          </w:tcPr>
          <w:p w14:paraId="69C9054D"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left w:val="single" w:sz="6" w:space="0" w:color="auto"/>
              <w:bottom w:val="single" w:sz="6" w:space="0" w:color="auto"/>
              <w:right w:val="single" w:sz="6" w:space="0" w:color="auto"/>
            </w:tcBorders>
            <w:vAlign w:val="center"/>
          </w:tcPr>
          <w:p w14:paraId="5FDD4106"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14</w:t>
            </w:r>
            <w:r>
              <w:rPr>
                <w:rFonts w:ascii="Arial Narrow" w:hAnsi="Arial Narrow"/>
                <w:b/>
                <w:sz w:val="20"/>
                <w:szCs w:val="20"/>
              </w:rPr>
              <w:t xml:space="preserve"> </w:t>
            </w:r>
            <w:r w:rsidRPr="0008451F">
              <w:rPr>
                <w:rFonts w:ascii="Arial Narrow" w:hAnsi="Arial Narrow"/>
                <w:sz w:val="20"/>
                <w:szCs w:val="20"/>
                <w:vertAlign w:val="superscript"/>
              </w:rPr>
              <w:t>20</w:t>
            </w:r>
          </w:p>
        </w:tc>
        <w:tc>
          <w:tcPr>
            <w:tcW w:w="3060" w:type="dxa"/>
            <w:tcBorders>
              <w:left w:val="single" w:sz="6" w:space="0" w:color="auto"/>
              <w:bottom w:val="single" w:sz="6" w:space="0" w:color="auto"/>
              <w:right w:val="single" w:sz="6" w:space="0" w:color="auto"/>
            </w:tcBorders>
          </w:tcPr>
          <w:p w14:paraId="46146C27"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Créditos Según Días de Incumplimiento</w:t>
            </w:r>
          </w:p>
        </w:tc>
        <w:tc>
          <w:tcPr>
            <w:tcW w:w="1440" w:type="dxa"/>
            <w:tcBorders>
              <w:left w:val="single" w:sz="6" w:space="0" w:color="auto"/>
              <w:bottom w:val="single" w:sz="6" w:space="0" w:color="auto"/>
              <w:right w:val="single" w:sz="6" w:space="0" w:color="auto"/>
            </w:tcBorders>
            <w:vAlign w:val="center"/>
          </w:tcPr>
          <w:p w14:paraId="1886005E"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5A5FCFE1" w14:textId="77777777" w:rsidTr="00097269">
        <w:trPr>
          <w:cantSplit/>
          <w:trHeight w:val="500"/>
        </w:trPr>
        <w:tc>
          <w:tcPr>
            <w:tcW w:w="1830" w:type="dxa"/>
            <w:vMerge/>
            <w:tcBorders>
              <w:left w:val="single" w:sz="6" w:space="0" w:color="auto"/>
              <w:right w:val="single" w:sz="6" w:space="0" w:color="auto"/>
            </w:tcBorders>
            <w:vAlign w:val="center"/>
          </w:tcPr>
          <w:p w14:paraId="1E953DA9"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5E6B3351" w14:textId="56E67A6E" w:rsidR="0008451F" w:rsidRPr="00AC1373" w:rsidRDefault="0008451F" w:rsidP="00AC1373">
            <w:pPr>
              <w:spacing w:before="100" w:after="100"/>
              <w:ind w:right="-30"/>
              <w:jc w:val="center"/>
              <w:rPr>
                <w:rFonts w:ascii="Arial Narrow" w:hAnsi="Arial Narrow"/>
                <w:b/>
                <w:sz w:val="20"/>
                <w:szCs w:val="20"/>
              </w:rPr>
            </w:pPr>
            <w:r w:rsidRPr="00935B0A">
              <w:rPr>
                <w:rFonts w:ascii="Arial Narrow" w:hAnsi="Arial Narrow"/>
                <w:b/>
                <w:sz w:val="20"/>
                <w:szCs w:val="20"/>
              </w:rPr>
              <w:t>Reporte 25</w:t>
            </w:r>
            <w:r>
              <w:rPr>
                <w:rFonts w:ascii="Arial Narrow" w:hAnsi="Arial Narrow"/>
                <w:b/>
                <w:sz w:val="20"/>
                <w:szCs w:val="20"/>
              </w:rPr>
              <w:t xml:space="preserve"> </w:t>
            </w:r>
            <w:r w:rsidRPr="00373BAF">
              <w:rPr>
                <w:rFonts w:ascii="Arial Narrow" w:hAnsi="Arial Narrow"/>
                <w:sz w:val="20"/>
                <w:szCs w:val="20"/>
                <w:vertAlign w:val="superscript"/>
              </w:rPr>
              <w:t>21</w:t>
            </w:r>
          </w:p>
          <w:p w14:paraId="519C89BC" w14:textId="77777777" w:rsidR="0008451F" w:rsidRPr="00935B0A" w:rsidRDefault="0008451F" w:rsidP="0008451F">
            <w:pPr>
              <w:spacing w:before="100" w:after="100"/>
              <w:ind w:right="-30"/>
              <w:jc w:val="center"/>
              <w:rPr>
                <w:rFonts w:ascii="Arial Narrow" w:hAnsi="Arial Narrow"/>
                <w:b/>
                <w:sz w:val="20"/>
                <w:szCs w:val="20"/>
                <w:vertAlign w:val="superscript"/>
              </w:rPr>
            </w:pPr>
          </w:p>
        </w:tc>
        <w:tc>
          <w:tcPr>
            <w:tcW w:w="3060" w:type="dxa"/>
            <w:tcBorders>
              <w:top w:val="single" w:sz="6" w:space="0" w:color="auto"/>
              <w:left w:val="single" w:sz="6" w:space="0" w:color="auto"/>
              <w:bottom w:val="single" w:sz="6" w:space="0" w:color="auto"/>
              <w:right w:val="single" w:sz="6" w:space="0" w:color="auto"/>
            </w:tcBorders>
          </w:tcPr>
          <w:p w14:paraId="7D5CCCEE" w14:textId="77777777" w:rsidR="0008451F" w:rsidRPr="00935B0A" w:rsidRDefault="0008451F" w:rsidP="0008451F">
            <w:pPr>
              <w:spacing w:before="100" w:after="100"/>
              <w:ind w:right="28"/>
              <w:jc w:val="both"/>
              <w:rPr>
                <w:rFonts w:ascii="Arial Narrow" w:hAnsi="Arial Narrow"/>
                <w:sz w:val="20"/>
                <w:szCs w:val="20"/>
              </w:rPr>
            </w:pPr>
            <w:r w:rsidRPr="00935B0A">
              <w:rPr>
                <w:rFonts w:ascii="Arial Narrow" w:hAnsi="Arial Narrow"/>
                <w:sz w:val="20"/>
                <w:szCs w:val="20"/>
              </w:rPr>
              <w:t xml:space="preserve">Información de Transferencias de Cartera Crediticia, Castigos y </w:t>
            </w:r>
            <w:proofErr w:type="gramStart"/>
            <w:r w:rsidRPr="00935B0A">
              <w:rPr>
                <w:rFonts w:ascii="Arial Narrow" w:hAnsi="Arial Narrow"/>
                <w:sz w:val="20"/>
                <w:szCs w:val="20"/>
              </w:rPr>
              <w:t>Condonaciones  de</w:t>
            </w:r>
            <w:proofErr w:type="gramEnd"/>
            <w:r w:rsidRPr="00935B0A">
              <w:rPr>
                <w:rFonts w:ascii="Arial Narrow" w:hAnsi="Arial Narrow"/>
                <w:sz w:val="20"/>
                <w:szCs w:val="20"/>
              </w:rPr>
              <w:t xml:space="preserve"> Créditos</w:t>
            </w:r>
          </w:p>
        </w:tc>
        <w:tc>
          <w:tcPr>
            <w:tcW w:w="1440" w:type="dxa"/>
            <w:tcBorders>
              <w:top w:val="single" w:sz="6" w:space="0" w:color="auto"/>
              <w:left w:val="single" w:sz="6" w:space="0" w:color="auto"/>
              <w:bottom w:val="single" w:sz="6" w:space="0" w:color="auto"/>
              <w:right w:val="single" w:sz="6" w:space="0" w:color="auto"/>
            </w:tcBorders>
            <w:vAlign w:val="center"/>
          </w:tcPr>
          <w:p w14:paraId="6C2ECC48"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743C5BCC" w14:textId="77777777" w:rsidTr="00097269">
        <w:trPr>
          <w:cantSplit/>
          <w:trHeight w:val="500"/>
        </w:trPr>
        <w:tc>
          <w:tcPr>
            <w:tcW w:w="1830" w:type="dxa"/>
            <w:vMerge/>
            <w:tcBorders>
              <w:left w:val="single" w:sz="6" w:space="0" w:color="auto"/>
              <w:right w:val="single" w:sz="6" w:space="0" w:color="auto"/>
            </w:tcBorders>
            <w:vAlign w:val="center"/>
          </w:tcPr>
          <w:p w14:paraId="28B6CFF8"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8551FC9" w14:textId="77777777" w:rsidR="0008451F" w:rsidRPr="00935B0A" w:rsidRDefault="0008451F" w:rsidP="0008451F">
            <w:pPr>
              <w:spacing w:before="100" w:after="100"/>
              <w:ind w:right="-30"/>
              <w:jc w:val="center"/>
              <w:rPr>
                <w:rFonts w:ascii="Arial Narrow" w:hAnsi="Arial Narrow"/>
                <w:b/>
                <w:sz w:val="20"/>
                <w:szCs w:val="20"/>
                <w:vertAlign w:val="superscript"/>
              </w:rPr>
            </w:pPr>
            <w:r w:rsidRPr="00935B0A">
              <w:rPr>
                <w:rFonts w:ascii="Arial Narrow" w:hAnsi="Arial Narrow"/>
                <w:b/>
                <w:sz w:val="20"/>
                <w:szCs w:val="20"/>
              </w:rPr>
              <w:t>Reporte 25-A</w:t>
            </w:r>
            <w:r w:rsidRPr="00150099">
              <w:rPr>
                <w:rFonts w:ascii="Arial Narrow" w:hAnsi="Arial Narrow"/>
                <w:b/>
                <w:sz w:val="20"/>
                <w:szCs w:val="20"/>
                <w:vertAlign w:val="superscript"/>
              </w:rPr>
              <w:t>21</w:t>
            </w:r>
          </w:p>
          <w:p w14:paraId="44B10875" w14:textId="77777777" w:rsidR="0008451F" w:rsidRPr="00935B0A" w:rsidRDefault="0008451F" w:rsidP="0008451F">
            <w:pPr>
              <w:spacing w:before="100" w:after="100"/>
              <w:ind w:right="-30"/>
              <w:jc w:val="center"/>
              <w:rPr>
                <w:rFonts w:ascii="Arial Narrow" w:hAnsi="Arial Narrow"/>
                <w:b/>
                <w:sz w:val="20"/>
                <w:szCs w:val="20"/>
                <w:vertAlign w:val="superscript"/>
              </w:rPr>
            </w:pPr>
          </w:p>
        </w:tc>
        <w:tc>
          <w:tcPr>
            <w:tcW w:w="3060" w:type="dxa"/>
            <w:tcBorders>
              <w:top w:val="single" w:sz="6" w:space="0" w:color="auto"/>
              <w:left w:val="single" w:sz="6" w:space="0" w:color="auto"/>
              <w:bottom w:val="single" w:sz="6" w:space="0" w:color="auto"/>
              <w:right w:val="single" w:sz="6" w:space="0" w:color="auto"/>
            </w:tcBorders>
          </w:tcPr>
          <w:p w14:paraId="569E514F" w14:textId="77777777" w:rsidR="0008451F" w:rsidRPr="00935B0A" w:rsidRDefault="0008451F" w:rsidP="0008451F">
            <w:pPr>
              <w:spacing w:before="100" w:after="100"/>
              <w:ind w:right="28"/>
              <w:jc w:val="both"/>
              <w:rPr>
                <w:rFonts w:ascii="Arial Narrow" w:hAnsi="Arial Narrow"/>
                <w:sz w:val="20"/>
                <w:szCs w:val="20"/>
              </w:rPr>
            </w:pPr>
            <w:r w:rsidRPr="00935B0A">
              <w:rPr>
                <w:rFonts w:ascii="Arial Narrow" w:hAnsi="Arial Narrow"/>
                <w:sz w:val="20"/>
                <w:szCs w:val="20"/>
              </w:rPr>
              <w:t>Detalle de Transferencias de Cartera Crediticia (directa e indirecta) Realizadas Durante el Trimestre</w:t>
            </w:r>
          </w:p>
        </w:tc>
        <w:tc>
          <w:tcPr>
            <w:tcW w:w="1440" w:type="dxa"/>
            <w:tcBorders>
              <w:top w:val="single" w:sz="6" w:space="0" w:color="auto"/>
              <w:left w:val="single" w:sz="6" w:space="0" w:color="auto"/>
              <w:bottom w:val="single" w:sz="6" w:space="0" w:color="auto"/>
              <w:right w:val="single" w:sz="6" w:space="0" w:color="auto"/>
            </w:tcBorders>
            <w:vAlign w:val="center"/>
          </w:tcPr>
          <w:p w14:paraId="12A2379E"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Trimestral</w:t>
            </w:r>
          </w:p>
        </w:tc>
      </w:tr>
      <w:tr w:rsidR="0008451F" w:rsidRPr="00935B0A" w14:paraId="59DB90C0" w14:textId="77777777" w:rsidTr="00097269">
        <w:trPr>
          <w:cantSplit/>
          <w:trHeight w:val="500"/>
        </w:trPr>
        <w:tc>
          <w:tcPr>
            <w:tcW w:w="1830" w:type="dxa"/>
            <w:vMerge/>
            <w:tcBorders>
              <w:left w:val="single" w:sz="6" w:space="0" w:color="auto"/>
              <w:right w:val="single" w:sz="6" w:space="0" w:color="auto"/>
            </w:tcBorders>
            <w:vAlign w:val="center"/>
          </w:tcPr>
          <w:p w14:paraId="4A9A922D"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26E6A5EF"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28 </w:t>
            </w:r>
            <w:r w:rsidRPr="00935B0A">
              <w:rPr>
                <w:rFonts w:ascii="Arial Narrow" w:hAnsi="Arial Narrow"/>
                <w:b/>
                <w:sz w:val="20"/>
                <w:szCs w:val="20"/>
                <w:vertAlign w:val="superscript"/>
              </w:rPr>
              <w:t>21.1</w:t>
            </w:r>
          </w:p>
        </w:tc>
        <w:tc>
          <w:tcPr>
            <w:tcW w:w="3060" w:type="dxa"/>
            <w:tcBorders>
              <w:top w:val="single" w:sz="6" w:space="0" w:color="auto"/>
              <w:left w:val="single" w:sz="6" w:space="0" w:color="auto"/>
              <w:bottom w:val="single" w:sz="6" w:space="0" w:color="auto"/>
              <w:right w:val="single" w:sz="6" w:space="0" w:color="auto"/>
            </w:tcBorders>
          </w:tcPr>
          <w:p w14:paraId="797896A4" w14:textId="57BBFB33"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 xml:space="preserve">Información </w:t>
            </w:r>
            <w:r w:rsidR="00E80A25">
              <w:rPr>
                <w:rFonts w:ascii="Arial Narrow" w:hAnsi="Arial Narrow"/>
                <w:sz w:val="20"/>
                <w:szCs w:val="20"/>
              </w:rPr>
              <w:t xml:space="preserve">financiera de </w:t>
            </w:r>
            <w:r w:rsidR="0035634F">
              <w:rPr>
                <w:rFonts w:ascii="Arial Narrow" w:hAnsi="Arial Narrow"/>
                <w:sz w:val="20"/>
                <w:szCs w:val="20"/>
              </w:rPr>
              <w:t>deudores no minoristas</w:t>
            </w:r>
            <w:r w:rsidRPr="00935B0A">
              <w:rPr>
                <w:rFonts w:ascii="Arial Narrow" w:hAnsi="Arial Narrow"/>
                <w:sz w:val="20"/>
                <w:szCs w:val="20"/>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22380319" w14:textId="61A0B455" w:rsidR="0008451F" w:rsidRPr="00935B0A" w:rsidRDefault="000E5009" w:rsidP="0008451F">
            <w:pPr>
              <w:spacing w:before="100" w:after="100"/>
              <w:ind w:right="-30"/>
              <w:jc w:val="center"/>
              <w:rPr>
                <w:rFonts w:ascii="Arial Narrow" w:hAnsi="Arial Narrow"/>
                <w:sz w:val="20"/>
                <w:szCs w:val="20"/>
              </w:rPr>
            </w:pPr>
            <w:r>
              <w:rPr>
                <w:rFonts w:ascii="Arial Narrow" w:hAnsi="Arial Narrow"/>
                <w:sz w:val="20"/>
                <w:szCs w:val="20"/>
              </w:rPr>
              <w:t>Trimestral</w:t>
            </w:r>
          </w:p>
        </w:tc>
      </w:tr>
      <w:tr w:rsidR="0008451F" w:rsidRPr="00935B0A" w14:paraId="3B2A697C" w14:textId="77777777" w:rsidTr="0045609D">
        <w:trPr>
          <w:cantSplit/>
          <w:trHeight w:val="500"/>
        </w:trPr>
        <w:tc>
          <w:tcPr>
            <w:tcW w:w="1830" w:type="dxa"/>
            <w:vMerge/>
            <w:tcBorders>
              <w:left w:val="single" w:sz="6" w:space="0" w:color="auto"/>
              <w:right w:val="single" w:sz="6" w:space="0" w:color="auto"/>
            </w:tcBorders>
            <w:vAlign w:val="center"/>
          </w:tcPr>
          <w:p w14:paraId="574CF834"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EDAD6A8"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29 </w:t>
            </w:r>
            <w:r w:rsidRPr="00935B0A">
              <w:rPr>
                <w:rFonts w:ascii="Arial Narrow" w:hAnsi="Arial Narrow"/>
                <w:b/>
                <w:sz w:val="20"/>
                <w:szCs w:val="20"/>
                <w:vertAlign w:val="superscript"/>
              </w:rPr>
              <w:t>21.2</w:t>
            </w:r>
          </w:p>
        </w:tc>
        <w:tc>
          <w:tcPr>
            <w:tcW w:w="3060" w:type="dxa"/>
            <w:tcBorders>
              <w:top w:val="single" w:sz="6" w:space="0" w:color="auto"/>
              <w:left w:val="single" w:sz="6" w:space="0" w:color="auto"/>
              <w:bottom w:val="single" w:sz="6" w:space="0" w:color="auto"/>
              <w:right w:val="single" w:sz="6" w:space="0" w:color="auto"/>
            </w:tcBorders>
          </w:tcPr>
          <w:p w14:paraId="6C69B6DB" w14:textId="27ACB036"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Reporte de Grupos Económicos (RGE)</w:t>
            </w:r>
          </w:p>
        </w:tc>
        <w:tc>
          <w:tcPr>
            <w:tcW w:w="1440" w:type="dxa"/>
            <w:tcBorders>
              <w:top w:val="single" w:sz="6" w:space="0" w:color="auto"/>
              <w:left w:val="single" w:sz="6" w:space="0" w:color="auto"/>
              <w:bottom w:val="single" w:sz="6" w:space="0" w:color="auto"/>
              <w:right w:val="single" w:sz="6" w:space="0" w:color="auto"/>
            </w:tcBorders>
            <w:vAlign w:val="center"/>
          </w:tcPr>
          <w:p w14:paraId="2E98E8DE"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Trimestral</w:t>
            </w:r>
          </w:p>
        </w:tc>
      </w:tr>
      <w:tr w:rsidR="0008451F" w:rsidRPr="00935B0A" w14:paraId="7C6E8080" w14:textId="77777777" w:rsidTr="0045609D">
        <w:trPr>
          <w:cantSplit/>
          <w:trHeight w:val="500"/>
        </w:trPr>
        <w:tc>
          <w:tcPr>
            <w:tcW w:w="1830" w:type="dxa"/>
            <w:vMerge/>
            <w:tcBorders>
              <w:left w:val="single" w:sz="6" w:space="0" w:color="auto"/>
              <w:right w:val="single" w:sz="6" w:space="0" w:color="auto"/>
            </w:tcBorders>
            <w:vAlign w:val="center"/>
          </w:tcPr>
          <w:p w14:paraId="651D95E8"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B0CD9A5" w14:textId="77777777" w:rsidR="0008451F" w:rsidRPr="00935B0A" w:rsidRDefault="0008451F" w:rsidP="0008451F">
            <w:pPr>
              <w:spacing w:before="100" w:after="100"/>
              <w:ind w:right="-30"/>
              <w:jc w:val="center"/>
              <w:rPr>
                <w:rFonts w:ascii="Arial Narrow" w:hAnsi="Arial Narrow"/>
                <w:b/>
                <w:sz w:val="20"/>
                <w:szCs w:val="20"/>
                <w:vertAlign w:val="superscript"/>
              </w:rPr>
            </w:pPr>
            <w:r w:rsidRPr="00935B0A">
              <w:rPr>
                <w:rFonts w:ascii="Arial Narrow" w:hAnsi="Arial Narrow"/>
                <w:b/>
                <w:sz w:val="20"/>
                <w:szCs w:val="20"/>
              </w:rPr>
              <w:t>Reporte 35</w:t>
            </w:r>
            <w:r>
              <w:rPr>
                <w:rFonts w:ascii="Arial Narrow" w:hAnsi="Arial Narrow"/>
                <w:b/>
                <w:sz w:val="20"/>
                <w:szCs w:val="20"/>
              </w:rPr>
              <w:t xml:space="preserve"> </w:t>
            </w:r>
            <w:r w:rsidRPr="00373BAF">
              <w:rPr>
                <w:rFonts w:ascii="Arial Narrow" w:hAnsi="Arial Narrow"/>
                <w:sz w:val="20"/>
                <w:szCs w:val="20"/>
                <w:vertAlign w:val="superscript"/>
              </w:rPr>
              <w:t>21.3</w:t>
            </w:r>
          </w:p>
          <w:p w14:paraId="77066C26" w14:textId="77777777" w:rsidR="0008451F" w:rsidRPr="00935B0A" w:rsidRDefault="0008451F" w:rsidP="0008451F">
            <w:pPr>
              <w:spacing w:before="100" w:after="100"/>
              <w:ind w:right="-30"/>
              <w:jc w:val="center"/>
              <w:rPr>
                <w:rFonts w:ascii="Arial Narrow" w:hAnsi="Arial Narrow"/>
                <w:b/>
                <w:sz w:val="20"/>
                <w:szCs w:val="20"/>
                <w:vertAlign w:val="superscript"/>
              </w:rPr>
            </w:pPr>
          </w:p>
        </w:tc>
        <w:tc>
          <w:tcPr>
            <w:tcW w:w="3060" w:type="dxa"/>
            <w:tcBorders>
              <w:top w:val="single" w:sz="6" w:space="0" w:color="auto"/>
              <w:left w:val="single" w:sz="6" w:space="0" w:color="auto"/>
              <w:bottom w:val="single" w:sz="6" w:space="0" w:color="auto"/>
              <w:right w:val="single" w:sz="6" w:space="0" w:color="auto"/>
            </w:tcBorders>
          </w:tcPr>
          <w:p w14:paraId="4C6FEC82" w14:textId="77777777" w:rsidR="0008451F" w:rsidRPr="00935B0A" w:rsidRDefault="0008451F" w:rsidP="0008451F">
            <w:pPr>
              <w:spacing w:before="100" w:after="100"/>
              <w:ind w:right="28"/>
              <w:jc w:val="both"/>
              <w:rPr>
                <w:rFonts w:ascii="Arial Narrow" w:hAnsi="Arial Narrow"/>
                <w:sz w:val="20"/>
                <w:szCs w:val="20"/>
              </w:rPr>
            </w:pPr>
            <w:r w:rsidRPr="00935B0A">
              <w:rPr>
                <w:rFonts w:ascii="Arial Narrow" w:hAnsi="Arial Narrow"/>
                <w:sz w:val="20"/>
                <w:szCs w:val="20"/>
              </w:rPr>
              <w:t>Créditos Reprogramados: Emergencia Nacional Covid-19</w:t>
            </w:r>
          </w:p>
        </w:tc>
        <w:tc>
          <w:tcPr>
            <w:tcW w:w="1440" w:type="dxa"/>
            <w:tcBorders>
              <w:top w:val="single" w:sz="6" w:space="0" w:color="auto"/>
              <w:left w:val="single" w:sz="6" w:space="0" w:color="auto"/>
              <w:bottom w:val="single" w:sz="6" w:space="0" w:color="auto"/>
              <w:right w:val="single" w:sz="6" w:space="0" w:color="auto"/>
            </w:tcBorders>
            <w:vAlign w:val="center"/>
          </w:tcPr>
          <w:p w14:paraId="7CD1170E"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2AFA99AB" w14:textId="77777777" w:rsidTr="0045609D">
        <w:trPr>
          <w:cantSplit/>
          <w:trHeight w:val="500"/>
        </w:trPr>
        <w:tc>
          <w:tcPr>
            <w:tcW w:w="1830" w:type="dxa"/>
            <w:vMerge/>
            <w:tcBorders>
              <w:left w:val="single" w:sz="6" w:space="0" w:color="auto"/>
              <w:bottom w:val="single" w:sz="6" w:space="0" w:color="auto"/>
              <w:right w:val="single" w:sz="6" w:space="0" w:color="auto"/>
            </w:tcBorders>
            <w:vAlign w:val="center"/>
          </w:tcPr>
          <w:p w14:paraId="364497A0"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079A8F9"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36</w:t>
            </w:r>
            <w:r w:rsidRPr="00935B0A">
              <w:rPr>
                <w:rFonts w:ascii="Arial Narrow" w:hAnsi="Arial Narrow"/>
                <w:sz w:val="20"/>
                <w:szCs w:val="20"/>
                <w:vertAlign w:val="superscript"/>
              </w:rPr>
              <w:t>21.4</w:t>
            </w:r>
          </w:p>
        </w:tc>
        <w:tc>
          <w:tcPr>
            <w:tcW w:w="3060" w:type="dxa"/>
            <w:tcBorders>
              <w:top w:val="single" w:sz="6" w:space="0" w:color="auto"/>
              <w:left w:val="single" w:sz="6" w:space="0" w:color="auto"/>
              <w:bottom w:val="single" w:sz="6" w:space="0" w:color="auto"/>
              <w:right w:val="single" w:sz="6" w:space="0" w:color="auto"/>
            </w:tcBorders>
          </w:tcPr>
          <w:p w14:paraId="565415BF" w14:textId="77777777" w:rsidR="0008451F" w:rsidRPr="00935B0A" w:rsidRDefault="0008451F" w:rsidP="0008451F">
            <w:pPr>
              <w:spacing w:before="100" w:after="100"/>
              <w:ind w:right="28"/>
              <w:jc w:val="both"/>
              <w:rPr>
                <w:rFonts w:ascii="Arial Narrow" w:hAnsi="Arial Narrow"/>
                <w:sz w:val="20"/>
                <w:szCs w:val="20"/>
              </w:rPr>
            </w:pPr>
            <w:r w:rsidRPr="00935B0A">
              <w:rPr>
                <w:rFonts w:ascii="Arial Narrow" w:hAnsi="Arial Narrow"/>
                <w:sz w:val="20"/>
                <w:szCs w:val="20"/>
              </w:rPr>
              <w:t>Detalle por Operación de la Cartera de Créditos.</w:t>
            </w:r>
          </w:p>
        </w:tc>
        <w:tc>
          <w:tcPr>
            <w:tcW w:w="1440" w:type="dxa"/>
            <w:tcBorders>
              <w:top w:val="single" w:sz="6" w:space="0" w:color="auto"/>
              <w:left w:val="single" w:sz="6" w:space="0" w:color="auto"/>
              <w:bottom w:val="single" w:sz="6" w:space="0" w:color="auto"/>
              <w:right w:val="single" w:sz="6" w:space="0" w:color="auto"/>
            </w:tcBorders>
            <w:vAlign w:val="center"/>
          </w:tcPr>
          <w:p w14:paraId="72D3308E"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51C839FE" w14:textId="77777777" w:rsidTr="0045609D">
        <w:trPr>
          <w:cantSplit/>
          <w:trHeight w:val="500"/>
        </w:trPr>
        <w:tc>
          <w:tcPr>
            <w:tcW w:w="1830" w:type="dxa"/>
            <w:vMerge w:val="restart"/>
            <w:tcBorders>
              <w:top w:val="single" w:sz="6" w:space="0" w:color="auto"/>
              <w:left w:val="single" w:sz="6" w:space="0" w:color="auto"/>
              <w:right w:val="single" w:sz="6" w:space="0" w:color="auto"/>
            </w:tcBorders>
            <w:vAlign w:val="center"/>
          </w:tcPr>
          <w:p w14:paraId="6AE6061E"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Riesgo País</w:t>
            </w:r>
          </w:p>
        </w:tc>
        <w:tc>
          <w:tcPr>
            <w:tcW w:w="1260" w:type="dxa"/>
            <w:tcBorders>
              <w:top w:val="single" w:sz="6" w:space="0" w:color="auto"/>
              <w:left w:val="single" w:sz="6" w:space="0" w:color="auto"/>
              <w:bottom w:val="single" w:sz="6" w:space="0" w:color="auto"/>
              <w:right w:val="single" w:sz="6" w:space="0" w:color="auto"/>
            </w:tcBorders>
            <w:vAlign w:val="center"/>
          </w:tcPr>
          <w:p w14:paraId="1585944D"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23</w:t>
            </w:r>
            <w:r w:rsidRPr="00935B0A">
              <w:rPr>
                <w:rFonts w:ascii="Arial Narrow" w:hAnsi="Arial Narrow"/>
                <w:b/>
                <w:sz w:val="20"/>
                <w:szCs w:val="20"/>
                <w:vertAlign w:val="superscript"/>
              </w:rPr>
              <w:t>22</w:t>
            </w:r>
          </w:p>
        </w:tc>
        <w:tc>
          <w:tcPr>
            <w:tcW w:w="3060" w:type="dxa"/>
            <w:tcBorders>
              <w:top w:val="single" w:sz="6" w:space="0" w:color="auto"/>
              <w:left w:val="single" w:sz="6" w:space="0" w:color="auto"/>
              <w:bottom w:val="single" w:sz="6" w:space="0" w:color="auto"/>
              <w:right w:val="single" w:sz="6" w:space="0" w:color="auto"/>
            </w:tcBorders>
          </w:tcPr>
          <w:p w14:paraId="40971AED"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Exposición al Riesgo País</w:t>
            </w:r>
          </w:p>
        </w:tc>
        <w:tc>
          <w:tcPr>
            <w:tcW w:w="1440" w:type="dxa"/>
            <w:tcBorders>
              <w:top w:val="single" w:sz="6" w:space="0" w:color="auto"/>
              <w:left w:val="single" w:sz="6" w:space="0" w:color="auto"/>
              <w:bottom w:val="single" w:sz="6" w:space="0" w:color="auto"/>
              <w:right w:val="single" w:sz="6" w:space="0" w:color="auto"/>
            </w:tcBorders>
            <w:vAlign w:val="center"/>
          </w:tcPr>
          <w:p w14:paraId="7FF0BE7A"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1BB84A11" w14:textId="77777777" w:rsidTr="0045609D">
        <w:trPr>
          <w:cantSplit/>
          <w:trHeight w:val="500"/>
        </w:trPr>
        <w:tc>
          <w:tcPr>
            <w:tcW w:w="1830" w:type="dxa"/>
            <w:vMerge/>
            <w:tcBorders>
              <w:left w:val="single" w:sz="6" w:space="0" w:color="auto"/>
              <w:right w:val="single" w:sz="6" w:space="0" w:color="auto"/>
            </w:tcBorders>
            <w:vAlign w:val="center"/>
          </w:tcPr>
          <w:p w14:paraId="09659FDE"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1AB2ABEB"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23-A</w:t>
            </w:r>
            <w:r w:rsidRPr="00935B0A">
              <w:rPr>
                <w:rFonts w:ascii="Arial Narrow" w:hAnsi="Arial Narrow"/>
                <w:b/>
                <w:sz w:val="20"/>
                <w:szCs w:val="20"/>
                <w:vertAlign w:val="superscript"/>
              </w:rPr>
              <w:t>22</w:t>
            </w:r>
          </w:p>
        </w:tc>
        <w:tc>
          <w:tcPr>
            <w:tcW w:w="3060" w:type="dxa"/>
            <w:tcBorders>
              <w:top w:val="single" w:sz="6" w:space="0" w:color="auto"/>
              <w:left w:val="single" w:sz="6" w:space="0" w:color="auto"/>
              <w:bottom w:val="single" w:sz="6" w:space="0" w:color="auto"/>
              <w:right w:val="single" w:sz="6" w:space="0" w:color="auto"/>
            </w:tcBorders>
          </w:tcPr>
          <w:p w14:paraId="537A068D"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Detalle de exposición a riesgo país con residentes en el exterior</w:t>
            </w:r>
          </w:p>
        </w:tc>
        <w:tc>
          <w:tcPr>
            <w:tcW w:w="1440" w:type="dxa"/>
            <w:tcBorders>
              <w:top w:val="single" w:sz="6" w:space="0" w:color="auto"/>
              <w:left w:val="single" w:sz="6" w:space="0" w:color="auto"/>
              <w:bottom w:val="single" w:sz="6" w:space="0" w:color="auto"/>
              <w:right w:val="single" w:sz="6" w:space="0" w:color="auto"/>
            </w:tcBorders>
            <w:vAlign w:val="center"/>
          </w:tcPr>
          <w:p w14:paraId="0B5A2133"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Trimestral</w:t>
            </w:r>
          </w:p>
        </w:tc>
      </w:tr>
      <w:tr w:rsidR="0008451F" w:rsidRPr="00935B0A" w14:paraId="22CB3A98" w14:textId="77777777" w:rsidTr="0045609D">
        <w:trPr>
          <w:cantSplit/>
          <w:trHeight w:val="500"/>
        </w:trPr>
        <w:tc>
          <w:tcPr>
            <w:tcW w:w="1830" w:type="dxa"/>
            <w:vMerge/>
            <w:tcBorders>
              <w:left w:val="single" w:sz="6" w:space="0" w:color="auto"/>
              <w:bottom w:val="single" w:sz="6" w:space="0" w:color="auto"/>
              <w:right w:val="single" w:sz="6" w:space="0" w:color="auto"/>
            </w:tcBorders>
            <w:vAlign w:val="center"/>
          </w:tcPr>
          <w:p w14:paraId="07FE2BEC"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CE7A39F"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23-B</w:t>
            </w:r>
            <w:r w:rsidRPr="00935B0A">
              <w:rPr>
                <w:rFonts w:ascii="Arial Narrow" w:hAnsi="Arial Narrow"/>
                <w:b/>
                <w:sz w:val="20"/>
                <w:szCs w:val="20"/>
                <w:vertAlign w:val="superscript"/>
              </w:rPr>
              <w:t>22</w:t>
            </w:r>
          </w:p>
        </w:tc>
        <w:tc>
          <w:tcPr>
            <w:tcW w:w="3060" w:type="dxa"/>
            <w:tcBorders>
              <w:top w:val="single" w:sz="6" w:space="0" w:color="auto"/>
              <w:left w:val="single" w:sz="6" w:space="0" w:color="auto"/>
              <w:bottom w:val="single" w:sz="6" w:space="0" w:color="auto"/>
              <w:right w:val="single" w:sz="6" w:space="0" w:color="auto"/>
            </w:tcBorders>
          </w:tcPr>
          <w:p w14:paraId="1D7CEF05"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Detalle de exposición a riesgo país por garantía personal de residentes en el exterior con sustitución de contraparte</w:t>
            </w:r>
          </w:p>
        </w:tc>
        <w:tc>
          <w:tcPr>
            <w:tcW w:w="1440" w:type="dxa"/>
            <w:tcBorders>
              <w:top w:val="single" w:sz="6" w:space="0" w:color="auto"/>
              <w:left w:val="single" w:sz="6" w:space="0" w:color="auto"/>
              <w:bottom w:val="single" w:sz="6" w:space="0" w:color="auto"/>
              <w:right w:val="single" w:sz="6" w:space="0" w:color="auto"/>
            </w:tcBorders>
            <w:vAlign w:val="center"/>
          </w:tcPr>
          <w:p w14:paraId="5CEA47A4"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Trimestral</w:t>
            </w:r>
          </w:p>
        </w:tc>
      </w:tr>
      <w:tr w:rsidR="0008451F" w:rsidRPr="00935B0A" w14:paraId="083D585B" w14:textId="77777777" w:rsidTr="00097269">
        <w:trPr>
          <w:cantSplit/>
          <w:trHeight w:val="500"/>
        </w:trPr>
        <w:tc>
          <w:tcPr>
            <w:tcW w:w="1830" w:type="dxa"/>
            <w:tcBorders>
              <w:top w:val="single" w:sz="6" w:space="0" w:color="auto"/>
              <w:left w:val="single" w:sz="6" w:space="0" w:color="auto"/>
              <w:bottom w:val="single" w:sz="6" w:space="0" w:color="auto"/>
              <w:right w:val="single" w:sz="6" w:space="0" w:color="auto"/>
            </w:tcBorders>
            <w:vAlign w:val="center"/>
          </w:tcPr>
          <w:p w14:paraId="69938ECA"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lastRenderedPageBreak/>
              <w:t>Microempresa</w:t>
            </w:r>
          </w:p>
        </w:tc>
        <w:tc>
          <w:tcPr>
            <w:tcW w:w="1260" w:type="dxa"/>
            <w:tcBorders>
              <w:top w:val="single" w:sz="6" w:space="0" w:color="auto"/>
              <w:left w:val="single" w:sz="6" w:space="0" w:color="auto"/>
              <w:bottom w:val="single" w:sz="6" w:space="0" w:color="auto"/>
              <w:right w:val="single" w:sz="6" w:space="0" w:color="auto"/>
            </w:tcBorders>
            <w:vAlign w:val="center"/>
          </w:tcPr>
          <w:p w14:paraId="5CD9D6B7"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12</w:t>
            </w:r>
          </w:p>
        </w:tc>
        <w:tc>
          <w:tcPr>
            <w:tcW w:w="3060" w:type="dxa"/>
            <w:tcBorders>
              <w:top w:val="single" w:sz="6" w:space="0" w:color="auto"/>
              <w:left w:val="single" w:sz="6" w:space="0" w:color="auto"/>
              <w:bottom w:val="single" w:sz="6" w:space="0" w:color="auto"/>
              <w:right w:val="single" w:sz="6" w:space="0" w:color="auto"/>
            </w:tcBorders>
          </w:tcPr>
          <w:p w14:paraId="2C0F0392"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Descripción de Financiamientos Recibidos para Apoyo a la Pequeña y Microempresa</w:t>
            </w:r>
          </w:p>
        </w:tc>
        <w:tc>
          <w:tcPr>
            <w:tcW w:w="1440" w:type="dxa"/>
            <w:tcBorders>
              <w:top w:val="single" w:sz="6" w:space="0" w:color="auto"/>
              <w:left w:val="single" w:sz="6" w:space="0" w:color="auto"/>
              <w:bottom w:val="single" w:sz="6" w:space="0" w:color="auto"/>
              <w:right w:val="single" w:sz="6" w:space="0" w:color="auto"/>
            </w:tcBorders>
            <w:vAlign w:val="center"/>
          </w:tcPr>
          <w:p w14:paraId="5708D0C1"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75E414E6" w14:textId="77777777" w:rsidTr="00097269">
        <w:trPr>
          <w:cantSplit/>
          <w:trHeight w:val="500"/>
        </w:trPr>
        <w:tc>
          <w:tcPr>
            <w:tcW w:w="1830" w:type="dxa"/>
            <w:vMerge w:val="restart"/>
            <w:tcBorders>
              <w:top w:val="nil"/>
              <w:left w:val="single" w:sz="4" w:space="0" w:color="auto"/>
              <w:bottom w:val="single" w:sz="4" w:space="0" w:color="auto"/>
              <w:right w:val="single" w:sz="4" w:space="0" w:color="auto"/>
            </w:tcBorders>
            <w:vAlign w:val="center"/>
          </w:tcPr>
          <w:p w14:paraId="34733F2D"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Grupos Económicos</w:t>
            </w:r>
          </w:p>
        </w:tc>
        <w:tc>
          <w:tcPr>
            <w:tcW w:w="1260" w:type="dxa"/>
            <w:tcBorders>
              <w:top w:val="single" w:sz="6" w:space="0" w:color="auto"/>
              <w:left w:val="nil"/>
              <w:bottom w:val="single" w:sz="6" w:space="0" w:color="auto"/>
              <w:right w:val="single" w:sz="6" w:space="0" w:color="auto"/>
            </w:tcBorders>
            <w:vAlign w:val="center"/>
          </w:tcPr>
          <w:p w14:paraId="444B69F4"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19 </w:t>
            </w:r>
            <w:r w:rsidRPr="00935B0A">
              <w:rPr>
                <w:rFonts w:ascii="Arial Narrow" w:hAnsi="Arial Narrow"/>
                <w:b/>
                <w:sz w:val="20"/>
                <w:szCs w:val="20"/>
                <w:vertAlign w:val="superscript"/>
              </w:rPr>
              <w:t>22.1</w:t>
            </w:r>
          </w:p>
        </w:tc>
        <w:tc>
          <w:tcPr>
            <w:tcW w:w="3060" w:type="dxa"/>
            <w:tcBorders>
              <w:top w:val="single" w:sz="6" w:space="0" w:color="auto"/>
              <w:left w:val="single" w:sz="6" w:space="0" w:color="auto"/>
              <w:bottom w:val="single" w:sz="6" w:space="0" w:color="auto"/>
              <w:right w:val="single" w:sz="6" w:space="0" w:color="auto"/>
            </w:tcBorders>
          </w:tcPr>
          <w:p w14:paraId="1C2C8FDB" w14:textId="031D9F83"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 xml:space="preserve">Información sobre el Grupo Económico </w:t>
            </w:r>
            <w:r w:rsidR="00E31CD2">
              <w:rPr>
                <w:rFonts w:ascii="Arial Narrow" w:hAnsi="Arial Narrow"/>
                <w:sz w:val="20"/>
                <w:szCs w:val="20"/>
              </w:rPr>
              <w:t xml:space="preserve">al que pertenece </w:t>
            </w:r>
            <w:r w:rsidRPr="00935B0A">
              <w:rPr>
                <w:rFonts w:ascii="Arial Narrow" w:hAnsi="Arial Narrow"/>
                <w:sz w:val="20"/>
                <w:szCs w:val="20"/>
              </w:rPr>
              <w:t>la Empresa</w:t>
            </w:r>
          </w:p>
        </w:tc>
        <w:tc>
          <w:tcPr>
            <w:tcW w:w="1440" w:type="dxa"/>
            <w:tcBorders>
              <w:top w:val="single" w:sz="6" w:space="0" w:color="auto"/>
              <w:left w:val="single" w:sz="6" w:space="0" w:color="auto"/>
              <w:bottom w:val="single" w:sz="6" w:space="0" w:color="auto"/>
              <w:right w:val="single" w:sz="6" w:space="0" w:color="auto"/>
            </w:tcBorders>
            <w:vAlign w:val="center"/>
          </w:tcPr>
          <w:p w14:paraId="749792B5"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Semestral</w:t>
            </w:r>
          </w:p>
        </w:tc>
      </w:tr>
      <w:tr w:rsidR="0008451F" w:rsidRPr="00935B0A" w14:paraId="623B470D" w14:textId="77777777" w:rsidTr="00097269">
        <w:trPr>
          <w:cantSplit/>
          <w:trHeight w:val="500"/>
        </w:trPr>
        <w:tc>
          <w:tcPr>
            <w:tcW w:w="1830" w:type="dxa"/>
            <w:vMerge/>
            <w:tcBorders>
              <w:top w:val="nil"/>
              <w:left w:val="single" w:sz="4" w:space="0" w:color="auto"/>
              <w:bottom w:val="single" w:sz="4" w:space="0" w:color="auto"/>
              <w:right w:val="single" w:sz="4" w:space="0" w:color="auto"/>
            </w:tcBorders>
            <w:vAlign w:val="center"/>
          </w:tcPr>
          <w:p w14:paraId="4A02B22A"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nil"/>
              <w:bottom w:val="single" w:sz="6" w:space="0" w:color="auto"/>
              <w:right w:val="single" w:sz="6" w:space="0" w:color="auto"/>
            </w:tcBorders>
            <w:vAlign w:val="center"/>
          </w:tcPr>
          <w:p w14:paraId="6479E3C6" w14:textId="77777777" w:rsidR="0008451F" w:rsidRPr="00935B0A" w:rsidRDefault="0008451F" w:rsidP="0008451F">
            <w:pPr>
              <w:spacing w:before="100" w:after="100"/>
              <w:ind w:right="-30"/>
              <w:rPr>
                <w:rFonts w:ascii="Arial Narrow" w:hAnsi="Arial Narrow"/>
                <w:b/>
                <w:sz w:val="20"/>
                <w:szCs w:val="20"/>
              </w:rPr>
            </w:pPr>
            <w:r w:rsidRPr="00935B0A">
              <w:rPr>
                <w:rFonts w:ascii="Arial Narrow" w:hAnsi="Arial Narrow"/>
                <w:b/>
                <w:sz w:val="20"/>
                <w:szCs w:val="20"/>
              </w:rPr>
              <w:t xml:space="preserve">Reporte 19-A </w:t>
            </w:r>
            <w:r w:rsidRPr="00935B0A">
              <w:rPr>
                <w:rFonts w:ascii="Arial Narrow" w:hAnsi="Arial Narrow"/>
                <w:b/>
                <w:sz w:val="20"/>
                <w:szCs w:val="20"/>
                <w:vertAlign w:val="superscript"/>
              </w:rPr>
              <w:t>22.2</w:t>
            </w:r>
          </w:p>
        </w:tc>
        <w:tc>
          <w:tcPr>
            <w:tcW w:w="3060" w:type="dxa"/>
            <w:tcBorders>
              <w:top w:val="single" w:sz="6" w:space="0" w:color="auto"/>
              <w:left w:val="single" w:sz="6" w:space="0" w:color="auto"/>
              <w:bottom w:val="single" w:sz="6" w:space="0" w:color="auto"/>
              <w:right w:val="single" w:sz="6" w:space="0" w:color="auto"/>
            </w:tcBorders>
          </w:tcPr>
          <w:p w14:paraId="33242010" w14:textId="227D04F6"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Información sobre integrantes del Grupo Económico</w:t>
            </w:r>
            <w:r w:rsidR="00E31CD2">
              <w:rPr>
                <w:rFonts w:ascii="Arial Narrow" w:hAnsi="Arial Narrow"/>
                <w:sz w:val="20"/>
                <w:szCs w:val="20"/>
              </w:rPr>
              <w:t xml:space="preserve"> al que pertenece</w:t>
            </w:r>
            <w:r w:rsidRPr="00935B0A">
              <w:rPr>
                <w:rFonts w:ascii="Arial Narrow" w:hAnsi="Arial Narrow"/>
                <w:sz w:val="20"/>
                <w:szCs w:val="20"/>
              </w:rPr>
              <w:t xml:space="preserve"> la empresa</w:t>
            </w:r>
          </w:p>
        </w:tc>
        <w:tc>
          <w:tcPr>
            <w:tcW w:w="1440" w:type="dxa"/>
            <w:tcBorders>
              <w:top w:val="single" w:sz="6" w:space="0" w:color="auto"/>
              <w:left w:val="single" w:sz="6" w:space="0" w:color="auto"/>
              <w:bottom w:val="single" w:sz="6" w:space="0" w:color="auto"/>
              <w:right w:val="single" w:sz="6" w:space="0" w:color="auto"/>
            </w:tcBorders>
            <w:vAlign w:val="center"/>
          </w:tcPr>
          <w:p w14:paraId="0BEEC654"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Semestral</w:t>
            </w:r>
          </w:p>
        </w:tc>
      </w:tr>
      <w:tr w:rsidR="0008451F" w:rsidRPr="00935B0A" w14:paraId="303BE6DA" w14:textId="77777777" w:rsidTr="00097269">
        <w:trPr>
          <w:cantSplit/>
          <w:trHeight w:val="500"/>
        </w:trPr>
        <w:tc>
          <w:tcPr>
            <w:tcW w:w="1830" w:type="dxa"/>
            <w:vMerge/>
            <w:tcBorders>
              <w:top w:val="nil"/>
              <w:left w:val="single" w:sz="4" w:space="0" w:color="auto"/>
              <w:bottom w:val="single" w:sz="4" w:space="0" w:color="auto"/>
              <w:right w:val="single" w:sz="4" w:space="0" w:color="auto"/>
            </w:tcBorders>
            <w:vAlign w:val="center"/>
          </w:tcPr>
          <w:p w14:paraId="1721A2F4"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nil"/>
              <w:bottom w:val="single" w:sz="6" w:space="0" w:color="auto"/>
              <w:right w:val="single" w:sz="6" w:space="0" w:color="auto"/>
            </w:tcBorders>
            <w:vAlign w:val="center"/>
          </w:tcPr>
          <w:p w14:paraId="00752D55"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20 </w:t>
            </w:r>
            <w:r w:rsidRPr="00935B0A">
              <w:rPr>
                <w:rFonts w:ascii="Arial Narrow" w:hAnsi="Arial Narrow"/>
                <w:b/>
                <w:sz w:val="20"/>
                <w:szCs w:val="20"/>
                <w:vertAlign w:val="superscript"/>
              </w:rPr>
              <w:t>22.3</w:t>
            </w:r>
          </w:p>
        </w:tc>
        <w:tc>
          <w:tcPr>
            <w:tcW w:w="3060" w:type="dxa"/>
            <w:tcBorders>
              <w:top w:val="single" w:sz="6" w:space="0" w:color="auto"/>
              <w:left w:val="single" w:sz="6" w:space="0" w:color="auto"/>
              <w:bottom w:val="single" w:sz="6" w:space="0" w:color="auto"/>
              <w:right w:val="single" w:sz="6" w:space="0" w:color="auto"/>
            </w:tcBorders>
          </w:tcPr>
          <w:p w14:paraId="2A58BC52" w14:textId="313416D4" w:rsidR="0008451F" w:rsidRPr="00935B0A" w:rsidRDefault="0008451F" w:rsidP="00250166">
            <w:pPr>
              <w:spacing w:before="100" w:after="100"/>
              <w:ind w:left="28" w:right="28"/>
              <w:jc w:val="both"/>
              <w:rPr>
                <w:rFonts w:ascii="Arial Narrow" w:hAnsi="Arial Narrow"/>
                <w:sz w:val="20"/>
                <w:szCs w:val="20"/>
              </w:rPr>
            </w:pPr>
            <w:r w:rsidRPr="00935B0A">
              <w:rPr>
                <w:rFonts w:ascii="Arial Narrow" w:hAnsi="Arial Narrow"/>
                <w:sz w:val="20"/>
                <w:szCs w:val="20"/>
              </w:rPr>
              <w:t xml:space="preserve">Información de clientes </w:t>
            </w:r>
            <w:r w:rsidR="00250166" w:rsidRPr="00250166">
              <w:rPr>
                <w:rFonts w:ascii="Arial Narrow" w:hAnsi="Arial Narrow"/>
                <w:sz w:val="20"/>
                <w:szCs w:val="20"/>
              </w:rPr>
              <w:t>(incluyendo los que representan un</w:t>
            </w:r>
            <w:r w:rsidR="00250166">
              <w:rPr>
                <w:rFonts w:ascii="Arial Narrow" w:hAnsi="Arial Narrow"/>
                <w:sz w:val="20"/>
                <w:szCs w:val="20"/>
              </w:rPr>
              <w:t xml:space="preserve"> </w:t>
            </w:r>
            <w:r w:rsidR="00250166" w:rsidRPr="00250166">
              <w:rPr>
                <w:rFonts w:ascii="Arial Narrow" w:hAnsi="Arial Narrow"/>
                <w:sz w:val="20"/>
                <w:szCs w:val="20"/>
              </w:rPr>
              <w:t>grupo de contrapartes conectadas por riesgo único) correspondiente a Grandes Exposiciones</w:t>
            </w:r>
            <w:r w:rsidR="00250166">
              <w:rPr>
                <w:rFonts w:ascii="Arial Narrow" w:hAnsi="Arial Narrow"/>
                <w:sz w:val="20"/>
                <w:szCs w:val="20"/>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293D503C"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Semestral</w:t>
            </w:r>
          </w:p>
        </w:tc>
      </w:tr>
      <w:tr w:rsidR="0008451F" w:rsidRPr="00935B0A" w14:paraId="5E83EC74" w14:textId="77777777" w:rsidTr="00097269">
        <w:trPr>
          <w:cantSplit/>
          <w:trHeight w:val="500"/>
        </w:trPr>
        <w:tc>
          <w:tcPr>
            <w:tcW w:w="1830" w:type="dxa"/>
            <w:vMerge/>
            <w:tcBorders>
              <w:top w:val="nil"/>
              <w:left w:val="single" w:sz="4" w:space="0" w:color="auto"/>
              <w:bottom w:val="single" w:sz="4" w:space="0" w:color="auto"/>
              <w:right w:val="single" w:sz="4" w:space="0" w:color="auto"/>
            </w:tcBorders>
            <w:vAlign w:val="center"/>
          </w:tcPr>
          <w:p w14:paraId="0513FB40"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nil"/>
              <w:bottom w:val="single" w:sz="6" w:space="0" w:color="auto"/>
              <w:right w:val="single" w:sz="6" w:space="0" w:color="auto"/>
            </w:tcBorders>
            <w:vAlign w:val="center"/>
          </w:tcPr>
          <w:p w14:paraId="6A9A6B00"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20-A </w:t>
            </w:r>
            <w:r w:rsidRPr="00935B0A">
              <w:rPr>
                <w:rFonts w:ascii="Arial Narrow" w:hAnsi="Arial Narrow"/>
                <w:b/>
                <w:sz w:val="20"/>
                <w:szCs w:val="20"/>
                <w:vertAlign w:val="superscript"/>
              </w:rPr>
              <w:t>22.4</w:t>
            </w:r>
          </w:p>
        </w:tc>
        <w:tc>
          <w:tcPr>
            <w:tcW w:w="3060" w:type="dxa"/>
            <w:tcBorders>
              <w:top w:val="single" w:sz="6" w:space="0" w:color="auto"/>
              <w:left w:val="single" w:sz="6" w:space="0" w:color="auto"/>
              <w:bottom w:val="single" w:sz="6" w:space="0" w:color="auto"/>
              <w:right w:val="single" w:sz="6" w:space="0" w:color="auto"/>
            </w:tcBorders>
          </w:tcPr>
          <w:p w14:paraId="4107CFA8" w14:textId="19DD9087" w:rsidR="0008451F" w:rsidRPr="00935B0A" w:rsidRDefault="0008451F" w:rsidP="00552F0D">
            <w:pPr>
              <w:spacing w:before="100" w:after="100"/>
              <w:ind w:left="28" w:right="28"/>
              <w:jc w:val="both"/>
              <w:rPr>
                <w:rFonts w:ascii="Arial Narrow" w:hAnsi="Arial Narrow"/>
                <w:sz w:val="20"/>
                <w:szCs w:val="20"/>
              </w:rPr>
            </w:pPr>
            <w:r w:rsidRPr="00935B0A">
              <w:rPr>
                <w:rFonts w:ascii="Arial Narrow" w:hAnsi="Arial Narrow"/>
                <w:sz w:val="20"/>
                <w:szCs w:val="20"/>
              </w:rPr>
              <w:t xml:space="preserve">Información de las </w:t>
            </w:r>
            <w:r w:rsidR="00552F0D" w:rsidRPr="00552F0D">
              <w:rPr>
                <w:rFonts w:ascii="Arial Narrow" w:hAnsi="Arial Narrow"/>
                <w:sz w:val="20"/>
                <w:szCs w:val="20"/>
              </w:rPr>
              <w:t>Personas, Entes Jurídicos,</w:t>
            </w:r>
            <w:r w:rsidR="00552F0D">
              <w:rPr>
                <w:rFonts w:ascii="Arial Narrow" w:hAnsi="Arial Narrow"/>
                <w:sz w:val="20"/>
                <w:szCs w:val="20"/>
              </w:rPr>
              <w:t xml:space="preserve"> </w:t>
            </w:r>
            <w:r w:rsidR="00552F0D" w:rsidRPr="00552F0D">
              <w:rPr>
                <w:rFonts w:ascii="Arial Narrow" w:hAnsi="Arial Narrow"/>
                <w:sz w:val="20"/>
                <w:szCs w:val="20"/>
              </w:rPr>
              <w:t>Dependencias, Organismos, Entidades u Otros que integran un Grupo de Contrapartes</w:t>
            </w:r>
            <w:r w:rsidR="00552F0D">
              <w:rPr>
                <w:rFonts w:ascii="Arial Narrow" w:hAnsi="Arial Narrow"/>
                <w:sz w:val="20"/>
                <w:szCs w:val="20"/>
              </w:rPr>
              <w:t xml:space="preserve"> </w:t>
            </w:r>
            <w:r w:rsidR="00552F0D" w:rsidRPr="00552F0D">
              <w:rPr>
                <w:rFonts w:ascii="Arial Narrow" w:hAnsi="Arial Narrow"/>
                <w:sz w:val="20"/>
                <w:szCs w:val="20"/>
              </w:rPr>
              <w:t>Conectadas por Riesgo Único con Clientes</w:t>
            </w:r>
          </w:p>
        </w:tc>
        <w:tc>
          <w:tcPr>
            <w:tcW w:w="1440" w:type="dxa"/>
            <w:tcBorders>
              <w:top w:val="single" w:sz="6" w:space="0" w:color="auto"/>
              <w:left w:val="single" w:sz="6" w:space="0" w:color="auto"/>
              <w:bottom w:val="single" w:sz="6" w:space="0" w:color="auto"/>
              <w:right w:val="single" w:sz="6" w:space="0" w:color="auto"/>
            </w:tcBorders>
            <w:vAlign w:val="center"/>
          </w:tcPr>
          <w:p w14:paraId="63B62A5C"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Semestral</w:t>
            </w:r>
          </w:p>
        </w:tc>
      </w:tr>
      <w:tr w:rsidR="0008451F" w:rsidRPr="00935B0A" w14:paraId="36B77F0D" w14:textId="77777777" w:rsidTr="00097269">
        <w:trPr>
          <w:cantSplit/>
          <w:trHeight w:val="500"/>
        </w:trPr>
        <w:tc>
          <w:tcPr>
            <w:tcW w:w="1830" w:type="dxa"/>
            <w:vMerge/>
            <w:tcBorders>
              <w:top w:val="nil"/>
              <w:left w:val="single" w:sz="4" w:space="0" w:color="auto"/>
              <w:bottom w:val="single" w:sz="4" w:space="0" w:color="auto"/>
              <w:right w:val="single" w:sz="4" w:space="0" w:color="auto"/>
            </w:tcBorders>
            <w:vAlign w:val="center"/>
          </w:tcPr>
          <w:p w14:paraId="0613009A"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nil"/>
              <w:bottom w:val="single" w:sz="6" w:space="0" w:color="auto"/>
              <w:right w:val="single" w:sz="6" w:space="0" w:color="auto"/>
            </w:tcBorders>
            <w:vAlign w:val="center"/>
          </w:tcPr>
          <w:p w14:paraId="220ABAFC"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21 </w:t>
            </w:r>
            <w:r w:rsidRPr="00935B0A">
              <w:rPr>
                <w:rFonts w:ascii="Arial Narrow" w:hAnsi="Arial Narrow"/>
                <w:b/>
                <w:sz w:val="20"/>
                <w:szCs w:val="20"/>
                <w:vertAlign w:val="superscript"/>
              </w:rPr>
              <w:t>22.5</w:t>
            </w:r>
          </w:p>
        </w:tc>
        <w:tc>
          <w:tcPr>
            <w:tcW w:w="3060" w:type="dxa"/>
            <w:tcBorders>
              <w:top w:val="single" w:sz="6" w:space="0" w:color="auto"/>
              <w:left w:val="single" w:sz="6" w:space="0" w:color="auto"/>
              <w:bottom w:val="single" w:sz="6" w:space="0" w:color="auto"/>
              <w:right w:val="single" w:sz="6" w:space="0" w:color="auto"/>
            </w:tcBorders>
          </w:tcPr>
          <w:p w14:paraId="10B42161" w14:textId="63FE40EA" w:rsidR="0008451F" w:rsidRPr="00935B0A" w:rsidRDefault="00DE75F6" w:rsidP="0008451F">
            <w:pPr>
              <w:spacing w:before="100" w:after="100"/>
              <w:ind w:left="28" w:right="28"/>
              <w:jc w:val="both"/>
              <w:rPr>
                <w:rFonts w:ascii="Arial Narrow" w:hAnsi="Arial Narrow"/>
                <w:sz w:val="20"/>
                <w:szCs w:val="20"/>
              </w:rPr>
            </w:pPr>
            <w:r w:rsidRPr="00DE75F6">
              <w:rPr>
                <w:rFonts w:ascii="Arial Narrow" w:hAnsi="Arial Narrow"/>
                <w:sz w:val="20"/>
                <w:szCs w:val="20"/>
              </w:rPr>
              <w:t>Información de las Personas y Entes Jurídicos Vinculados a la Empresa y Financiamientos a Vinculados a la Empresa</w:t>
            </w:r>
          </w:p>
        </w:tc>
        <w:tc>
          <w:tcPr>
            <w:tcW w:w="1440" w:type="dxa"/>
            <w:tcBorders>
              <w:top w:val="single" w:sz="6" w:space="0" w:color="auto"/>
              <w:left w:val="single" w:sz="6" w:space="0" w:color="auto"/>
              <w:bottom w:val="single" w:sz="6" w:space="0" w:color="auto"/>
              <w:right w:val="single" w:sz="6" w:space="0" w:color="auto"/>
            </w:tcBorders>
            <w:vAlign w:val="center"/>
          </w:tcPr>
          <w:p w14:paraId="697132D2"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Trimestral</w:t>
            </w:r>
          </w:p>
        </w:tc>
      </w:tr>
      <w:tr w:rsidR="0008451F" w:rsidRPr="00935B0A" w14:paraId="0B644CE9" w14:textId="77777777" w:rsidTr="00097269">
        <w:trPr>
          <w:cantSplit/>
          <w:trHeight w:val="500"/>
        </w:trPr>
        <w:tc>
          <w:tcPr>
            <w:tcW w:w="1830" w:type="dxa"/>
            <w:vMerge/>
            <w:tcBorders>
              <w:top w:val="nil"/>
              <w:left w:val="single" w:sz="4" w:space="0" w:color="auto"/>
              <w:bottom w:val="single" w:sz="4" w:space="0" w:color="auto"/>
              <w:right w:val="single" w:sz="4" w:space="0" w:color="auto"/>
            </w:tcBorders>
            <w:vAlign w:val="center"/>
          </w:tcPr>
          <w:p w14:paraId="3891EA9E"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nil"/>
              <w:bottom w:val="single" w:sz="6" w:space="0" w:color="auto"/>
              <w:right w:val="single" w:sz="6" w:space="0" w:color="auto"/>
            </w:tcBorders>
            <w:vAlign w:val="center"/>
          </w:tcPr>
          <w:p w14:paraId="50E28185"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21-A </w:t>
            </w:r>
            <w:r w:rsidRPr="00935B0A">
              <w:rPr>
                <w:rFonts w:ascii="Arial Narrow" w:hAnsi="Arial Narrow"/>
                <w:b/>
                <w:sz w:val="20"/>
                <w:szCs w:val="20"/>
                <w:vertAlign w:val="superscript"/>
              </w:rPr>
              <w:t>22.6</w:t>
            </w:r>
          </w:p>
        </w:tc>
        <w:tc>
          <w:tcPr>
            <w:tcW w:w="3060" w:type="dxa"/>
            <w:tcBorders>
              <w:top w:val="single" w:sz="6" w:space="0" w:color="auto"/>
              <w:left w:val="single" w:sz="6" w:space="0" w:color="auto"/>
              <w:bottom w:val="single" w:sz="6" w:space="0" w:color="auto"/>
              <w:right w:val="single" w:sz="6" w:space="0" w:color="auto"/>
            </w:tcBorders>
          </w:tcPr>
          <w:p w14:paraId="1C8FA828" w14:textId="13A410CE" w:rsidR="0008451F" w:rsidRPr="00935B0A" w:rsidRDefault="0008451F" w:rsidP="0008451F">
            <w:pPr>
              <w:spacing w:before="100" w:after="100"/>
              <w:ind w:left="28" w:right="28"/>
              <w:jc w:val="both"/>
              <w:rPr>
                <w:rFonts w:ascii="Arial Narrow" w:hAnsi="Arial Narrow"/>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4E32BC08" w14:textId="182562B0" w:rsidR="0008451F" w:rsidRPr="00935B0A" w:rsidRDefault="0008451F" w:rsidP="0008451F">
            <w:pPr>
              <w:spacing w:before="100" w:after="100"/>
              <w:ind w:right="-30"/>
              <w:jc w:val="center"/>
              <w:rPr>
                <w:rFonts w:ascii="Arial Narrow" w:hAnsi="Arial Narrow"/>
                <w:sz w:val="20"/>
                <w:szCs w:val="20"/>
              </w:rPr>
            </w:pPr>
          </w:p>
        </w:tc>
      </w:tr>
      <w:tr w:rsidR="0008451F" w:rsidRPr="00935B0A" w14:paraId="29274A7F" w14:textId="77777777" w:rsidTr="00097269">
        <w:trPr>
          <w:trHeight w:val="500"/>
        </w:trPr>
        <w:tc>
          <w:tcPr>
            <w:tcW w:w="1830" w:type="dxa"/>
            <w:tcBorders>
              <w:left w:val="single" w:sz="6" w:space="0" w:color="auto"/>
              <w:bottom w:val="single" w:sz="6" w:space="0" w:color="auto"/>
              <w:right w:val="single" w:sz="6" w:space="0" w:color="auto"/>
            </w:tcBorders>
            <w:vAlign w:val="center"/>
          </w:tcPr>
          <w:p w14:paraId="21E73D7F" w14:textId="77777777" w:rsidR="0008451F" w:rsidRPr="00150099" w:rsidRDefault="0008451F" w:rsidP="0008451F">
            <w:pPr>
              <w:spacing w:before="100" w:after="100"/>
              <w:ind w:right="-30"/>
              <w:jc w:val="center"/>
              <w:rPr>
                <w:rFonts w:ascii="Arial Narrow" w:hAnsi="Arial Narrow"/>
                <w:b/>
                <w:sz w:val="20"/>
                <w:szCs w:val="20"/>
              </w:rPr>
            </w:pPr>
            <w:r w:rsidRPr="00150099">
              <w:rPr>
                <w:rFonts w:ascii="Arial Narrow" w:hAnsi="Arial Narrow"/>
                <w:b/>
                <w:sz w:val="20"/>
                <w:szCs w:val="20"/>
              </w:rPr>
              <w:t>Fondo Seguro de Depósito</w:t>
            </w:r>
          </w:p>
        </w:tc>
        <w:tc>
          <w:tcPr>
            <w:tcW w:w="1260" w:type="dxa"/>
            <w:tcBorders>
              <w:top w:val="single" w:sz="6" w:space="0" w:color="auto"/>
              <w:left w:val="single" w:sz="6" w:space="0" w:color="auto"/>
              <w:bottom w:val="single" w:sz="6" w:space="0" w:color="auto"/>
              <w:right w:val="single" w:sz="6" w:space="0" w:color="auto"/>
            </w:tcBorders>
            <w:vAlign w:val="center"/>
          </w:tcPr>
          <w:p w14:paraId="3F2EE31D" w14:textId="77777777" w:rsidR="0008451F" w:rsidRPr="00150099" w:rsidRDefault="0008451F" w:rsidP="0008451F">
            <w:pPr>
              <w:spacing w:before="100" w:after="100"/>
              <w:ind w:right="-30"/>
              <w:jc w:val="center"/>
              <w:rPr>
                <w:rFonts w:ascii="Arial Narrow" w:hAnsi="Arial Narrow"/>
                <w:b/>
                <w:sz w:val="20"/>
                <w:szCs w:val="20"/>
              </w:rPr>
            </w:pPr>
            <w:r w:rsidRPr="00150099">
              <w:rPr>
                <w:rFonts w:ascii="Arial Narrow" w:hAnsi="Arial Narrow"/>
                <w:b/>
                <w:sz w:val="20"/>
                <w:szCs w:val="20"/>
              </w:rPr>
              <w:t>Reporte 11</w:t>
            </w:r>
            <w:r w:rsidRPr="00150099">
              <w:rPr>
                <w:rFonts w:ascii="Arial Narrow" w:hAnsi="Arial Narrow"/>
                <w:b/>
                <w:sz w:val="20"/>
                <w:szCs w:val="20"/>
                <w:vertAlign w:val="superscript"/>
              </w:rPr>
              <w:t>22.7</w:t>
            </w:r>
          </w:p>
        </w:tc>
        <w:tc>
          <w:tcPr>
            <w:tcW w:w="3060" w:type="dxa"/>
            <w:tcBorders>
              <w:top w:val="single" w:sz="6" w:space="0" w:color="auto"/>
              <w:left w:val="single" w:sz="6" w:space="0" w:color="auto"/>
              <w:bottom w:val="single" w:sz="6" w:space="0" w:color="auto"/>
              <w:right w:val="single" w:sz="6" w:space="0" w:color="auto"/>
            </w:tcBorders>
          </w:tcPr>
          <w:p w14:paraId="04CBAF4C" w14:textId="77777777" w:rsidR="0008451F" w:rsidRPr="00150099" w:rsidRDefault="0008451F" w:rsidP="0008451F">
            <w:pPr>
              <w:spacing w:before="100" w:after="100"/>
              <w:ind w:left="28" w:right="28"/>
              <w:jc w:val="both"/>
              <w:rPr>
                <w:rFonts w:ascii="Arial Narrow" w:hAnsi="Arial Narrow"/>
                <w:sz w:val="20"/>
                <w:szCs w:val="20"/>
              </w:rPr>
            </w:pPr>
            <w:r w:rsidRPr="00150099">
              <w:rPr>
                <w:rFonts w:ascii="Arial Narrow" w:hAnsi="Arial Narrow"/>
                <w:sz w:val="20"/>
                <w:szCs w:val="20"/>
              </w:rPr>
              <w:t>Activos transferidos al Fondo Seguro de Depósitos</w:t>
            </w:r>
          </w:p>
        </w:tc>
        <w:tc>
          <w:tcPr>
            <w:tcW w:w="1440" w:type="dxa"/>
            <w:tcBorders>
              <w:top w:val="single" w:sz="6" w:space="0" w:color="auto"/>
              <w:left w:val="single" w:sz="6" w:space="0" w:color="auto"/>
              <w:bottom w:val="single" w:sz="6" w:space="0" w:color="auto"/>
              <w:right w:val="single" w:sz="6" w:space="0" w:color="auto"/>
            </w:tcBorders>
            <w:vAlign w:val="center"/>
          </w:tcPr>
          <w:p w14:paraId="1510AF55"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Semestral</w:t>
            </w:r>
          </w:p>
          <w:p w14:paraId="3C23169D"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w:t>
            </w:r>
          </w:p>
        </w:tc>
      </w:tr>
      <w:tr w:rsidR="0008451F" w:rsidRPr="00935B0A" w14:paraId="501433D4" w14:textId="77777777" w:rsidTr="00097269">
        <w:trPr>
          <w:cantSplit/>
          <w:trHeight w:val="831"/>
        </w:trPr>
        <w:tc>
          <w:tcPr>
            <w:tcW w:w="1830" w:type="dxa"/>
            <w:tcBorders>
              <w:top w:val="single" w:sz="6" w:space="0" w:color="auto"/>
              <w:left w:val="single" w:sz="6" w:space="0" w:color="auto"/>
              <w:bottom w:val="single" w:sz="6" w:space="0" w:color="auto"/>
              <w:right w:val="single" w:sz="6" w:space="0" w:color="auto"/>
            </w:tcBorders>
            <w:vAlign w:val="center"/>
          </w:tcPr>
          <w:p w14:paraId="6361AC39"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Límites Operativos</w:t>
            </w:r>
          </w:p>
        </w:tc>
        <w:tc>
          <w:tcPr>
            <w:tcW w:w="1260" w:type="dxa"/>
            <w:tcBorders>
              <w:top w:val="single" w:sz="6" w:space="0" w:color="auto"/>
              <w:left w:val="single" w:sz="6" w:space="0" w:color="auto"/>
              <w:bottom w:val="single" w:sz="6" w:space="0" w:color="auto"/>
              <w:right w:val="single" w:sz="6" w:space="0" w:color="auto"/>
            </w:tcBorders>
            <w:vAlign w:val="center"/>
          </w:tcPr>
          <w:p w14:paraId="3518E87D"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13</w:t>
            </w:r>
            <w:r w:rsidRPr="00935B0A">
              <w:rPr>
                <w:rFonts w:ascii="Arial Narrow" w:hAnsi="Arial Narrow"/>
                <w:b/>
                <w:sz w:val="20"/>
                <w:szCs w:val="20"/>
                <w:vertAlign w:val="superscript"/>
              </w:rPr>
              <w:t>22.8</w:t>
            </w:r>
          </w:p>
        </w:tc>
        <w:tc>
          <w:tcPr>
            <w:tcW w:w="3060" w:type="dxa"/>
            <w:tcBorders>
              <w:top w:val="single" w:sz="6" w:space="0" w:color="auto"/>
              <w:left w:val="single" w:sz="6" w:space="0" w:color="auto"/>
              <w:bottom w:val="single" w:sz="6" w:space="0" w:color="auto"/>
              <w:right w:val="single" w:sz="6" w:space="0" w:color="auto"/>
            </w:tcBorders>
          </w:tcPr>
          <w:p w14:paraId="179BDED3"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Control de Límites Globales e Individuales aplicables a las Empresas del Sistema Financiero</w:t>
            </w:r>
          </w:p>
        </w:tc>
        <w:tc>
          <w:tcPr>
            <w:tcW w:w="1440" w:type="dxa"/>
            <w:tcBorders>
              <w:top w:val="single" w:sz="6" w:space="0" w:color="auto"/>
              <w:left w:val="single" w:sz="6" w:space="0" w:color="auto"/>
              <w:bottom w:val="single" w:sz="6" w:space="0" w:color="auto"/>
              <w:right w:val="single" w:sz="6" w:space="0" w:color="auto"/>
            </w:tcBorders>
            <w:vAlign w:val="center"/>
          </w:tcPr>
          <w:p w14:paraId="51C00F35"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6B4C22E9" w14:textId="77777777" w:rsidTr="00097269">
        <w:trPr>
          <w:cantSplit/>
          <w:trHeight w:val="500"/>
        </w:trPr>
        <w:tc>
          <w:tcPr>
            <w:tcW w:w="1830" w:type="dxa"/>
            <w:vMerge w:val="restart"/>
            <w:tcBorders>
              <w:top w:val="single" w:sz="6" w:space="0" w:color="auto"/>
              <w:left w:val="single" w:sz="6" w:space="0" w:color="auto"/>
              <w:right w:val="single" w:sz="6" w:space="0" w:color="auto"/>
            </w:tcBorders>
            <w:vAlign w:val="center"/>
          </w:tcPr>
          <w:p w14:paraId="3215221C"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Otros</w:t>
            </w:r>
          </w:p>
        </w:tc>
        <w:tc>
          <w:tcPr>
            <w:tcW w:w="1260" w:type="dxa"/>
            <w:tcBorders>
              <w:top w:val="single" w:sz="6" w:space="0" w:color="auto"/>
              <w:left w:val="single" w:sz="6" w:space="0" w:color="auto"/>
              <w:bottom w:val="single" w:sz="6" w:space="0" w:color="auto"/>
              <w:right w:val="single" w:sz="6" w:space="0" w:color="auto"/>
            </w:tcBorders>
            <w:vAlign w:val="center"/>
          </w:tcPr>
          <w:p w14:paraId="6FCA5AB2"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Reporte 1</w:t>
            </w:r>
            <w:r w:rsidRPr="00935B0A">
              <w:rPr>
                <w:rFonts w:ascii="Arial Narrow" w:hAnsi="Arial Narrow"/>
                <w:b/>
                <w:sz w:val="20"/>
                <w:szCs w:val="20"/>
                <w:vertAlign w:val="superscript"/>
              </w:rPr>
              <w:t>23</w:t>
            </w:r>
          </w:p>
        </w:tc>
        <w:tc>
          <w:tcPr>
            <w:tcW w:w="3060" w:type="dxa"/>
            <w:tcBorders>
              <w:top w:val="single" w:sz="6" w:space="0" w:color="auto"/>
              <w:left w:val="single" w:sz="6" w:space="0" w:color="auto"/>
              <w:bottom w:val="single" w:sz="6" w:space="0" w:color="auto"/>
              <w:right w:val="single" w:sz="6" w:space="0" w:color="auto"/>
            </w:tcBorders>
          </w:tcPr>
          <w:p w14:paraId="4106464A"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Transferencias de Acciones de Empresas del Sistema Financiero</w:t>
            </w:r>
          </w:p>
        </w:tc>
        <w:tc>
          <w:tcPr>
            <w:tcW w:w="1440" w:type="dxa"/>
            <w:tcBorders>
              <w:top w:val="single" w:sz="6" w:space="0" w:color="auto"/>
              <w:left w:val="single" w:sz="6" w:space="0" w:color="auto"/>
              <w:bottom w:val="single" w:sz="6" w:space="0" w:color="auto"/>
              <w:right w:val="single" w:sz="6" w:space="0" w:color="auto"/>
            </w:tcBorders>
            <w:vAlign w:val="center"/>
          </w:tcPr>
          <w:p w14:paraId="28C366D1"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7607F931" w14:textId="77777777" w:rsidTr="00097269">
        <w:trPr>
          <w:cantSplit/>
          <w:trHeight w:val="500"/>
        </w:trPr>
        <w:tc>
          <w:tcPr>
            <w:tcW w:w="1830" w:type="dxa"/>
            <w:vMerge/>
            <w:tcBorders>
              <w:left w:val="single" w:sz="6" w:space="0" w:color="auto"/>
              <w:right w:val="single" w:sz="6" w:space="0" w:color="auto"/>
            </w:tcBorders>
            <w:vAlign w:val="center"/>
          </w:tcPr>
          <w:p w14:paraId="62E42D51"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6AB732F"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vertAlign w:val="superscript"/>
              </w:rPr>
              <w:t>24</w:t>
            </w:r>
          </w:p>
        </w:tc>
        <w:tc>
          <w:tcPr>
            <w:tcW w:w="3060" w:type="dxa"/>
            <w:tcBorders>
              <w:top w:val="single" w:sz="6" w:space="0" w:color="auto"/>
              <w:left w:val="single" w:sz="6" w:space="0" w:color="auto"/>
              <w:bottom w:val="single" w:sz="6" w:space="0" w:color="auto"/>
              <w:right w:val="single" w:sz="6" w:space="0" w:color="auto"/>
            </w:tcBorders>
          </w:tcPr>
          <w:p w14:paraId="5A6ECE74" w14:textId="77777777" w:rsidR="0008451F" w:rsidRPr="00935B0A" w:rsidRDefault="0008451F" w:rsidP="0008451F">
            <w:pPr>
              <w:spacing w:before="100" w:after="100"/>
              <w:ind w:left="28" w:right="28"/>
              <w:jc w:val="both"/>
              <w:rPr>
                <w:rFonts w:ascii="Arial Narrow" w:hAnsi="Arial Narrow"/>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67F3260F" w14:textId="77777777" w:rsidR="0008451F" w:rsidRPr="00935B0A" w:rsidRDefault="0008451F" w:rsidP="0008451F">
            <w:pPr>
              <w:spacing w:before="100" w:after="100"/>
              <w:ind w:right="-30"/>
              <w:jc w:val="center"/>
              <w:rPr>
                <w:rFonts w:ascii="Arial Narrow" w:hAnsi="Arial Narrow"/>
                <w:sz w:val="20"/>
                <w:szCs w:val="20"/>
              </w:rPr>
            </w:pPr>
          </w:p>
        </w:tc>
      </w:tr>
      <w:tr w:rsidR="0008451F" w:rsidRPr="00935B0A" w14:paraId="0998336F" w14:textId="77777777">
        <w:trPr>
          <w:cantSplit/>
          <w:trHeight w:val="500"/>
        </w:trPr>
        <w:tc>
          <w:tcPr>
            <w:tcW w:w="1830" w:type="dxa"/>
            <w:tcBorders>
              <w:left w:val="single" w:sz="6" w:space="0" w:color="auto"/>
              <w:right w:val="single" w:sz="6" w:space="0" w:color="auto"/>
            </w:tcBorders>
            <w:vAlign w:val="center"/>
          </w:tcPr>
          <w:p w14:paraId="2AEFD4A6"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DBDA3EB"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26 – Anexo 1 </w:t>
            </w:r>
            <w:r w:rsidRPr="00935B0A">
              <w:rPr>
                <w:rFonts w:ascii="Arial Narrow" w:hAnsi="Arial Narrow"/>
                <w:b/>
                <w:sz w:val="20"/>
                <w:szCs w:val="20"/>
                <w:vertAlign w:val="superscript"/>
              </w:rPr>
              <w:t>25</w:t>
            </w:r>
          </w:p>
        </w:tc>
        <w:tc>
          <w:tcPr>
            <w:tcW w:w="3060" w:type="dxa"/>
            <w:tcBorders>
              <w:top w:val="single" w:sz="6" w:space="0" w:color="auto"/>
              <w:left w:val="single" w:sz="6" w:space="0" w:color="auto"/>
              <w:bottom w:val="single" w:sz="6" w:space="0" w:color="auto"/>
              <w:right w:val="single" w:sz="6" w:space="0" w:color="auto"/>
            </w:tcBorders>
          </w:tcPr>
          <w:p w14:paraId="7F465060"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Movimientos de Transferencias de Fondos -Nacionales</w:t>
            </w:r>
          </w:p>
        </w:tc>
        <w:tc>
          <w:tcPr>
            <w:tcW w:w="1440" w:type="dxa"/>
            <w:tcBorders>
              <w:top w:val="single" w:sz="6" w:space="0" w:color="auto"/>
              <w:left w:val="single" w:sz="6" w:space="0" w:color="auto"/>
              <w:bottom w:val="single" w:sz="6" w:space="0" w:color="auto"/>
              <w:right w:val="single" w:sz="6" w:space="0" w:color="auto"/>
            </w:tcBorders>
            <w:vAlign w:val="center"/>
          </w:tcPr>
          <w:p w14:paraId="47866331"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7A0FA76F" w14:textId="77777777">
        <w:trPr>
          <w:cantSplit/>
          <w:trHeight w:val="500"/>
        </w:trPr>
        <w:tc>
          <w:tcPr>
            <w:tcW w:w="1830" w:type="dxa"/>
            <w:tcBorders>
              <w:left w:val="single" w:sz="6" w:space="0" w:color="auto"/>
              <w:right w:val="single" w:sz="6" w:space="0" w:color="auto"/>
            </w:tcBorders>
            <w:vAlign w:val="center"/>
          </w:tcPr>
          <w:p w14:paraId="2EF9DAA1"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24519E5"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26 – Anexo 2 </w:t>
            </w:r>
            <w:r w:rsidRPr="00935B0A">
              <w:rPr>
                <w:rFonts w:ascii="Arial Narrow" w:hAnsi="Arial Narrow"/>
                <w:b/>
                <w:sz w:val="20"/>
                <w:szCs w:val="20"/>
                <w:vertAlign w:val="superscript"/>
              </w:rPr>
              <w:t>25</w:t>
            </w:r>
          </w:p>
        </w:tc>
        <w:tc>
          <w:tcPr>
            <w:tcW w:w="3060" w:type="dxa"/>
            <w:tcBorders>
              <w:top w:val="single" w:sz="6" w:space="0" w:color="auto"/>
              <w:left w:val="single" w:sz="6" w:space="0" w:color="auto"/>
              <w:bottom w:val="single" w:sz="6" w:space="0" w:color="auto"/>
              <w:right w:val="single" w:sz="6" w:space="0" w:color="auto"/>
            </w:tcBorders>
          </w:tcPr>
          <w:p w14:paraId="6FFF4400"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Movimientos de Transferencias de Fondos - Internacionales</w:t>
            </w:r>
          </w:p>
        </w:tc>
        <w:tc>
          <w:tcPr>
            <w:tcW w:w="1440" w:type="dxa"/>
            <w:tcBorders>
              <w:top w:val="single" w:sz="6" w:space="0" w:color="auto"/>
              <w:left w:val="single" w:sz="6" w:space="0" w:color="auto"/>
              <w:bottom w:val="single" w:sz="6" w:space="0" w:color="auto"/>
              <w:right w:val="single" w:sz="6" w:space="0" w:color="auto"/>
            </w:tcBorders>
            <w:vAlign w:val="center"/>
          </w:tcPr>
          <w:p w14:paraId="2EE09DBA"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73E0964C" w14:textId="77777777" w:rsidTr="0003630F">
        <w:trPr>
          <w:cantSplit/>
          <w:trHeight w:val="500"/>
        </w:trPr>
        <w:tc>
          <w:tcPr>
            <w:tcW w:w="1830" w:type="dxa"/>
            <w:tcBorders>
              <w:left w:val="single" w:sz="6" w:space="0" w:color="auto"/>
              <w:right w:val="single" w:sz="6" w:space="0" w:color="auto"/>
            </w:tcBorders>
            <w:vAlign w:val="center"/>
          </w:tcPr>
          <w:p w14:paraId="45973660"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550DCDD3"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30 </w:t>
            </w:r>
            <w:r w:rsidRPr="00935B0A">
              <w:rPr>
                <w:rFonts w:ascii="Arial Narrow" w:hAnsi="Arial Narrow"/>
                <w:b/>
                <w:sz w:val="20"/>
                <w:szCs w:val="20"/>
                <w:vertAlign w:val="superscript"/>
              </w:rPr>
              <w:t>26</w:t>
            </w:r>
          </w:p>
        </w:tc>
        <w:tc>
          <w:tcPr>
            <w:tcW w:w="3060" w:type="dxa"/>
            <w:tcBorders>
              <w:top w:val="single" w:sz="6" w:space="0" w:color="auto"/>
              <w:left w:val="single" w:sz="6" w:space="0" w:color="auto"/>
              <w:bottom w:val="single" w:sz="6" w:space="0" w:color="auto"/>
              <w:right w:val="single" w:sz="6" w:space="0" w:color="auto"/>
            </w:tcBorders>
          </w:tcPr>
          <w:p w14:paraId="0D9E0666"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Cajeros Automáticos, Establecimientos de Operaciones Básicas y Cajeros Corresponsales</w:t>
            </w:r>
          </w:p>
        </w:tc>
        <w:tc>
          <w:tcPr>
            <w:tcW w:w="1440" w:type="dxa"/>
            <w:tcBorders>
              <w:top w:val="single" w:sz="6" w:space="0" w:color="auto"/>
              <w:left w:val="single" w:sz="6" w:space="0" w:color="auto"/>
              <w:bottom w:val="single" w:sz="6" w:space="0" w:color="auto"/>
              <w:right w:val="single" w:sz="6" w:space="0" w:color="auto"/>
            </w:tcBorders>
            <w:vAlign w:val="center"/>
          </w:tcPr>
          <w:p w14:paraId="02683C5E"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Trimestral</w:t>
            </w:r>
          </w:p>
        </w:tc>
      </w:tr>
      <w:tr w:rsidR="0008451F" w:rsidRPr="00935B0A" w14:paraId="6504828A" w14:textId="77777777" w:rsidTr="004410C1">
        <w:trPr>
          <w:cantSplit/>
          <w:trHeight w:val="500"/>
        </w:trPr>
        <w:tc>
          <w:tcPr>
            <w:tcW w:w="1830" w:type="dxa"/>
            <w:tcBorders>
              <w:left w:val="single" w:sz="6" w:space="0" w:color="auto"/>
              <w:right w:val="single" w:sz="6" w:space="0" w:color="auto"/>
            </w:tcBorders>
            <w:vAlign w:val="center"/>
          </w:tcPr>
          <w:p w14:paraId="09F2CBA4"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27AF785"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31 </w:t>
            </w:r>
            <w:r w:rsidRPr="00935B0A">
              <w:rPr>
                <w:rFonts w:ascii="Arial Narrow" w:hAnsi="Arial Narrow"/>
                <w:b/>
                <w:sz w:val="20"/>
                <w:szCs w:val="20"/>
                <w:vertAlign w:val="superscript"/>
              </w:rPr>
              <w:t>27</w:t>
            </w:r>
          </w:p>
        </w:tc>
        <w:tc>
          <w:tcPr>
            <w:tcW w:w="3060" w:type="dxa"/>
            <w:tcBorders>
              <w:top w:val="single" w:sz="6" w:space="0" w:color="auto"/>
              <w:left w:val="single" w:sz="6" w:space="0" w:color="auto"/>
              <w:bottom w:val="single" w:sz="6" w:space="0" w:color="auto"/>
              <w:right w:val="single" w:sz="6" w:space="0" w:color="auto"/>
            </w:tcBorders>
          </w:tcPr>
          <w:p w14:paraId="027671DA"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Detalle de Fideicomisos por Contrato</w:t>
            </w:r>
          </w:p>
        </w:tc>
        <w:tc>
          <w:tcPr>
            <w:tcW w:w="1440" w:type="dxa"/>
            <w:tcBorders>
              <w:top w:val="single" w:sz="6" w:space="0" w:color="auto"/>
              <w:left w:val="single" w:sz="6" w:space="0" w:color="auto"/>
              <w:bottom w:val="single" w:sz="6" w:space="0" w:color="auto"/>
              <w:right w:val="single" w:sz="6" w:space="0" w:color="auto"/>
            </w:tcBorders>
            <w:vAlign w:val="center"/>
          </w:tcPr>
          <w:p w14:paraId="14FA6515"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Trimestral</w:t>
            </w:r>
          </w:p>
        </w:tc>
      </w:tr>
      <w:tr w:rsidR="0008451F" w:rsidRPr="00935B0A" w14:paraId="4225EE9F" w14:textId="77777777" w:rsidTr="004410C1">
        <w:trPr>
          <w:cantSplit/>
          <w:trHeight w:val="500"/>
        </w:trPr>
        <w:tc>
          <w:tcPr>
            <w:tcW w:w="1830" w:type="dxa"/>
            <w:tcBorders>
              <w:left w:val="single" w:sz="6" w:space="0" w:color="auto"/>
              <w:right w:val="single" w:sz="6" w:space="0" w:color="auto"/>
            </w:tcBorders>
            <w:vAlign w:val="center"/>
          </w:tcPr>
          <w:p w14:paraId="7910C38B"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132A9C6B"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32-A </w:t>
            </w:r>
            <w:r w:rsidRPr="00935B0A">
              <w:rPr>
                <w:rFonts w:ascii="Arial Narrow" w:hAnsi="Arial Narrow"/>
                <w:b/>
                <w:sz w:val="20"/>
                <w:szCs w:val="20"/>
                <w:vertAlign w:val="superscript"/>
              </w:rPr>
              <w:t>28</w:t>
            </w:r>
          </w:p>
        </w:tc>
        <w:tc>
          <w:tcPr>
            <w:tcW w:w="3060" w:type="dxa"/>
            <w:tcBorders>
              <w:top w:val="single" w:sz="6" w:space="0" w:color="auto"/>
              <w:left w:val="single" w:sz="6" w:space="0" w:color="auto"/>
              <w:bottom w:val="single" w:sz="6" w:space="0" w:color="auto"/>
              <w:right w:val="single" w:sz="6" w:space="0" w:color="auto"/>
            </w:tcBorders>
          </w:tcPr>
          <w:p w14:paraId="64BF5E28"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Reporte Diario de Dinero Electrónico</w:t>
            </w:r>
          </w:p>
        </w:tc>
        <w:tc>
          <w:tcPr>
            <w:tcW w:w="1440" w:type="dxa"/>
            <w:tcBorders>
              <w:top w:val="single" w:sz="6" w:space="0" w:color="auto"/>
              <w:left w:val="single" w:sz="6" w:space="0" w:color="auto"/>
              <w:bottom w:val="single" w:sz="6" w:space="0" w:color="auto"/>
              <w:right w:val="single" w:sz="6" w:space="0" w:color="auto"/>
            </w:tcBorders>
            <w:vAlign w:val="center"/>
          </w:tcPr>
          <w:p w14:paraId="1C8C0198"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Diario</w:t>
            </w:r>
          </w:p>
        </w:tc>
      </w:tr>
      <w:tr w:rsidR="0008451F" w:rsidRPr="00935B0A" w14:paraId="3C0915E8" w14:textId="77777777" w:rsidTr="00262608">
        <w:trPr>
          <w:cantSplit/>
          <w:trHeight w:val="500"/>
        </w:trPr>
        <w:tc>
          <w:tcPr>
            <w:tcW w:w="1830" w:type="dxa"/>
            <w:tcBorders>
              <w:left w:val="single" w:sz="6" w:space="0" w:color="auto"/>
              <w:right w:val="single" w:sz="6" w:space="0" w:color="auto"/>
            </w:tcBorders>
            <w:vAlign w:val="center"/>
          </w:tcPr>
          <w:p w14:paraId="444031C3"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DC1E42C"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rPr>
              <w:t xml:space="preserve">Reporte 32-B </w:t>
            </w:r>
            <w:r w:rsidRPr="00935B0A">
              <w:rPr>
                <w:rFonts w:ascii="Arial Narrow" w:hAnsi="Arial Narrow"/>
                <w:b/>
                <w:sz w:val="20"/>
                <w:szCs w:val="20"/>
                <w:vertAlign w:val="superscript"/>
              </w:rPr>
              <w:t>28</w:t>
            </w:r>
          </w:p>
        </w:tc>
        <w:tc>
          <w:tcPr>
            <w:tcW w:w="3060" w:type="dxa"/>
            <w:tcBorders>
              <w:top w:val="single" w:sz="6" w:space="0" w:color="auto"/>
              <w:left w:val="single" w:sz="6" w:space="0" w:color="auto"/>
              <w:bottom w:val="single" w:sz="6" w:space="0" w:color="auto"/>
              <w:right w:val="single" w:sz="6" w:space="0" w:color="auto"/>
            </w:tcBorders>
          </w:tcPr>
          <w:p w14:paraId="425B6020" w14:textId="77777777" w:rsidR="0008451F" w:rsidRPr="00935B0A" w:rsidRDefault="0008451F" w:rsidP="0008451F">
            <w:pPr>
              <w:spacing w:before="100" w:after="100"/>
              <w:ind w:left="28" w:right="28"/>
              <w:jc w:val="both"/>
              <w:rPr>
                <w:rFonts w:ascii="Arial Narrow" w:hAnsi="Arial Narrow"/>
                <w:sz w:val="20"/>
                <w:szCs w:val="20"/>
              </w:rPr>
            </w:pPr>
            <w:r w:rsidRPr="00935B0A">
              <w:rPr>
                <w:rFonts w:ascii="Arial Narrow" w:hAnsi="Arial Narrow"/>
                <w:sz w:val="20"/>
                <w:szCs w:val="20"/>
              </w:rPr>
              <w:t>Reporte Mensual de Dinero Electrónico</w:t>
            </w:r>
          </w:p>
        </w:tc>
        <w:tc>
          <w:tcPr>
            <w:tcW w:w="1440" w:type="dxa"/>
            <w:tcBorders>
              <w:top w:val="single" w:sz="6" w:space="0" w:color="auto"/>
              <w:left w:val="single" w:sz="6" w:space="0" w:color="auto"/>
              <w:bottom w:val="single" w:sz="6" w:space="0" w:color="auto"/>
              <w:right w:val="single" w:sz="6" w:space="0" w:color="auto"/>
            </w:tcBorders>
            <w:vAlign w:val="center"/>
          </w:tcPr>
          <w:p w14:paraId="46837415" w14:textId="77777777" w:rsidR="0008451F" w:rsidRPr="00935B0A" w:rsidRDefault="0008451F" w:rsidP="0008451F">
            <w:pPr>
              <w:spacing w:before="100" w:after="100"/>
              <w:ind w:right="-30"/>
              <w:jc w:val="center"/>
              <w:rPr>
                <w:rFonts w:ascii="Arial Narrow" w:hAnsi="Arial Narrow"/>
                <w:sz w:val="20"/>
                <w:szCs w:val="20"/>
              </w:rPr>
            </w:pPr>
            <w:r w:rsidRPr="00935B0A">
              <w:rPr>
                <w:rFonts w:ascii="Arial Narrow" w:hAnsi="Arial Narrow"/>
                <w:sz w:val="20"/>
                <w:szCs w:val="20"/>
              </w:rPr>
              <w:t>Mensual</w:t>
            </w:r>
          </w:p>
        </w:tc>
      </w:tr>
      <w:tr w:rsidR="0008451F" w:rsidRPr="00935B0A" w14:paraId="0B209D09" w14:textId="77777777">
        <w:trPr>
          <w:cantSplit/>
          <w:trHeight w:val="500"/>
        </w:trPr>
        <w:tc>
          <w:tcPr>
            <w:tcW w:w="1830" w:type="dxa"/>
            <w:tcBorders>
              <w:left w:val="single" w:sz="6" w:space="0" w:color="auto"/>
              <w:bottom w:val="single" w:sz="6" w:space="0" w:color="auto"/>
              <w:right w:val="single" w:sz="6" w:space="0" w:color="auto"/>
            </w:tcBorders>
            <w:vAlign w:val="center"/>
          </w:tcPr>
          <w:p w14:paraId="439A3BAC" w14:textId="77777777" w:rsidR="0008451F" w:rsidRPr="00935B0A" w:rsidRDefault="0008451F" w:rsidP="0008451F">
            <w:pPr>
              <w:spacing w:before="100" w:after="100"/>
              <w:ind w:right="-30"/>
              <w:jc w:val="center"/>
              <w:rPr>
                <w:rFonts w:ascii="Arial Narrow" w:hAnsi="Arial Narrow"/>
                <w:b/>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EF01FE3" w14:textId="77777777" w:rsidR="0008451F" w:rsidRPr="00935B0A" w:rsidRDefault="0008451F" w:rsidP="0008451F">
            <w:pPr>
              <w:spacing w:before="100" w:after="100"/>
              <w:ind w:right="-30"/>
              <w:jc w:val="center"/>
              <w:rPr>
                <w:rFonts w:ascii="Arial Narrow" w:hAnsi="Arial Narrow"/>
                <w:b/>
                <w:sz w:val="20"/>
                <w:szCs w:val="20"/>
              </w:rPr>
            </w:pPr>
            <w:r w:rsidRPr="00935B0A">
              <w:rPr>
                <w:rFonts w:ascii="Arial Narrow" w:hAnsi="Arial Narrow"/>
                <w:b/>
                <w:sz w:val="20"/>
                <w:szCs w:val="20"/>
                <w:vertAlign w:val="superscript"/>
              </w:rPr>
              <w:t>29</w:t>
            </w:r>
          </w:p>
        </w:tc>
        <w:tc>
          <w:tcPr>
            <w:tcW w:w="3060" w:type="dxa"/>
            <w:tcBorders>
              <w:top w:val="single" w:sz="6" w:space="0" w:color="auto"/>
              <w:left w:val="single" w:sz="6" w:space="0" w:color="auto"/>
              <w:bottom w:val="single" w:sz="6" w:space="0" w:color="auto"/>
              <w:right w:val="single" w:sz="6" w:space="0" w:color="auto"/>
            </w:tcBorders>
          </w:tcPr>
          <w:p w14:paraId="2D03F83F" w14:textId="77777777" w:rsidR="0008451F" w:rsidRPr="00935B0A" w:rsidRDefault="0008451F" w:rsidP="0008451F">
            <w:pPr>
              <w:spacing w:before="100" w:after="100"/>
              <w:ind w:left="28" w:right="28"/>
              <w:jc w:val="both"/>
              <w:rPr>
                <w:rFonts w:ascii="Arial Narrow" w:hAnsi="Arial Narrow"/>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0C5745E2" w14:textId="77777777" w:rsidR="0008451F" w:rsidRPr="00935B0A" w:rsidRDefault="0008451F" w:rsidP="0008451F">
            <w:pPr>
              <w:spacing w:before="100" w:after="100"/>
              <w:ind w:right="-30"/>
              <w:jc w:val="center"/>
              <w:rPr>
                <w:rFonts w:ascii="Arial Narrow" w:hAnsi="Arial Narrow"/>
                <w:sz w:val="20"/>
                <w:szCs w:val="20"/>
              </w:rPr>
            </w:pPr>
          </w:p>
        </w:tc>
      </w:tr>
    </w:tbl>
    <w:p w14:paraId="7D352301" w14:textId="77777777" w:rsidR="00125408" w:rsidRPr="00935B0A" w:rsidRDefault="00125408" w:rsidP="00125408">
      <w:pPr>
        <w:tabs>
          <w:tab w:val="left" w:pos="3149"/>
          <w:tab w:val="left" w:pos="6379"/>
          <w:tab w:val="left" w:pos="7685"/>
        </w:tabs>
        <w:spacing w:before="40"/>
        <w:jc w:val="both"/>
        <w:rPr>
          <w:rFonts w:ascii="Arial Narrow" w:hAnsi="Arial Narrow"/>
          <w:sz w:val="20"/>
          <w:szCs w:val="20"/>
        </w:rPr>
      </w:pPr>
    </w:p>
    <w:p w14:paraId="7A8CDB2A" w14:textId="77777777" w:rsidR="00125408" w:rsidRPr="00935B0A" w:rsidRDefault="00125408" w:rsidP="00935B0A">
      <w:pPr>
        <w:tabs>
          <w:tab w:val="left" w:pos="3149"/>
          <w:tab w:val="left" w:pos="6379"/>
          <w:tab w:val="left" w:pos="7685"/>
        </w:tabs>
        <w:spacing w:before="40"/>
        <w:jc w:val="both"/>
        <w:rPr>
          <w:rFonts w:ascii="Arial Narrow" w:hAnsi="Arial Narrow"/>
          <w:sz w:val="20"/>
          <w:szCs w:val="20"/>
        </w:rPr>
      </w:pPr>
      <w:r w:rsidRPr="00935B0A">
        <w:rPr>
          <w:rFonts w:ascii="Arial Narrow" w:hAnsi="Arial Narrow"/>
          <w:sz w:val="20"/>
          <w:szCs w:val="20"/>
        </w:rPr>
        <w:t>(*) El diseño de registro</w:t>
      </w:r>
      <w:r w:rsidR="00A3482B" w:rsidRPr="00935B0A">
        <w:rPr>
          <w:rFonts w:ascii="Arial Narrow" w:hAnsi="Arial Narrow"/>
          <w:sz w:val="20"/>
          <w:szCs w:val="20"/>
        </w:rPr>
        <w:t xml:space="preserve">, </w:t>
      </w:r>
      <w:proofErr w:type="gramStart"/>
      <w:r w:rsidR="00A3482B" w:rsidRPr="00935B0A">
        <w:rPr>
          <w:rFonts w:ascii="Arial Narrow" w:hAnsi="Arial Narrow"/>
          <w:sz w:val="20"/>
          <w:szCs w:val="20"/>
        </w:rPr>
        <w:t>de acuerdo al</w:t>
      </w:r>
      <w:proofErr w:type="gramEnd"/>
      <w:r w:rsidR="00A3482B" w:rsidRPr="00935B0A">
        <w:rPr>
          <w:rFonts w:ascii="Arial Narrow" w:hAnsi="Arial Narrow"/>
          <w:sz w:val="20"/>
          <w:szCs w:val="20"/>
        </w:rPr>
        <w:t xml:space="preserve"> Oficio Múltiple </w:t>
      </w:r>
      <w:proofErr w:type="spellStart"/>
      <w:r w:rsidR="00A3482B" w:rsidRPr="00935B0A">
        <w:rPr>
          <w:rFonts w:ascii="Arial Narrow" w:hAnsi="Arial Narrow"/>
          <w:sz w:val="20"/>
          <w:szCs w:val="20"/>
        </w:rPr>
        <w:t>N°</w:t>
      </w:r>
      <w:proofErr w:type="spellEnd"/>
      <w:r w:rsidR="00A3482B" w:rsidRPr="00935B0A">
        <w:rPr>
          <w:rFonts w:ascii="Arial Narrow" w:hAnsi="Arial Narrow"/>
          <w:sz w:val="20"/>
          <w:szCs w:val="20"/>
        </w:rPr>
        <w:t xml:space="preserve"> 1584-2014-SBS del 13.05.2014,  </w:t>
      </w:r>
      <w:r w:rsidRPr="00935B0A">
        <w:rPr>
          <w:rFonts w:ascii="Arial Narrow" w:hAnsi="Arial Narrow"/>
          <w:sz w:val="20"/>
          <w:szCs w:val="20"/>
        </w:rPr>
        <w:t xml:space="preserve"> se encuentra publicado en la Página web del Portal del Supervisado en el enlace http/</w:t>
      </w:r>
      <w:proofErr w:type="gramStart"/>
      <w:r w:rsidRPr="00935B0A">
        <w:rPr>
          <w:rFonts w:ascii="Arial Narrow" w:hAnsi="Arial Narrow"/>
          <w:sz w:val="20"/>
          <w:szCs w:val="20"/>
        </w:rPr>
        <w:t>/:extranet.sbs.gob.pe/</w:t>
      </w:r>
      <w:proofErr w:type="spellStart"/>
      <w:r w:rsidRPr="00935B0A">
        <w:rPr>
          <w:rFonts w:ascii="Arial Narrow" w:hAnsi="Arial Narrow"/>
          <w:sz w:val="20"/>
          <w:szCs w:val="20"/>
        </w:rPr>
        <w:t>docs-rcd</w:t>
      </w:r>
      <w:proofErr w:type="spellEnd"/>
      <w:r w:rsidRPr="00935B0A">
        <w:rPr>
          <w:rFonts w:ascii="Arial Narrow" w:hAnsi="Arial Narrow"/>
          <w:sz w:val="20"/>
          <w:szCs w:val="20"/>
        </w:rPr>
        <w:t>/informacion_rcd.htm</w:t>
      </w:r>
      <w:proofErr w:type="gramEnd"/>
    </w:p>
    <w:p w14:paraId="08C0D991" w14:textId="77777777" w:rsidR="00965622" w:rsidRPr="00935B0A" w:rsidRDefault="00125408" w:rsidP="00935B0A">
      <w:pPr>
        <w:tabs>
          <w:tab w:val="left" w:pos="3149"/>
          <w:tab w:val="left" w:pos="6379"/>
          <w:tab w:val="left" w:pos="7685"/>
        </w:tabs>
        <w:spacing w:before="40"/>
        <w:jc w:val="both"/>
        <w:rPr>
          <w:rFonts w:ascii="Arial Narrow" w:hAnsi="Arial Narrow"/>
          <w:sz w:val="20"/>
          <w:szCs w:val="20"/>
        </w:rPr>
      </w:pPr>
      <w:r w:rsidRPr="00935B0A">
        <w:rPr>
          <w:rFonts w:ascii="Arial Narrow" w:hAnsi="Arial Narrow"/>
          <w:sz w:val="20"/>
          <w:szCs w:val="20"/>
        </w:rPr>
        <w:t>(**)</w:t>
      </w:r>
      <w:r w:rsidR="00273CD5" w:rsidRPr="00935B0A">
        <w:rPr>
          <w:rFonts w:ascii="Arial Narrow" w:hAnsi="Arial Narrow"/>
          <w:sz w:val="20"/>
          <w:szCs w:val="20"/>
        </w:rPr>
        <w:t xml:space="preserve"> Reporte de acuerdo con las instrucciones contenidas en los Oficios Múltiples </w:t>
      </w:r>
      <w:proofErr w:type="spellStart"/>
      <w:r w:rsidR="00935B0A" w:rsidRPr="00935B0A">
        <w:rPr>
          <w:rFonts w:ascii="Arial Narrow" w:hAnsi="Arial Narrow"/>
          <w:sz w:val="20"/>
          <w:szCs w:val="20"/>
        </w:rPr>
        <w:t>Nº</w:t>
      </w:r>
      <w:proofErr w:type="spellEnd"/>
      <w:r w:rsidR="00273CD5" w:rsidRPr="00935B0A">
        <w:rPr>
          <w:rFonts w:ascii="Arial Narrow" w:hAnsi="Arial Narrow"/>
          <w:sz w:val="20"/>
          <w:szCs w:val="20"/>
        </w:rPr>
        <w:t xml:space="preserve"> 1619-2001 y 1997-2001</w:t>
      </w:r>
    </w:p>
    <w:p w14:paraId="6967342A" w14:textId="77777777" w:rsidR="00F557B0" w:rsidRPr="00935B0A" w:rsidRDefault="00273CD5" w:rsidP="00935B0A">
      <w:pPr>
        <w:tabs>
          <w:tab w:val="left" w:pos="7685"/>
        </w:tabs>
        <w:spacing w:before="40"/>
        <w:jc w:val="both"/>
        <w:rPr>
          <w:rFonts w:ascii="Arial Narrow" w:hAnsi="Arial Narrow"/>
          <w:sz w:val="20"/>
          <w:szCs w:val="20"/>
        </w:rPr>
      </w:pPr>
      <w:r w:rsidRPr="00935B0A">
        <w:rPr>
          <w:rFonts w:ascii="Arial Narrow" w:hAnsi="Arial Narrow"/>
          <w:sz w:val="20"/>
          <w:szCs w:val="20"/>
        </w:rPr>
        <w:t>(</w:t>
      </w:r>
      <w:r w:rsidR="00965622" w:rsidRPr="00935B0A">
        <w:rPr>
          <w:rFonts w:ascii="Arial Narrow" w:hAnsi="Arial Narrow"/>
          <w:sz w:val="20"/>
          <w:szCs w:val="20"/>
        </w:rPr>
        <w:t>**</w:t>
      </w:r>
      <w:r w:rsidRPr="00935B0A">
        <w:rPr>
          <w:rFonts w:ascii="Arial Narrow" w:hAnsi="Arial Narrow"/>
          <w:sz w:val="20"/>
          <w:szCs w:val="20"/>
        </w:rPr>
        <w:t>*</w:t>
      </w:r>
      <w:r w:rsidR="00520001" w:rsidRPr="00935B0A">
        <w:rPr>
          <w:rFonts w:ascii="Arial Narrow" w:hAnsi="Arial Narrow"/>
          <w:sz w:val="20"/>
          <w:szCs w:val="20"/>
        </w:rPr>
        <w:t xml:space="preserve">) </w:t>
      </w:r>
      <w:proofErr w:type="gramStart"/>
      <w:r w:rsidR="00520001" w:rsidRPr="00935B0A">
        <w:rPr>
          <w:rFonts w:ascii="Arial Narrow" w:hAnsi="Arial Narrow"/>
          <w:sz w:val="20"/>
          <w:szCs w:val="20"/>
        </w:rPr>
        <w:t>De</w:t>
      </w:r>
      <w:r w:rsidR="00F557B0" w:rsidRPr="00935B0A">
        <w:rPr>
          <w:rFonts w:ascii="Arial Narrow" w:hAnsi="Arial Narrow"/>
          <w:sz w:val="20"/>
          <w:szCs w:val="20"/>
        </w:rPr>
        <w:t xml:space="preserve"> acuerdo a</w:t>
      </w:r>
      <w:proofErr w:type="gramEnd"/>
      <w:r w:rsidR="00F557B0" w:rsidRPr="00935B0A">
        <w:rPr>
          <w:rFonts w:ascii="Arial Narrow" w:hAnsi="Arial Narrow"/>
          <w:sz w:val="20"/>
          <w:szCs w:val="20"/>
        </w:rPr>
        <w:t xml:space="preserve"> la Resolución SBS </w:t>
      </w:r>
      <w:proofErr w:type="spellStart"/>
      <w:r w:rsidR="00F557B0" w:rsidRPr="00935B0A">
        <w:rPr>
          <w:rFonts w:ascii="Arial Narrow" w:hAnsi="Arial Narrow"/>
          <w:sz w:val="20"/>
          <w:szCs w:val="20"/>
        </w:rPr>
        <w:t>Nº</w:t>
      </w:r>
      <w:proofErr w:type="spellEnd"/>
      <w:r w:rsidR="00F557B0" w:rsidRPr="00935B0A">
        <w:rPr>
          <w:rFonts w:ascii="Arial Narrow" w:hAnsi="Arial Narrow"/>
          <w:sz w:val="20"/>
          <w:szCs w:val="20"/>
        </w:rPr>
        <w:t xml:space="preserve"> 6415-2014 del 26.09.2014, el formato aprobado mediante dicha </w:t>
      </w:r>
      <w:proofErr w:type="gramStart"/>
      <w:r w:rsidR="00F557B0" w:rsidRPr="00935B0A">
        <w:rPr>
          <w:rFonts w:ascii="Arial Narrow" w:hAnsi="Arial Narrow"/>
          <w:sz w:val="20"/>
          <w:szCs w:val="20"/>
        </w:rPr>
        <w:t>resolución,</w:t>
      </w:r>
      <w:proofErr w:type="gramEnd"/>
      <w:r w:rsidR="00F557B0" w:rsidRPr="00935B0A">
        <w:rPr>
          <w:rFonts w:ascii="Arial Narrow" w:hAnsi="Arial Narrow"/>
          <w:sz w:val="20"/>
          <w:szCs w:val="20"/>
        </w:rPr>
        <w:t xml:space="preserve"> </w:t>
      </w:r>
      <w:proofErr w:type="gramStart"/>
      <w:r w:rsidR="00F557B0" w:rsidRPr="00935B0A">
        <w:rPr>
          <w:rFonts w:ascii="Arial Narrow" w:hAnsi="Arial Narrow"/>
          <w:sz w:val="20"/>
          <w:szCs w:val="20"/>
        </w:rPr>
        <w:t>corresponde  a</w:t>
      </w:r>
      <w:proofErr w:type="gramEnd"/>
      <w:r w:rsidR="00F557B0" w:rsidRPr="00935B0A">
        <w:rPr>
          <w:rFonts w:ascii="Arial Narrow" w:hAnsi="Arial Narrow"/>
          <w:sz w:val="20"/>
          <w:szCs w:val="20"/>
        </w:rPr>
        <w:t xml:space="preserve"> los activos señalados en los numerales 1 y 2 del artículo 13° de las normas para la cobertura, recursos y pago de imposiciones cubiertas del Fondo de Seguro de Depósitos aprobadas por la Resolución SBS </w:t>
      </w:r>
      <w:proofErr w:type="spellStart"/>
      <w:r w:rsidR="00F557B0" w:rsidRPr="00935B0A">
        <w:rPr>
          <w:rFonts w:ascii="Arial Narrow" w:hAnsi="Arial Narrow"/>
          <w:sz w:val="20"/>
          <w:szCs w:val="20"/>
        </w:rPr>
        <w:t>N°</w:t>
      </w:r>
      <w:proofErr w:type="spellEnd"/>
      <w:r w:rsidR="00F557B0" w:rsidRPr="00935B0A">
        <w:rPr>
          <w:rFonts w:ascii="Arial Narrow" w:hAnsi="Arial Narrow"/>
          <w:sz w:val="20"/>
          <w:szCs w:val="20"/>
        </w:rPr>
        <w:t xml:space="preserve"> 657-99 y sus normas modificatorias. Los activos comprendidos en el artículo 13° de las normas para la cobertura, recursos y pago de imposiciones cubiertas del Fondo de Seguro de Depósitos, diferentes a los bienes materia de reporte, se continuarán remitiendo en forma impresa, en la periodicidad y plazo establecida en el artículo 14° de las citadas normas.</w:t>
      </w:r>
    </w:p>
    <w:p w14:paraId="37491AB5" w14:textId="77777777" w:rsidR="00262608" w:rsidRPr="00935B0A" w:rsidRDefault="00262608" w:rsidP="00935B0A">
      <w:pPr>
        <w:tabs>
          <w:tab w:val="left" w:pos="7685"/>
        </w:tabs>
        <w:ind w:right="-30"/>
        <w:jc w:val="both"/>
        <w:rPr>
          <w:rFonts w:ascii="Arial Narrow" w:hAnsi="Arial Narrow"/>
          <w:b/>
          <w:sz w:val="20"/>
          <w:szCs w:val="20"/>
        </w:rPr>
      </w:pPr>
    </w:p>
    <w:p w14:paraId="0A92575E" w14:textId="77777777" w:rsidR="00965622" w:rsidRPr="00935B0A" w:rsidRDefault="00965622" w:rsidP="00935B0A">
      <w:pPr>
        <w:tabs>
          <w:tab w:val="left" w:pos="7685"/>
        </w:tabs>
        <w:ind w:right="-30"/>
        <w:jc w:val="both"/>
        <w:rPr>
          <w:rFonts w:ascii="Arial Narrow" w:hAnsi="Arial Narrow"/>
          <w:b/>
          <w:sz w:val="20"/>
          <w:szCs w:val="20"/>
        </w:rPr>
      </w:pPr>
      <w:r w:rsidRPr="00935B0A">
        <w:rPr>
          <w:rFonts w:ascii="Arial Narrow" w:hAnsi="Arial Narrow"/>
          <w:b/>
          <w:sz w:val="20"/>
          <w:szCs w:val="20"/>
        </w:rPr>
        <w:t>Notas a los anexos y reportes:</w:t>
      </w:r>
    </w:p>
    <w:p w14:paraId="2B2E5ACF" w14:textId="77777777" w:rsidR="004F3A3D"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w:t>
      </w:r>
      <w:r w:rsidRPr="00935B0A">
        <w:rPr>
          <w:rFonts w:ascii="Arial Narrow" w:hAnsi="Arial Narrow"/>
          <w:sz w:val="20"/>
          <w:szCs w:val="20"/>
        </w:rPr>
        <w:t xml:space="preserve"> </w:t>
      </w:r>
      <w:proofErr w:type="gramStart"/>
      <w:r w:rsidRPr="00935B0A">
        <w:rPr>
          <w:rFonts w:ascii="Arial Narrow" w:hAnsi="Arial Narrow"/>
          <w:sz w:val="20"/>
          <w:szCs w:val="20"/>
        </w:rPr>
        <w:t>Modificado</w:t>
      </w:r>
      <w:proofErr w:type="gramEnd"/>
      <w:r w:rsidRPr="00935B0A">
        <w:rPr>
          <w:rFonts w:ascii="Arial Narrow" w:hAnsi="Arial Narrow"/>
          <w:sz w:val="20"/>
          <w:szCs w:val="20"/>
        </w:rPr>
        <w:t xml:space="preserve"> por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468-2001 del 19.06.2001. Posteriormen</w:t>
      </w:r>
      <w:r w:rsidR="002C3216" w:rsidRPr="00935B0A">
        <w:rPr>
          <w:rFonts w:ascii="Arial Narrow" w:hAnsi="Arial Narrow"/>
          <w:sz w:val="20"/>
          <w:szCs w:val="20"/>
        </w:rPr>
        <w:t>te</w:t>
      </w:r>
      <w:r w:rsidR="000E6036" w:rsidRPr="00935B0A">
        <w:rPr>
          <w:rFonts w:ascii="Arial Narrow" w:hAnsi="Arial Narrow"/>
          <w:sz w:val="20"/>
          <w:szCs w:val="20"/>
        </w:rPr>
        <w:t>,</w:t>
      </w:r>
      <w:r w:rsidR="002C3216" w:rsidRPr="00935B0A">
        <w:rPr>
          <w:rFonts w:ascii="Arial Narrow" w:hAnsi="Arial Narrow"/>
          <w:sz w:val="20"/>
          <w:szCs w:val="20"/>
        </w:rPr>
        <w:t xml:space="preserve"> modificado por las Resoluciones</w:t>
      </w:r>
      <w:r w:rsidRPr="00935B0A">
        <w:rPr>
          <w:rFonts w:ascii="Arial Narrow" w:hAnsi="Arial Narrow"/>
          <w:sz w:val="20"/>
          <w:szCs w:val="20"/>
        </w:rPr>
        <w:t xml:space="preserve">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1343-2003 del 24.09.2003</w:t>
      </w:r>
      <w:r w:rsidR="004F3A3D" w:rsidRPr="00935B0A">
        <w:rPr>
          <w:rFonts w:ascii="Arial Narrow" w:hAnsi="Arial Narrow"/>
          <w:sz w:val="20"/>
          <w:szCs w:val="20"/>
        </w:rPr>
        <w:t xml:space="preserve">, </w:t>
      </w:r>
      <w:r w:rsidR="002C3216" w:rsidRPr="00935B0A">
        <w:rPr>
          <w:rFonts w:ascii="Arial Narrow" w:hAnsi="Arial Narrow"/>
          <w:sz w:val="20"/>
          <w:szCs w:val="20"/>
        </w:rPr>
        <w:t>426-2006 del 28.03.2006</w:t>
      </w:r>
      <w:r w:rsidR="004F3A3D" w:rsidRPr="00935B0A">
        <w:rPr>
          <w:rFonts w:ascii="Arial Narrow" w:hAnsi="Arial Narrow"/>
          <w:sz w:val="20"/>
          <w:szCs w:val="20"/>
        </w:rPr>
        <w:t xml:space="preserve"> y Resolución SBS </w:t>
      </w:r>
      <w:proofErr w:type="spellStart"/>
      <w:r w:rsidR="004F3A3D" w:rsidRPr="00935B0A">
        <w:rPr>
          <w:rFonts w:ascii="Arial Narrow" w:hAnsi="Arial Narrow"/>
          <w:sz w:val="20"/>
          <w:szCs w:val="20"/>
        </w:rPr>
        <w:t>Nº</w:t>
      </w:r>
      <w:proofErr w:type="spellEnd"/>
      <w:r w:rsidR="004F3A3D" w:rsidRPr="00935B0A">
        <w:rPr>
          <w:rFonts w:ascii="Arial Narrow" w:hAnsi="Arial Narrow"/>
          <w:sz w:val="20"/>
          <w:szCs w:val="20"/>
        </w:rPr>
        <w:t xml:space="preserve"> 8264-2008 del 05.09.2008.</w:t>
      </w:r>
      <w:r w:rsidR="001A677C" w:rsidRPr="00935B0A">
        <w:rPr>
          <w:rFonts w:ascii="Arial Narrow" w:hAnsi="Arial Narrow"/>
          <w:sz w:val="20"/>
          <w:szCs w:val="20"/>
        </w:rPr>
        <w:t xml:space="preserve"> </w:t>
      </w:r>
      <w:r w:rsidR="007824A0" w:rsidRPr="00935B0A">
        <w:rPr>
          <w:rFonts w:ascii="Arial Narrow" w:hAnsi="Arial Narrow"/>
          <w:sz w:val="20"/>
          <w:szCs w:val="20"/>
        </w:rPr>
        <w:t>Posteriormente</w:t>
      </w:r>
      <w:r w:rsidR="000E6036" w:rsidRPr="00935B0A">
        <w:rPr>
          <w:rFonts w:ascii="Arial Narrow" w:hAnsi="Arial Narrow"/>
          <w:sz w:val="20"/>
          <w:szCs w:val="20"/>
        </w:rPr>
        <w:t xml:space="preserve">, </w:t>
      </w:r>
      <w:proofErr w:type="gramStart"/>
      <w:r w:rsidR="000E6036" w:rsidRPr="00935B0A">
        <w:rPr>
          <w:rFonts w:ascii="Arial Narrow" w:hAnsi="Arial Narrow"/>
          <w:sz w:val="20"/>
          <w:szCs w:val="20"/>
        </w:rPr>
        <w:t xml:space="preserve">el </w:t>
      </w:r>
      <w:r w:rsidR="007824A0" w:rsidRPr="00935B0A">
        <w:rPr>
          <w:rFonts w:ascii="Arial Narrow" w:hAnsi="Arial Narrow"/>
          <w:sz w:val="20"/>
          <w:szCs w:val="20"/>
        </w:rPr>
        <w:t xml:space="preserve"> Anexo</w:t>
      </w:r>
      <w:proofErr w:type="gramEnd"/>
      <w:r w:rsidR="007824A0" w:rsidRPr="00935B0A">
        <w:rPr>
          <w:rFonts w:ascii="Arial Narrow" w:hAnsi="Arial Narrow"/>
          <w:sz w:val="20"/>
          <w:szCs w:val="20"/>
        </w:rPr>
        <w:t xml:space="preserve"> </w:t>
      </w:r>
      <w:proofErr w:type="spellStart"/>
      <w:r w:rsidR="007824A0" w:rsidRPr="00935B0A">
        <w:rPr>
          <w:rFonts w:ascii="Arial Narrow" w:hAnsi="Arial Narrow"/>
          <w:sz w:val="20"/>
          <w:szCs w:val="20"/>
        </w:rPr>
        <w:t>Nº</w:t>
      </w:r>
      <w:proofErr w:type="spellEnd"/>
      <w:r w:rsidR="007824A0" w:rsidRPr="00935B0A">
        <w:rPr>
          <w:rFonts w:ascii="Arial Narrow" w:hAnsi="Arial Narrow"/>
          <w:sz w:val="20"/>
          <w:szCs w:val="20"/>
        </w:rPr>
        <w:t xml:space="preserve"> 2 y notas, Anexo </w:t>
      </w:r>
      <w:proofErr w:type="spellStart"/>
      <w:r w:rsidR="007824A0" w:rsidRPr="00935B0A">
        <w:rPr>
          <w:rFonts w:ascii="Arial Narrow" w:hAnsi="Arial Narrow"/>
          <w:sz w:val="20"/>
          <w:szCs w:val="20"/>
        </w:rPr>
        <w:t>Nº</w:t>
      </w:r>
      <w:proofErr w:type="spellEnd"/>
      <w:r w:rsidR="007824A0" w:rsidRPr="00935B0A">
        <w:rPr>
          <w:rFonts w:ascii="Arial Narrow" w:hAnsi="Arial Narrow"/>
          <w:sz w:val="20"/>
          <w:szCs w:val="20"/>
        </w:rPr>
        <w:t xml:space="preserve"> 3 y notas y la nota 2 del Anexo </w:t>
      </w:r>
      <w:proofErr w:type="spellStart"/>
      <w:r w:rsidR="007824A0" w:rsidRPr="00935B0A">
        <w:rPr>
          <w:rFonts w:ascii="Arial Narrow" w:hAnsi="Arial Narrow"/>
          <w:sz w:val="20"/>
          <w:szCs w:val="20"/>
        </w:rPr>
        <w:t>Nº</w:t>
      </w:r>
      <w:proofErr w:type="spellEnd"/>
      <w:r w:rsidR="007824A0" w:rsidRPr="00935B0A">
        <w:rPr>
          <w:rFonts w:ascii="Arial Narrow" w:hAnsi="Arial Narrow"/>
          <w:sz w:val="20"/>
          <w:szCs w:val="20"/>
        </w:rPr>
        <w:t xml:space="preserve"> 22 fueron sustituidos por la Resolución SBS </w:t>
      </w:r>
      <w:proofErr w:type="spellStart"/>
      <w:r w:rsidR="007824A0" w:rsidRPr="00935B0A">
        <w:rPr>
          <w:rFonts w:ascii="Arial Narrow" w:hAnsi="Arial Narrow"/>
          <w:sz w:val="20"/>
          <w:szCs w:val="20"/>
        </w:rPr>
        <w:t>Nº</w:t>
      </w:r>
      <w:proofErr w:type="spellEnd"/>
      <w:r w:rsidR="007824A0" w:rsidRPr="00935B0A">
        <w:rPr>
          <w:rFonts w:ascii="Arial Narrow" w:hAnsi="Arial Narrow"/>
          <w:sz w:val="20"/>
          <w:szCs w:val="20"/>
        </w:rPr>
        <w:t xml:space="preserve"> 9786-2009 del 22.07.2009 y la Resolución SBS </w:t>
      </w:r>
      <w:proofErr w:type="spellStart"/>
      <w:r w:rsidR="007824A0" w:rsidRPr="00935B0A">
        <w:rPr>
          <w:rFonts w:ascii="Arial Narrow" w:hAnsi="Arial Narrow"/>
          <w:sz w:val="20"/>
          <w:szCs w:val="20"/>
        </w:rPr>
        <w:t>Nº</w:t>
      </w:r>
      <w:proofErr w:type="spellEnd"/>
      <w:r w:rsidR="007824A0" w:rsidRPr="00935B0A">
        <w:rPr>
          <w:rFonts w:ascii="Arial Narrow" w:hAnsi="Arial Narrow"/>
          <w:sz w:val="20"/>
          <w:szCs w:val="20"/>
        </w:rPr>
        <w:t xml:space="preserve"> 14353-2009 del 30.10.2009 por adecuación al nuevo Reglamento de Clasificación y Evaluación del Deudor y la Exigencia de Provisiones vigente a partir de julio 2010.</w:t>
      </w:r>
      <w:r w:rsidR="003D0696" w:rsidRPr="00935B0A">
        <w:rPr>
          <w:rFonts w:ascii="Arial Narrow" w:hAnsi="Arial Narrow"/>
          <w:sz w:val="20"/>
          <w:szCs w:val="20"/>
        </w:rPr>
        <w:t xml:space="preserve"> Posteriormente, modificado el Anexo 2 por la Resol. SBS </w:t>
      </w:r>
      <w:proofErr w:type="spellStart"/>
      <w:r w:rsidR="003D0696" w:rsidRPr="00935B0A">
        <w:rPr>
          <w:rFonts w:ascii="Arial Narrow" w:hAnsi="Arial Narrow"/>
          <w:sz w:val="20"/>
          <w:szCs w:val="20"/>
        </w:rPr>
        <w:t>N°</w:t>
      </w:r>
      <w:proofErr w:type="spellEnd"/>
      <w:r w:rsidR="003D0696" w:rsidRPr="00935B0A">
        <w:rPr>
          <w:rFonts w:ascii="Arial Narrow" w:hAnsi="Arial Narrow"/>
          <w:sz w:val="20"/>
          <w:szCs w:val="20"/>
        </w:rPr>
        <w:t xml:space="preserve"> 3716-2016 del 06.07.2016 vigente a partir de setiembre 2016.</w:t>
      </w:r>
      <w:r w:rsidR="003D52FE">
        <w:rPr>
          <w:rFonts w:ascii="Arial Narrow" w:hAnsi="Arial Narrow"/>
          <w:sz w:val="20"/>
          <w:szCs w:val="20"/>
        </w:rPr>
        <w:t xml:space="preserve"> Posteriormente, eliminado el Anexo 22 por la Resol. SBS </w:t>
      </w:r>
      <w:proofErr w:type="spellStart"/>
      <w:r w:rsidR="003D52FE">
        <w:rPr>
          <w:rFonts w:ascii="Arial Narrow" w:hAnsi="Arial Narrow"/>
          <w:sz w:val="20"/>
          <w:szCs w:val="20"/>
        </w:rPr>
        <w:t>N°</w:t>
      </w:r>
      <w:proofErr w:type="spellEnd"/>
      <w:r w:rsidR="003D52FE">
        <w:rPr>
          <w:rFonts w:ascii="Arial Narrow" w:hAnsi="Arial Narrow"/>
          <w:sz w:val="20"/>
          <w:szCs w:val="20"/>
        </w:rPr>
        <w:t xml:space="preserve"> 4218-2023 del 20.12.2023 vigente a partir de julio 2024. Posteriormente, modificado el Anexo 3 por la Resol. SBS </w:t>
      </w:r>
      <w:proofErr w:type="spellStart"/>
      <w:r w:rsidR="003D52FE">
        <w:rPr>
          <w:rFonts w:ascii="Arial Narrow" w:hAnsi="Arial Narrow"/>
          <w:sz w:val="20"/>
          <w:szCs w:val="20"/>
        </w:rPr>
        <w:t>n°</w:t>
      </w:r>
      <w:proofErr w:type="spellEnd"/>
      <w:r w:rsidR="003D52FE">
        <w:rPr>
          <w:rFonts w:ascii="Arial Narrow" w:hAnsi="Arial Narrow"/>
          <w:sz w:val="20"/>
          <w:szCs w:val="20"/>
        </w:rPr>
        <w:t xml:space="preserve"> 4218-2023 del 20.12.2023 vigente a partir de julio 2024.</w:t>
      </w:r>
    </w:p>
    <w:p w14:paraId="2C5E90BD" w14:textId="77777777" w:rsidR="003D0696" w:rsidRPr="00935B0A" w:rsidRDefault="0000104D"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w:t>
      </w:r>
      <w:r w:rsidR="00BB01F2" w:rsidRPr="00935B0A">
        <w:rPr>
          <w:rFonts w:ascii="Arial Narrow" w:hAnsi="Arial Narrow"/>
          <w:sz w:val="20"/>
          <w:szCs w:val="20"/>
          <w:vertAlign w:val="superscript"/>
        </w:rPr>
        <w:t>1</w:t>
      </w:r>
      <w:r w:rsidRPr="00935B0A">
        <w:rPr>
          <w:rFonts w:ascii="Arial Narrow" w:hAnsi="Arial Narrow"/>
          <w:sz w:val="20"/>
          <w:szCs w:val="20"/>
        </w:rPr>
        <w:t xml:space="preserve"> Conforme la Resolución SBS</w:t>
      </w:r>
      <w:r w:rsidR="000E6036" w:rsidRPr="00935B0A">
        <w:rPr>
          <w:rFonts w:ascii="Arial Narrow" w:hAnsi="Arial Narrow"/>
          <w:sz w:val="20"/>
          <w:szCs w:val="20"/>
        </w:rPr>
        <w:t xml:space="preserve"> </w:t>
      </w:r>
      <w:proofErr w:type="spellStart"/>
      <w:r w:rsidR="000E6036" w:rsidRPr="00935B0A">
        <w:rPr>
          <w:rFonts w:ascii="Arial Narrow" w:hAnsi="Arial Narrow"/>
          <w:sz w:val="20"/>
          <w:szCs w:val="20"/>
        </w:rPr>
        <w:t>N°</w:t>
      </w:r>
      <w:proofErr w:type="spellEnd"/>
      <w:r w:rsidR="000E6036" w:rsidRPr="00935B0A">
        <w:rPr>
          <w:rFonts w:ascii="Arial Narrow" w:hAnsi="Arial Narrow"/>
          <w:sz w:val="20"/>
          <w:szCs w:val="20"/>
        </w:rPr>
        <w:t xml:space="preserve"> 1535-2005</w:t>
      </w:r>
      <w:r w:rsidRPr="00935B0A">
        <w:rPr>
          <w:rFonts w:ascii="Arial Narrow" w:hAnsi="Arial Narrow"/>
          <w:sz w:val="20"/>
          <w:szCs w:val="20"/>
        </w:rPr>
        <w:t xml:space="preserve"> los anexos 4-A y 4-B </w:t>
      </w:r>
      <w:r w:rsidR="00520001" w:rsidRPr="00935B0A">
        <w:rPr>
          <w:rFonts w:ascii="Arial Narrow" w:hAnsi="Arial Narrow"/>
          <w:sz w:val="20"/>
          <w:szCs w:val="20"/>
        </w:rPr>
        <w:t>entrarán en vigor</w:t>
      </w:r>
      <w:r w:rsidRPr="00935B0A">
        <w:rPr>
          <w:rFonts w:ascii="Arial Narrow" w:hAnsi="Arial Narrow"/>
          <w:sz w:val="20"/>
          <w:szCs w:val="20"/>
        </w:rPr>
        <w:t xml:space="preserve"> a partir de la información correspondiente al mes de enero de 2006. El anexo 4-B deberá remitirse cada vez que ocurra una venta o entrega en arrendamiento financiero, debiéndose reportar por única vez.</w:t>
      </w:r>
      <w:r w:rsidR="003D0696" w:rsidRPr="00935B0A">
        <w:rPr>
          <w:rFonts w:ascii="Arial Narrow" w:hAnsi="Arial Narrow"/>
          <w:sz w:val="20"/>
          <w:szCs w:val="20"/>
        </w:rPr>
        <w:t xml:space="preserve"> Posteriormente, modificado por la Resol. SBS </w:t>
      </w:r>
      <w:proofErr w:type="spellStart"/>
      <w:r w:rsidR="003D0696" w:rsidRPr="00935B0A">
        <w:rPr>
          <w:rFonts w:ascii="Arial Narrow" w:hAnsi="Arial Narrow"/>
          <w:sz w:val="20"/>
          <w:szCs w:val="20"/>
        </w:rPr>
        <w:t>N°</w:t>
      </w:r>
      <w:proofErr w:type="spellEnd"/>
      <w:r w:rsidR="003D0696" w:rsidRPr="00935B0A">
        <w:rPr>
          <w:rFonts w:ascii="Arial Narrow" w:hAnsi="Arial Narrow"/>
          <w:sz w:val="20"/>
          <w:szCs w:val="20"/>
        </w:rPr>
        <w:t xml:space="preserve"> 3716-2016 del 06.07.2016 vigente a partir de setiembre 2016.</w:t>
      </w:r>
    </w:p>
    <w:p w14:paraId="42E37ED2" w14:textId="77777777" w:rsidR="00965622"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w:t>
      </w:r>
      <w:r w:rsidRPr="00935B0A">
        <w:rPr>
          <w:rFonts w:ascii="Arial Narrow" w:hAnsi="Arial Narrow"/>
          <w:sz w:val="20"/>
          <w:szCs w:val="20"/>
        </w:rPr>
        <w:t xml:space="preserve">Aprobado por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1343-2003</w:t>
      </w:r>
      <w:r w:rsidR="000E6036" w:rsidRPr="00935B0A">
        <w:rPr>
          <w:rFonts w:ascii="Arial Narrow" w:hAnsi="Arial Narrow"/>
          <w:sz w:val="20"/>
          <w:szCs w:val="20"/>
        </w:rPr>
        <w:t xml:space="preserve"> del 24.09.2003. Posteriormente, </w:t>
      </w:r>
      <w:r w:rsidRPr="00935B0A">
        <w:rPr>
          <w:rFonts w:ascii="Arial Narrow" w:hAnsi="Arial Narrow"/>
          <w:sz w:val="20"/>
          <w:szCs w:val="20"/>
        </w:rPr>
        <w:t xml:space="preserve">mediante la Resol.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1006-2005 del 06.07.2005 se dispuso que</w:t>
      </w:r>
      <w:r w:rsidR="0000104D" w:rsidRPr="00935B0A">
        <w:rPr>
          <w:rFonts w:ascii="Arial Narrow" w:hAnsi="Arial Narrow"/>
          <w:sz w:val="20"/>
          <w:szCs w:val="20"/>
        </w:rPr>
        <w:t xml:space="preserve"> el Anexo 5-B</w:t>
      </w:r>
      <w:r w:rsidRPr="00935B0A">
        <w:rPr>
          <w:rFonts w:ascii="Arial Narrow" w:hAnsi="Arial Narrow"/>
          <w:sz w:val="20"/>
          <w:szCs w:val="20"/>
        </w:rPr>
        <w:t xml:space="preserve"> se remitirá por única vez cada vez que ocurra una </w:t>
      </w:r>
      <w:r w:rsidR="00935B0A" w:rsidRPr="00935B0A">
        <w:rPr>
          <w:rFonts w:ascii="Arial Narrow" w:hAnsi="Arial Narrow"/>
          <w:sz w:val="20"/>
          <w:szCs w:val="20"/>
        </w:rPr>
        <w:t>transferencia, en</w:t>
      </w:r>
      <w:r w:rsidRPr="00935B0A">
        <w:rPr>
          <w:rFonts w:ascii="Arial Narrow" w:hAnsi="Arial Narrow"/>
          <w:sz w:val="20"/>
          <w:szCs w:val="20"/>
        </w:rPr>
        <w:t xml:space="preserve"> el mismo plazo establecido para el Anexo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5.</w:t>
      </w:r>
      <w:r w:rsidR="001A677C" w:rsidRPr="00935B0A">
        <w:rPr>
          <w:rFonts w:ascii="Arial Narrow" w:hAnsi="Arial Narrow"/>
          <w:sz w:val="20"/>
          <w:szCs w:val="20"/>
        </w:rPr>
        <w:t xml:space="preserve"> </w:t>
      </w:r>
      <w:r w:rsidR="006F7971" w:rsidRPr="00935B0A">
        <w:rPr>
          <w:rFonts w:ascii="Arial Narrow" w:hAnsi="Arial Narrow"/>
          <w:sz w:val="20"/>
          <w:szCs w:val="20"/>
        </w:rPr>
        <w:t xml:space="preserve">Modificado posteriormente por la Resolución SBS </w:t>
      </w:r>
      <w:proofErr w:type="spellStart"/>
      <w:r w:rsidR="006F7971" w:rsidRPr="00935B0A">
        <w:rPr>
          <w:rFonts w:ascii="Arial Narrow" w:hAnsi="Arial Narrow"/>
          <w:sz w:val="20"/>
          <w:szCs w:val="20"/>
        </w:rPr>
        <w:t>N°</w:t>
      </w:r>
      <w:proofErr w:type="spellEnd"/>
      <w:r w:rsidR="006F7971" w:rsidRPr="00935B0A">
        <w:rPr>
          <w:rFonts w:ascii="Arial Narrow" w:hAnsi="Arial Narrow"/>
          <w:sz w:val="20"/>
          <w:szCs w:val="20"/>
        </w:rPr>
        <w:t xml:space="preserve"> 1885-2005 del 21.12.2005.</w:t>
      </w:r>
    </w:p>
    <w:p w14:paraId="2C85282A" w14:textId="20E43B0B" w:rsidR="00F22251" w:rsidRPr="00986C04" w:rsidRDefault="0000104D" w:rsidP="00935B0A">
      <w:pPr>
        <w:tabs>
          <w:tab w:val="left" w:pos="7685"/>
        </w:tabs>
        <w:spacing w:before="40"/>
        <w:jc w:val="both"/>
        <w:rPr>
          <w:rFonts w:ascii="Arial Narrow" w:hAnsi="Arial Narrow"/>
          <w:sz w:val="20"/>
          <w:szCs w:val="18"/>
        </w:rPr>
      </w:pPr>
      <w:r w:rsidRPr="00935B0A">
        <w:rPr>
          <w:rFonts w:ascii="Arial Narrow" w:hAnsi="Arial Narrow"/>
          <w:sz w:val="20"/>
          <w:szCs w:val="20"/>
        </w:rPr>
        <w:t xml:space="preserve">Mediante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1535-2005 del 06.10.2005 se modifica el Anexo 5.</w:t>
      </w:r>
      <w:r w:rsidR="00647838" w:rsidRPr="00935B0A">
        <w:rPr>
          <w:rFonts w:ascii="Arial Narrow" w:hAnsi="Arial Narrow"/>
          <w:sz w:val="20"/>
          <w:szCs w:val="20"/>
        </w:rPr>
        <w:t xml:space="preserve"> Posteriormente modificado por la Resolución SBS </w:t>
      </w:r>
      <w:proofErr w:type="spellStart"/>
      <w:r w:rsidR="00647838" w:rsidRPr="00935B0A">
        <w:rPr>
          <w:rFonts w:ascii="Arial Narrow" w:hAnsi="Arial Narrow"/>
          <w:sz w:val="20"/>
          <w:szCs w:val="20"/>
        </w:rPr>
        <w:t>N°</w:t>
      </w:r>
      <w:proofErr w:type="spellEnd"/>
      <w:r w:rsidR="00647838" w:rsidRPr="00935B0A">
        <w:rPr>
          <w:rFonts w:ascii="Arial Narrow" w:hAnsi="Arial Narrow"/>
          <w:sz w:val="20"/>
          <w:szCs w:val="20"/>
        </w:rPr>
        <w:t xml:space="preserve"> 1885-2005 del 21.12.2005.</w:t>
      </w:r>
      <w:r w:rsidR="005C6287" w:rsidRPr="00935B0A">
        <w:rPr>
          <w:rFonts w:ascii="Arial Narrow" w:hAnsi="Arial Narrow"/>
          <w:sz w:val="20"/>
          <w:szCs w:val="20"/>
        </w:rPr>
        <w:t xml:space="preserve"> Mediante la Resolución SBS </w:t>
      </w:r>
      <w:proofErr w:type="spellStart"/>
      <w:r w:rsidR="005C6287" w:rsidRPr="00935B0A">
        <w:rPr>
          <w:rFonts w:ascii="Arial Narrow" w:hAnsi="Arial Narrow"/>
          <w:sz w:val="20"/>
          <w:szCs w:val="20"/>
        </w:rPr>
        <w:t>N°</w:t>
      </w:r>
      <w:proofErr w:type="spellEnd"/>
      <w:r w:rsidR="005C6287" w:rsidRPr="00935B0A">
        <w:rPr>
          <w:rFonts w:ascii="Arial Narrow" w:hAnsi="Arial Narrow"/>
          <w:sz w:val="20"/>
          <w:szCs w:val="20"/>
        </w:rPr>
        <w:t xml:space="preserve"> 980-2006 se modificaron las notas metodológicas.</w:t>
      </w:r>
      <w:r w:rsidR="00642831" w:rsidRPr="00935B0A">
        <w:rPr>
          <w:rFonts w:ascii="Arial Narrow" w:hAnsi="Arial Narrow"/>
          <w:sz w:val="20"/>
          <w:szCs w:val="20"/>
        </w:rPr>
        <w:t xml:space="preserve"> Mediante las Resoluciones SBS </w:t>
      </w:r>
      <w:proofErr w:type="spellStart"/>
      <w:r w:rsidR="00642831" w:rsidRPr="00935B0A">
        <w:rPr>
          <w:rFonts w:ascii="Arial Narrow" w:hAnsi="Arial Narrow"/>
          <w:sz w:val="20"/>
          <w:szCs w:val="20"/>
        </w:rPr>
        <w:t>N°</w:t>
      </w:r>
      <w:proofErr w:type="spellEnd"/>
      <w:r w:rsidR="00642831" w:rsidRPr="00935B0A">
        <w:rPr>
          <w:rFonts w:ascii="Arial Narrow" w:hAnsi="Arial Narrow"/>
          <w:sz w:val="20"/>
          <w:szCs w:val="20"/>
        </w:rPr>
        <w:t xml:space="preserve"> 1237-2006 del 22.11.2006</w:t>
      </w:r>
      <w:r w:rsidR="009866CE" w:rsidRPr="00935B0A">
        <w:rPr>
          <w:rFonts w:ascii="Arial Narrow" w:hAnsi="Arial Narrow"/>
          <w:sz w:val="20"/>
          <w:szCs w:val="20"/>
        </w:rPr>
        <w:t xml:space="preserve"> y</w:t>
      </w:r>
      <w:r w:rsidR="00683619" w:rsidRPr="00935B0A">
        <w:rPr>
          <w:rFonts w:ascii="Arial Narrow" w:hAnsi="Arial Narrow"/>
          <w:sz w:val="20"/>
          <w:szCs w:val="20"/>
        </w:rPr>
        <w:t xml:space="preserve"> </w:t>
      </w:r>
      <w:r w:rsidR="00642831" w:rsidRPr="00935B0A">
        <w:rPr>
          <w:rFonts w:ascii="Arial Narrow" w:hAnsi="Arial Narrow"/>
          <w:sz w:val="20"/>
          <w:szCs w:val="20"/>
        </w:rPr>
        <w:t xml:space="preserve">1494-2006 del 10.11.2006 se modificaron el </w:t>
      </w:r>
      <w:r w:rsidR="00935B0A" w:rsidRPr="00935B0A">
        <w:rPr>
          <w:rFonts w:ascii="Arial Narrow" w:hAnsi="Arial Narrow"/>
          <w:sz w:val="20"/>
          <w:szCs w:val="20"/>
        </w:rPr>
        <w:t>formato,</w:t>
      </w:r>
      <w:r w:rsidR="00642831" w:rsidRPr="00935B0A">
        <w:rPr>
          <w:rFonts w:ascii="Arial Narrow" w:hAnsi="Arial Narrow"/>
          <w:sz w:val="20"/>
          <w:szCs w:val="20"/>
        </w:rPr>
        <w:t xml:space="preserve"> así como las notas metodológicas.</w:t>
      </w:r>
      <w:r w:rsidR="009866CE" w:rsidRPr="00935B0A">
        <w:rPr>
          <w:rFonts w:ascii="Arial Narrow" w:hAnsi="Arial Narrow"/>
          <w:sz w:val="20"/>
          <w:szCs w:val="20"/>
        </w:rPr>
        <w:t xml:space="preserve">  Posteriormente</w:t>
      </w:r>
      <w:r w:rsidR="000E6036" w:rsidRPr="00935B0A">
        <w:rPr>
          <w:rFonts w:ascii="Arial Narrow" w:hAnsi="Arial Narrow"/>
          <w:sz w:val="20"/>
          <w:szCs w:val="20"/>
        </w:rPr>
        <w:t>,</w:t>
      </w:r>
      <w:r w:rsidR="009866CE" w:rsidRPr="00935B0A">
        <w:rPr>
          <w:rFonts w:ascii="Arial Narrow" w:hAnsi="Arial Narrow"/>
          <w:sz w:val="20"/>
          <w:szCs w:val="20"/>
        </w:rPr>
        <w:t xml:space="preserve"> mediante la Resolución SBS </w:t>
      </w:r>
      <w:proofErr w:type="spellStart"/>
      <w:r w:rsidR="009866CE" w:rsidRPr="00935B0A">
        <w:rPr>
          <w:rFonts w:ascii="Arial Narrow" w:hAnsi="Arial Narrow"/>
          <w:sz w:val="20"/>
          <w:szCs w:val="20"/>
        </w:rPr>
        <w:t>Nº</w:t>
      </w:r>
      <w:proofErr w:type="spellEnd"/>
      <w:r w:rsidR="009866CE" w:rsidRPr="00935B0A">
        <w:rPr>
          <w:rFonts w:ascii="Arial Narrow" w:hAnsi="Arial Narrow"/>
          <w:sz w:val="20"/>
          <w:szCs w:val="20"/>
        </w:rPr>
        <w:t xml:space="preserve"> 6941-1008 del 25.08.2008 se modificaron las notas metodológicas.</w:t>
      </w:r>
      <w:r w:rsidR="0034284B" w:rsidRPr="00935B0A">
        <w:rPr>
          <w:rFonts w:ascii="Arial Narrow" w:hAnsi="Arial Narrow"/>
          <w:sz w:val="20"/>
          <w:szCs w:val="20"/>
        </w:rPr>
        <w:t xml:space="preserve"> </w:t>
      </w:r>
      <w:r w:rsidR="00935B0A" w:rsidRPr="00935B0A">
        <w:rPr>
          <w:rFonts w:ascii="Arial Narrow" w:hAnsi="Arial Narrow"/>
          <w:sz w:val="20"/>
          <w:szCs w:val="20"/>
        </w:rPr>
        <w:t>Posteriormente, mediante</w:t>
      </w:r>
      <w:r w:rsidR="0034284B" w:rsidRPr="00935B0A">
        <w:rPr>
          <w:rFonts w:ascii="Arial Narrow" w:hAnsi="Arial Narrow"/>
          <w:sz w:val="20"/>
          <w:szCs w:val="20"/>
        </w:rPr>
        <w:t xml:space="preserve"> la Resolución SBS </w:t>
      </w:r>
      <w:proofErr w:type="spellStart"/>
      <w:r w:rsidR="0034284B" w:rsidRPr="00935B0A">
        <w:rPr>
          <w:rFonts w:ascii="Arial Narrow" w:hAnsi="Arial Narrow"/>
          <w:sz w:val="20"/>
          <w:szCs w:val="20"/>
        </w:rPr>
        <w:t>Nº</w:t>
      </w:r>
      <w:proofErr w:type="spellEnd"/>
      <w:r w:rsidR="0034284B" w:rsidRPr="00935B0A">
        <w:rPr>
          <w:rFonts w:ascii="Arial Narrow" w:hAnsi="Arial Narrow"/>
          <w:sz w:val="20"/>
          <w:szCs w:val="20"/>
        </w:rPr>
        <w:t xml:space="preserve"> 11356-2008 del 19.11.2008 se modificaron los formatos y las notas metodológicas y se incorporó el Anexo 5-C’ denominado “Resumen de Provisiones Procíclicas de la Cartera Transferida en Fideicomiso”.</w:t>
      </w:r>
      <w:r w:rsidR="006F7971" w:rsidRPr="00935B0A">
        <w:rPr>
          <w:rFonts w:ascii="Arial Narrow" w:hAnsi="Arial Narrow"/>
          <w:sz w:val="20"/>
          <w:szCs w:val="20"/>
        </w:rPr>
        <w:t xml:space="preserve"> Posteriormente los formatos de los Anexos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w:t>
      </w:r>
      <w:r w:rsidR="00520001" w:rsidRPr="00935B0A">
        <w:rPr>
          <w:rFonts w:ascii="Arial Narrow" w:hAnsi="Arial Narrow"/>
          <w:sz w:val="20"/>
          <w:szCs w:val="20"/>
        </w:rPr>
        <w:t xml:space="preserve">5, </w:t>
      </w:r>
      <w:proofErr w:type="spellStart"/>
      <w:r w:rsidR="00520001" w:rsidRPr="00935B0A">
        <w:rPr>
          <w:rFonts w:ascii="Arial Narrow" w:hAnsi="Arial Narrow"/>
          <w:sz w:val="20"/>
          <w:szCs w:val="20"/>
        </w:rPr>
        <w:t>Nº</w:t>
      </w:r>
      <w:proofErr w:type="spellEnd"/>
      <w:r w:rsidR="006F7971" w:rsidRPr="00935B0A">
        <w:rPr>
          <w:rFonts w:ascii="Arial Narrow" w:hAnsi="Arial Narrow"/>
          <w:sz w:val="20"/>
          <w:szCs w:val="20"/>
        </w:rPr>
        <w:t xml:space="preserve"> 5-A, </w:t>
      </w:r>
      <w:proofErr w:type="spellStart"/>
      <w:r w:rsidR="006F7971" w:rsidRPr="00935B0A">
        <w:rPr>
          <w:rFonts w:ascii="Arial Narrow" w:hAnsi="Arial Narrow"/>
          <w:sz w:val="20"/>
          <w:szCs w:val="20"/>
        </w:rPr>
        <w:t>N°</w:t>
      </w:r>
      <w:proofErr w:type="spellEnd"/>
      <w:r w:rsidR="006F7971" w:rsidRPr="00935B0A">
        <w:rPr>
          <w:rFonts w:ascii="Arial Narrow" w:hAnsi="Arial Narrow"/>
          <w:sz w:val="20"/>
          <w:szCs w:val="20"/>
        </w:rPr>
        <w:t xml:space="preserve"> 5-B, </w:t>
      </w:r>
      <w:proofErr w:type="spellStart"/>
      <w:r w:rsidR="006F7971" w:rsidRPr="00935B0A">
        <w:rPr>
          <w:rFonts w:ascii="Arial Narrow" w:hAnsi="Arial Narrow"/>
          <w:sz w:val="20"/>
          <w:szCs w:val="20"/>
        </w:rPr>
        <w:t>N°</w:t>
      </w:r>
      <w:proofErr w:type="spellEnd"/>
      <w:r w:rsidR="006F7971" w:rsidRPr="00935B0A">
        <w:rPr>
          <w:rFonts w:ascii="Arial Narrow" w:hAnsi="Arial Narrow"/>
          <w:sz w:val="20"/>
          <w:szCs w:val="20"/>
        </w:rPr>
        <w:t xml:space="preserve"> 5-</w:t>
      </w:r>
      <w:proofErr w:type="gramStart"/>
      <w:r w:rsidR="006F7971" w:rsidRPr="00935B0A">
        <w:rPr>
          <w:rFonts w:ascii="Arial Narrow" w:hAnsi="Arial Narrow"/>
          <w:sz w:val="20"/>
          <w:szCs w:val="20"/>
        </w:rPr>
        <w:t xml:space="preserve">C,  </w:t>
      </w:r>
      <w:proofErr w:type="spellStart"/>
      <w:r w:rsidR="006F7971" w:rsidRPr="00935B0A">
        <w:rPr>
          <w:rFonts w:ascii="Arial Narrow" w:hAnsi="Arial Narrow"/>
          <w:sz w:val="20"/>
          <w:szCs w:val="20"/>
        </w:rPr>
        <w:t>Nº</w:t>
      </w:r>
      <w:proofErr w:type="spellEnd"/>
      <w:proofErr w:type="gramEnd"/>
      <w:r w:rsidR="006F7971" w:rsidRPr="00935B0A">
        <w:rPr>
          <w:rFonts w:ascii="Arial Narrow" w:hAnsi="Arial Narrow"/>
          <w:sz w:val="20"/>
          <w:szCs w:val="20"/>
        </w:rPr>
        <w:t xml:space="preserve"> 5-C’ y </w:t>
      </w:r>
      <w:proofErr w:type="spellStart"/>
      <w:r w:rsidR="006F7971" w:rsidRPr="00935B0A">
        <w:rPr>
          <w:rFonts w:ascii="Arial Narrow" w:hAnsi="Arial Narrow"/>
          <w:sz w:val="20"/>
          <w:szCs w:val="20"/>
        </w:rPr>
        <w:t>N°</w:t>
      </w:r>
      <w:proofErr w:type="spellEnd"/>
      <w:r w:rsidR="006F7971" w:rsidRPr="00935B0A">
        <w:rPr>
          <w:rFonts w:ascii="Arial Narrow" w:hAnsi="Arial Narrow"/>
          <w:sz w:val="20"/>
          <w:szCs w:val="20"/>
        </w:rPr>
        <w:t xml:space="preserve"> 5-</w:t>
      </w:r>
      <w:proofErr w:type="gramStart"/>
      <w:r w:rsidR="006F7971" w:rsidRPr="00935B0A">
        <w:rPr>
          <w:rFonts w:ascii="Arial Narrow" w:hAnsi="Arial Narrow"/>
          <w:sz w:val="20"/>
          <w:szCs w:val="20"/>
        </w:rPr>
        <w:t>D</w:t>
      </w:r>
      <w:proofErr w:type="gramEnd"/>
      <w:r w:rsidR="006F7971" w:rsidRPr="00935B0A">
        <w:rPr>
          <w:rFonts w:ascii="Arial Narrow" w:hAnsi="Arial Narrow"/>
          <w:sz w:val="20"/>
          <w:szCs w:val="20"/>
        </w:rPr>
        <w:t xml:space="preserve"> así como las notas metodológicas fueron </w:t>
      </w:r>
      <w:proofErr w:type="gramStart"/>
      <w:r w:rsidR="006F7971" w:rsidRPr="00935B0A">
        <w:rPr>
          <w:rFonts w:ascii="Arial Narrow" w:hAnsi="Arial Narrow"/>
          <w:sz w:val="20"/>
          <w:szCs w:val="20"/>
        </w:rPr>
        <w:t>modificados  por</w:t>
      </w:r>
      <w:proofErr w:type="gramEnd"/>
      <w:r w:rsidR="006F7971" w:rsidRPr="00935B0A">
        <w:rPr>
          <w:rFonts w:ascii="Arial Narrow" w:hAnsi="Arial Narrow"/>
          <w:sz w:val="20"/>
          <w:szCs w:val="20"/>
        </w:rPr>
        <w:t xml:space="preserve"> la Resolución </w:t>
      </w:r>
      <w:r w:rsidR="000E6036" w:rsidRPr="00935B0A">
        <w:rPr>
          <w:rFonts w:ascii="Arial Narrow" w:hAnsi="Arial Narrow"/>
          <w:sz w:val="20"/>
          <w:szCs w:val="20"/>
        </w:rPr>
        <w:t xml:space="preserve">SBS </w:t>
      </w:r>
      <w:proofErr w:type="spellStart"/>
      <w:r w:rsidR="000E6036" w:rsidRPr="00935B0A">
        <w:rPr>
          <w:rFonts w:ascii="Arial Narrow" w:hAnsi="Arial Narrow"/>
          <w:sz w:val="20"/>
          <w:szCs w:val="20"/>
        </w:rPr>
        <w:t>Nº</w:t>
      </w:r>
      <w:proofErr w:type="spellEnd"/>
      <w:r w:rsidR="000E6036" w:rsidRPr="00935B0A">
        <w:rPr>
          <w:rFonts w:ascii="Arial Narrow" w:hAnsi="Arial Narrow"/>
          <w:sz w:val="20"/>
          <w:szCs w:val="20"/>
        </w:rPr>
        <w:t xml:space="preserve"> 9786-2009 del 22.07.2009</w:t>
      </w:r>
      <w:r w:rsidR="006F7971" w:rsidRPr="00935B0A">
        <w:rPr>
          <w:rFonts w:ascii="Arial Narrow" w:hAnsi="Arial Narrow"/>
          <w:sz w:val="20"/>
          <w:szCs w:val="20"/>
        </w:rPr>
        <w:t xml:space="preserve"> y la Resolución SBS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14353-2009 del 30.10.2009 debido a la adecuación al nuevo Reglamento de Clasificación y Evaluación del Deudor y la Exigencia de Provisiones vigente a partir de julio 2010.</w:t>
      </w:r>
      <w:r w:rsidR="00145F2E" w:rsidRPr="00935B0A">
        <w:rPr>
          <w:rFonts w:ascii="Arial Narrow" w:hAnsi="Arial Narrow"/>
          <w:sz w:val="20"/>
          <w:szCs w:val="20"/>
        </w:rPr>
        <w:t xml:space="preserve"> Posteriormente modifican </w:t>
      </w:r>
      <w:r w:rsidR="00E2188B" w:rsidRPr="00935B0A">
        <w:rPr>
          <w:rFonts w:ascii="Arial Narrow" w:hAnsi="Arial Narrow"/>
          <w:sz w:val="20"/>
          <w:szCs w:val="20"/>
        </w:rPr>
        <w:t>el</w:t>
      </w:r>
      <w:r w:rsidR="00145F2E" w:rsidRPr="00935B0A">
        <w:rPr>
          <w:rFonts w:ascii="Arial Narrow" w:hAnsi="Arial Narrow"/>
          <w:sz w:val="20"/>
          <w:szCs w:val="20"/>
        </w:rPr>
        <w:t xml:space="preserve"> Anexos </w:t>
      </w:r>
      <w:proofErr w:type="spellStart"/>
      <w:r w:rsidR="00145F2E" w:rsidRPr="00935B0A">
        <w:rPr>
          <w:rFonts w:ascii="Arial Narrow" w:hAnsi="Arial Narrow"/>
          <w:sz w:val="20"/>
          <w:szCs w:val="20"/>
        </w:rPr>
        <w:t>Nº</w:t>
      </w:r>
      <w:proofErr w:type="spellEnd"/>
      <w:r w:rsidR="00145F2E" w:rsidRPr="00935B0A">
        <w:rPr>
          <w:rFonts w:ascii="Arial Narrow" w:hAnsi="Arial Narrow"/>
          <w:sz w:val="20"/>
          <w:szCs w:val="20"/>
        </w:rPr>
        <w:t xml:space="preserve"> 5, así como las notas metodológicas</w:t>
      </w:r>
      <w:r w:rsidR="00E2188B" w:rsidRPr="00935B0A">
        <w:rPr>
          <w:rFonts w:ascii="Arial Narrow" w:hAnsi="Arial Narrow"/>
          <w:sz w:val="20"/>
          <w:szCs w:val="20"/>
        </w:rPr>
        <w:t xml:space="preserve"> de los Anexos </w:t>
      </w:r>
      <w:proofErr w:type="spellStart"/>
      <w:r w:rsidR="00E2188B" w:rsidRPr="00935B0A">
        <w:rPr>
          <w:rFonts w:ascii="Arial Narrow" w:hAnsi="Arial Narrow"/>
          <w:sz w:val="20"/>
          <w:szCs w:val="20"/>
        </w:rPr>
        <w:t>Nº</w:t>
      </w:r>
      <w:proofErr w:type="spellEnd"/>
      <w:r w:rsidR="00E2188B" w:rsidRPr="00935B0A">
        <w:rPr>
          <w:rFonts w:ascii="Arial Narrow" w:hAnsi="Arial Narrow"/>
          <w:sz w:val="20"/>
          <w:szCs w:val="20"/>
        </w:rPr>
        <w:t xml:space="preserve"> 5 y 5-C mediante </w:t>
      </w:r>
      <w:r w:rsidR="00145F2E" w:rsidRPr="00935B0A">
        <w:rPr>
          <w:rFonts w:ascii="Arial Narrow" w:hAnsi="Arial Narrow"/>
          <w:sz w:val="20"/>
          <w:szCs w:val="20"/>
        </w:rPr>
        <w:t xml:space="preserve">Resolución SBS </w:t>
      </w:r>
      <w:proofErr w:type="spellStart"/>
      <w:r w:rsidR="00145F2E" w:rsidRPr="00935B0A">
        <w:rPr>
          <w:rFonts w:ascii="Arial Narrow" w:hAnsi="Arial Narrow"/>
          <w:sz w:val="20"/>
          <w:szCs w:val="20"/>
        </w:rPr>
        <w:t>Nº</w:t>
      </w:r>
      <w:proofErr w:type="spellEnd"/>
      <w:r w:rsidR="00145F2E" w:rsidRPr="00935B0A">
        <w:rPr>
          <w:rFonts w:ascii="Arial Narrow" w:hAnsi="Arial Narrow"/>
          <w:sz w:val="20"/>
          <w:szCs w:val="20"/>
        </w:rPr>
        <w:t xml:space="preserve"> 8420-2011.</w:t>
      </w:r>
      <w:r w:rsidR="000E1208" w:rsidRPr="00935B0A">
        <w:rPr>
          <w:rFonts w:ascii="Arial Narrow" w:hAnsi="Arial Narrow"/>
          <w:sz w:val="20"/>
          <w:szCs w:val="20"/>
        </w:rPr>
        <w:t xml:space="preserve"> Posteriormente modificado por la Resol. SBS </w:t>
      </w:r>
      <w:proofErr w:type="spellStart"/>
      <w:r w:rsidR="000E1208" w:rsidRPr="00935B0A">
        <w:rPr>
          <w:rFonts w:ascii="Arial Narrow" w:hAnsi="Arial Narrow"/>
          <w:sz w:val="20"/>
          <w:szCs w:val="20"/>
        </w:rPr>
        <w:t>N°</w:t>
      </w:r>
      <w:proofErr w:type="spellEnd"/>
      <w:r w:rsidR="000E1208" w:rsidRPr="00935B0A">
        <w:rPr>
          <w:rFonts w:ascii="Arial Narrow" w:hAnsi="Arial Narrow"/>
          <w:sz w:val="20"/>
          <w:szCs w:val="20"/>
        </w:rPr>
        <w:t xml:space="preserve"> 7036-2012 del 19.09.2012.</w:t>
      </w:r>
      <w:r w:rsidR="003C05F5" w:rsidRPr="00935B0A">
        <w:rPr>
          <w:rFonts w:ascii="Arial Narrow" w:hAnsi="Arial Narrow"/>
          <w:sz w:val="20"/>
          <w:szCs w:val="20"/>
        </w:rPr>
        <w:t xml:space="preserve"> Posteriormente mediante la Resolución SBS </w:t>
      </w:r>
      <w:proofErr w:type="spellStart"/>
      <w:r w:rsidR="003C05F5" w:rsidRPr="00935B0A">
        <w:rPr>
          <w:rFonts w:ascii="Arial Narrow" w:hAnsi="Arial Narrow"/>
          <w:sz w:val="20"/>
          <w:szCs w:val="20"/>
        </w:rPr>
        <w:t>N°</w:t>
      </w:r>
      <w:proofErr w:type="spellEnd"/>
      <w:r w:rsidR="003C05F5" w:rsidRPr="00935B0A">
        <w:rPr>
          <w:rFonts w:ascii="Arial Narrow" w:hAnsi="Arial Narrow"/>
          <w:sz w:val="20"/>
          <w:szCs w:val="20"/>
        </w:rPr>
        <w:t xml:space="preserve"> 1308-2013 del 15.02.2013 se modificaron las notas del Anexo 5-B, cuyas modificaciones son vigentes a partir de junio 2013.</w:t>
      </w:r>
      <w:r w:rsidR="00262608" w:rsidRPr="00935B0A">
        <w:rPr>
          <w:rFonts w:ascii="Arial Narrow" w:hAnsi="Arial Narrow"/>
          <w:sz w:val="20"/>
          <w:szCs w:val="20"/>
        </w:rPr>
        <w:t xml:space="preserve"> Posteriormente, mediante la Resolución SBS </w:t>
      </w:r>
      <w:proofErr w:type="spellStart"/>
      <w:r w:rsidR="00262608" w:rsidRPr="00935B0A">
        <w:rPr>
          <w:rFonts w:ascii="Arial Narrow" w:hAnsi="Arial Narrow"/>
          <w:sz w:val="20"/>
          <w:szCs w:val="20"/>
        </w:rPr>
        <w:t>N°</w:t>
      </w:r>
      <w:proofErr w:type="spellEnd"/>
      <w:r w:rsidR="00262608" w:rsidRPr="00935B0A">
        <w:rPr>
          <w:rFonts w:ascii="Arial Narrow" w:hAnsi="Arial Narrow"/>
          <w:sz w:val="20"/>
          <w:szCs w:val="20"/>
        </w:rPr>
        <w:t xml:space="preserve"> 1465 - 2015 del 26.02.2015 se modificaron los formatos de los Anexos </w:t>
      </w:r>
      <w:proofErr w:type="spellStart"/>
      <w:r w:rsidR="00262608" w:rsidRPr="00935B0A">
        <w:rPr>
          <w:rFonts w:ascii="Arial Narrow" w:hAnsi="Arial Narrow"/>
          <w:sz w:val="20"/>
          <w:szCs w:val="20"/>
        </w:rPr>
        <w:t>Nº</w:t>
      </w:r>
      <w:proofErr w:type="spellEnd"/>
      <w:r w:rsidR="00262608" w:rsidRPr="00935B0A">
        <w:rPr>
          <w:rFonts w:ascii="Arial Narrow" w:hAnsi="Arial Narrow"/>
          <w:sz w:val="20"/>
          <w:szCs w:val="20"/>
        </w:rPr>
        <w:t xml:space="preserve"> </w:t>
      </w:r>
      <w:r w:rsidR="00935B0A" w:rsidRPr="00935B0A">
        <w:rPr>
          <w:rFonts w:ascii="Arial Narrow" w:hAnsi="Arial Narrow"/>
          <w:sz w:val="20"/>
          <w:szCs w:val="20"/>
        </w:rPr>
        <w:t xml:space="preserve">5, </w:t>
      </w:r>
      <w:proofErr w:type="spellStart"/>
      <w:r w:rsidR="00935B0A" w:rsidRPr="00935B0A">
        <w:rPr>
          <w:rFonts w:ascii="Arial Narrow" w:hAnsi="Arial Narrow"/>
          <w:sz w:val="20"/>
          <w:szCs w:val="20"/>
        </w:rPr>
        <w:t>Nº</w:t>
      </w:r>
      <w:proofErr w:type="spellEnd"/>
      <w:r w:rsidR="00262608" w:rsidRPr="00935B0A">
        <w:rPr>
          <w:rFonts w:ascii="Arial Narrow" w:hAnsi="Arial Narrow"/>
          <w:sz w:val="20"/>
          <w:szCs w:val="20"/>
        </w:rPr>
        <w:t xml:space="preserve"> 5-A, </w:t>
      </w:r>
      <w:proofErr w:type="spellStart"/>
      <w:r w:rsidR="00262608" w:rsidRPr="00935B0A">
        <w:rPr>
          <w:rFonts w:ascii="Arial Narrow" w:hAnsi="Arial Narrow"/>
          <w:sz w:val="20"/>
          <w:szCs w:val="20"/>
        </w:rPr>
        <w:t>N°</w:t>
      </w:r>
      <w:proofErr w:type="spellEnd"/>
      <w:r w:rsidR="00262608" w:rsidRPr="00935B0A">
        <w:rPr>
          <w:rFonts w:ascii="Arial Narrow" w:hAnsi="Arial Narrow"/>
          <w:sz w:val="20"/>
          <w:szCs w:val="20"/>
        </w:rPr>
        <w:t xml:space="preserve"> 5-C </w:t>
      </w:r>
      <w:r w:rsidR="00935B0A" w:rsidRPr="00935B0A">
        <w:rPr>
          <w:rFonts w:ascii="Arial Narrow" w:hAnsi="Arial Narrow"/>
          <w:sz w:val="20"/>
          <w:szCs w:val="20"/>
        </w:rPr>
        <w:t xml:space="preserve">y </w:t>
      </w:r>
      <w:proofErr w:type="spellStart"/>
      <w:r w:rsidR="00935B0A" w:rsidRPr="00935B0A">
        <w:rPr>
          <w:rFonts w:ascii="Arial Narrow" w:hAnsi="Arial Narrow"/>
          <w:sz w:val="20"/>
          <w:szCs w:val="20"/>
        </w:rPr>
        <w:t>Nº</w:t>
      </w:r>
      <w:proofErr w:type="spellEnd"/>
      <w:r w:rsidR="00262608" w:rsidRPr="00935B0A">
        <w:rPr>
          <w:rFonts w:ascii="Arial Narrow" w:hAnsi="Arial Narrow"/>
          <w:sz w:val="20"/>
          <w:szCs w:val="20"/>
        </w:rPr>
        <w:t xml:space="preserve"> 5-C’, así como sus notas metodológicas, vigente a partir de la información de mayo 2015.</w:t>
      </w:r>
      <w:r w:rsidR="003D0696" w:rsidRPr="00935B0A">
        <w:rPr>
          <w:rFonts w:ascii="Arial Narrow" w:hAnsi="Arial Narrow"/>
          <w:sz w:val="20"/>
          <w:szCs w:val="20"/>
        </w:rPr>
        <w:t xml:space="preserve"> Posteriormente, mediante la Resol. SBS </w:t>
      </w:r>
      <w:proofErr w:type="spellStart"/>
      <w:r w:rsidR="003D0696" w:rsidRPr="00935B0A">
        <w:rPr>
          <w:rFonts w:ascii="Arial Narrow" w:hAnsi="Arial Narrow"/>
          <w:sz w:val="20"/>
          <w:szCs w:val="20"/>
        </w:rPr>
        <w:t>N°</w:t>
      </w:r>
      <w:proofErr w:type="spellEnd"/>
      <w:r w:rsidR="003D0696" w:rsidRPr="00935B0A">
        <w:rPr>
          <w:rFonts w:ascii="Arial Narrow" w:hAnsi="Arial Narrow"/>
          <w:sz w:val="20"/>
          <w:szCs w:val="20"/>
        </w:rPr>
        <w:t xml:space="preserve"> 3716-2016 del 06.07.2016 se modificó el Anexo </w:t>
      </w:r>
      <w:proofErr w:type="spellStart"/>
      <w:r w:rsidR="003D0696" w:rsidRPr="00935B0A">
        <w:rPr>
          <w:rFonts w:ascii="Arial Narrow" w:hAnsi="Arial Narrow"/>
          <w:sz w:val="20"/>
          <w:szCs w:val="20"/>
        </w:rPr>
        <w:t>N°</w:t>
      </w:r>
      <w:proofErr w:type="spellEnd"/>
      <w:r w:rsidR="003D0696" w:rsidRPr="00935B0A">
        <w:rPr>
          <w:rFonts w:ascii="Arial Narrow" w:hAnsi="Arial Narrow"/>
          <w:sz w:val="20"/>
          <w:szCs w:val="20"/>
        </w:rPr>
        <w:t xml:space="preserve"> 5 y sus notas metodológicas</w:t>
      </w:r>
      <w:r w:rsidR="00520001">
        <w:rPr>
          <w:rFonts w:ascii="Arial Narrow" w:hAnsi="Arial Narrow"/>
          <w:sz w:val="20"/>
          <w:szCs w:val="20"/>
        </w:rPr>
        <w:t xml:space="preserve">. </w:t>
      </w:r>
      <w:r w:rsidR="00AC0D5B" w:rsidRPr="00935B0A">
        <w:rPr>
          <w:rFonts w:ascii="Arial Narrow" w:hAnsi="Arial Narrow"/>
          <w:sz w:val="20"/>
          <w:szCs w:val="20"/>
        </w:rPr>
        <w:t xml:space="preserve">Posteriormente, se eliminaron los Anexos </w:t>
      </w:r>
      <w:proofErr w:type="spellStart"/>
      <w:r w:rsidR="00AC0D5B" w:rsidRPr="00935B0A">
        <w:rPr>
          <w:rFonts w:ascii="Arial Narrow" w:hAnsi="Arial Narrow"/>
          <w:sz w:val="20"/>
          <w:szCs w:val="20"/>
        </w:rPr>
        <w:t>N°</w:t>
      </w:r>
      <w:proofErr w:type="spellEnd"/>
      <w:r w:rsidR="00AC0D5B" w:rsidRPr="00935B0A">
        <w:rPr>
          <w:rFonts w:ascii="Arial Narrow" w:hAnsi="Arial Narrow"/>
          <w:sz w:val="20"/>
          <w:szCs w:val="20"/>
        </w:rPr>
        <w:t xml:space="preserve"> 5-C </w:t>
      </w:r>
      <w:proofErr w:type="gramStart"/>
      <w:r w:rsidR="00AC0D5B" w:rsidRPr="00935B0A">
        <w:rPr>
          <w:rFonts w:ascii="Arial Narrow" w:hAnsi="Arial Narrow"/>
          <w:sz w:val="20"/>
          <w:szCs w:val="20"/>
        </w:rPr>
        <w:t xml:space="preserve">y  </w:t>
      </w:r>
      <w:proofErr w:type="spellStart"/>
      <w:r w:rsidR="00AC0D5B" w:rsidRPr="00935B0A">
        <w:rPr>
          <w:rFonts w:ascii="Arial Narrow" w:hAnsi="Arial Narrow"/>
          <w:sz w:val="20"/>
          <w:szCs w:val="20"/>
        </w:rPr>
        <w:t>Nº</w:t>
      </w:r>
      <w:proofErr w:type="spellEnd"/>
      <w:proofErr w:type="gramEnd"/>
      <w:r w:rsidR="00AC0D5B" w:rsidRPr="00935B0A">
        <w:rPr>
          <w:rFonts w:ascii="Arial Narrow" w:hAnsi="Arial Narrow"/>
          <w:sz w:val="20"/>
          <w:szCs w:val="20"/>
        </w:rPr>
        <w:t xml:space="preserve"> 5-C’ a través de la Resolución SBS </w:t>
      </w:r>
      <w:proofErr w:type="spellStart"/>
      <w:r w:rsidR="00AC0D5B" w:rsidRPr="00935B0A">
        <w:rPr>
          <w:rFonts w:ascii="Arial Narrow" w:hAnsi="Arial Narrow"/>
          <w:sz w:val="20"/>
          <w:szCs w:val="20"/>
        </w:rPr>
        <w:t>N°</w:t>
      </w:r>
      <w:proofErr w:type="spellEnd"/>
      <w:r w:rsidR="00AC0D5B" w:rsidRPr="00935B0A">
        <w:rPr>
          <w:rFonts w:ascii="Arial Narrow" w:hAnsi="Arial Narrow"/>
          <w:sz w:val="20"/>
          <w:szCs w:val="20"/>
        </w:rPr>
        <w:t xml:space="preserve"> 2405 – 2019 emitido el 30.05.2019, la cual </w:t>
      </w:r>
      <w:proofErr w:type="gramStart"/>
      <w:r w:rsidR="00AC0D5B" w:rsidRPr="00935B0A">
        <w:rPr>
          <w:rFonts w:ascii="Arial Narrow" w:hAnsi="Arial Narrow"/>
          <w:sz w:val="20"/>
          <w:szCs w:val="20"/>
        </w:rPr>
        <w:t>entra en vigencia</w:t>
      </w:r>
      <w:proofErr w:type="gramEnd"/>
      <w:r w:rsidR="00AC0D5B" w:rsidRPr="00935B0A">
        <w:rPr>
          <w:rFonts w:ascii="Arial Narrow" w:hAnsi="Arial Narrow"/>
          <w:sz w:val="20"/>
          <w:szCs w:val="20"/>
        </w:rPr>
        <w:t xml:space="preserve"> a partir del 01 de junio del 2019. Por ello, quedó derogada la Resolución SBS N°6413-2014 y sus normas modificatorias y complementarias a partir del 31 de mayo del 2019.</w:t>
      </w:r>
      <w:r w:rsidR="00F22251" w:rsidRPr="00935B0A">
        <w:rPr>
          <w:rFonts w:ascii="Arial Narrow" w:hAnsi="Arial Narrow"/>
          <w:sz w:val="20"/>
          <w:szCs w:val="20"/>
        </w:rPr>
        <w:t xml:space="preserve"> Posteriormente, mediante la Resol. SBS </w:t>
      </w:r>
      <w:proofErr w:type="spellStart"/>
      <w:r w:rsidR="00F22251" w:rsidRPr="00935B0A">
        <w:rPr>
          <w:rFonts w:ascii="Arial Narrow" w:hAnsi="Arial Narrow"/>
          <w:sz w:val="20"/>
          <w:szCs w:val="20"/>
        </w:rPr>
        <w:t>N°</w:t>
      </w:r>
      <w:proofErr w:type="spellEnd"/>
      <w:r w:rsidR="00F22251" w:rsidRPr="00935B0A">
        <w:rPr>
          <w:rFonts w:ascii="Arial Narrow" w:hAnsi="Arial Narrow"/>
          <w:sz w:val="20"/>
          <w:szCs w:val="20"/>
        </w:rPr>
        <w:t xml:space="preserve"> 0493-2020 del 30.01.2020 se modificó el Anexo </w:t>
      </w:r>
      <w:proofErr w:type="spellStart"/>
      <w:r w:rsidR="00F22251" w:rsidRPr="00935B0A">
        <w:rPr>
          <w:rFonts w:ascii="Arial Narrow" w:hAnsi="Arial Narrow"/>
          <w:sz w:val="20"/>
          <w:szCs w:val="20"/>
        </w:rPr>
        <w:t>N°</w:t>
      </w:r>
      <w:proofErr w:type="spellEnd"/>
      <w:r w:rsidR="00F22251" w:rsidRPr="00935B0A">
        <w:rPr>
          <w:rFonts w:ascii="Arial Narrow" w:hAnsi="Arial Narrow"/>
          <w:sz w:val="20"/>
          <w:szCs w:val="20"/>
        </w:rPr>
        <w:t xml:space="preserve"> 5</w:t>
      </w:r>
      <w:r w:rsidR="0053184D" w:rsidRPr="00935B0A">
        <w:rPr>
          <w:rFonts w:ascii="Arial Narrow" w:hAnsi="Arial Narrow"/>
          <w:sz w:val="20"/>
          <w:szCs w:val="20"/>
        </w:rPr>
        <w:t xml:space="preserve"> de vigencia enero 2020</w:t>
      </w:r>
      <w:r w:rsidR="00F22251" w:rsidRPr="00935B0A">
        <w:rPr>
          <w:rFonts w:ascii="Arial Narrow" w:hAnsi="Arial Narrow"/>
          <w:sz w:val="20"/>
          <w:szCs w:val="20"/>
        </w:rPr>
        <w:t>.</w:t>
      </w:r>
      <w:r w:rsidR="000979F9" w:rsidRPr="00935B0A">
        <w:rPr>
          <w:rFonts w:ascii="Arial Narrow" w:hAnsi="Arial Narrow"/>
          <w:sz w:val="20"/>
          <w:szCs w:val="20"/>
        </w:rPr>
        <w:t xml:space="preserve"> Posteriormente, mediante la Resol. SBS </w:t>
      </w:r>
      <w:proofErr w:type="spellStart"/>
      <w:r w:rsidR="000979F9" w:rsidRPr="00935B0A">
        <w:rPr>
          <w:rFonts w:ascii="Arial Narrow" w:hAnsi="Arial Narrow"/>
          <w:sz w:val="20"/>
          <w:szCs w:val="20"/>
        </w:rPr>
        <w:t>N°</w:t>
      </w:r>
      <w:proofErr w:type="spellEnd"/>
      <w:r w:rsidR="000979F9" w:rsidRPr="00935B0A">
        <w:rPr>
          <w:rFonts w:ascii="Arial Narrow" w:hAnsi="Arial Narrow"/>
          <w:sz w:val="20"/>
          <w:szCs w:val="20"/>
        </w:rPr>
        <w:t xml:space="preserve"> 1546-2020 del 08.06.2020</w:t>
      </w:r>
      <w:r w:rsidR="005E302D" w:rsidRPr="00935B0A">
        <w:rPr>
          <w:rFonts w:ascii="Arial Narrow" w:hAnsi="Arial Narrow"/>
          <w:sz w:val="20"/>
          <w:szCs w:val="20"/>
        </w:rPr>
        <w:t>,</w:t>
      </w:r>
      <w:r w:rsidR="000979F9" w:rsidRPr="00935B0A">
        <w:rPr>
          <w:rFonts w:ascii="Arial Narrow" w:hAnsi="Arial Narrow"/>
          <w:sz w:val="20"/>
          <w:szCs w:val="20"/>
        </w:rPr>
        <w:t xml:space="preserve"> se modificó el Anexo </w:t>
      </w:r>
      <w:proofErr w:type="spellStart"/>
      <w:r w:rsidR="000979F9" w:rsidRPr="00935B0A">
        <w:rPr>
          <w:rFonts w:ascii="Arial Narrow" w:hAnsi="Arial Narrow"/>
          <w:sz w:val="20"/>
          <w:szCs w:val="20"/>
        </w:rPr>
        <w:t>N°</w:t>
      </w:r>
      <w:proofErr w:type="spellEnd"/>
      <w:r w:rsidR="000979F9" w:rsidRPr="00935B0A">
        <w:rPr>
          <w:rFonts w:ascii="Arial Narrow" w:hAnsi="Arial Narrow"/>
          <w:sz w:val="20"/>
          <w:szCs w:val="20"/>
        </w:rPr>
        <w:t xml:space="preserve"> 5 de vigencia mayo 2020.</w:t>
      </w:r>
      <w:r w:rsidR="000E797A" w:rsidRPr="00935B0A">
        <w:rPr>
          <w:rFonts w:ascii="Arial Narrow" w:hAnsi="Arial Narrow"/>
          <w:sz w:val="20"/>
          <w:szCs w:val="20"/>
        </w:rPr>
        <w:t xml:space="preserve"> Posteriormente, mediante la Resol. </w:t>
      </w:r>
      <w:r w:rsidR="000E797A" w:rsidRPr="00B707AA">
        <w:rPr>
          <w:rFonts w:ascii="Arial Narrow" w:hAnsi="Arial Narrow"/>
          <w:sz w:val="20"/>
          <w:szCs w:val="20"/>
        </w:rPr>
        <w:t xml:space="preserve">SBS </w:t>
      </w:r>
      <w:proofErr w:type="spellStart"/>
      <w:r w:rsidR="000E797A" w:rsidRPr="00B707AA">
        <w:rPr>
          <w:rFonts w:ascii="Arial Narrow" w:hAnsi="Arial Narrow"/>
          <w:sz w:val="20"/>
          <w:szCs w:val="20"/>
        </w:rPr>
        <w:t>N°</w:t>
      </w:r>
      <w:proofErr w:type="spellEnd"/>
      <w:r w:rsidR="000E797A" w:rsidRPr="00B707AA">
        <w:rPr>
          <w:rFonts w:ascii="Arial Narrow" w:hAnsi="Arial Narrow"/>
          <w:sz w:val="20"/>
          <w:szCs w:val="20"/>
        </w:rPr>
        <w:t xml:space="preserve"> 2154-2020 del 04.09.2020</w:t>
      </w:r>
      <w:r w:rsidR="005E302D" w:rsidRPr="00B707AA">
        <w:rPr>
          <w:rFonts w:ascii="Arial Narrow" w:hAnsi="Arial Narrow"/>
          <w:sz w:val="20"/>
          <w:szCs w:val="20"/>
        </w:rPr>
        <w:t>,</w:t>
      </w:r>
      <w:r w:rsidR="000E797A" w:rsidRPr="00B707AA">
        <w:rPr>
          <w:rFonts w:ascii="Arial Narrow" w:hAnsi="Arial Narrow"/>
          <w:sz w:val="20"/>
          <w:szCs w:val="20"/>
        </w:rPr>
        <w:t xml:space="preserve"> se modificó las notas el Anexo </w:t>
      </w:r>
      <w:proofErr w:type="spellStart"/>
      <w:r w:rsidR="000E797A" w:rsidRPr="00B707AA">
        <w:rPr>
          <w:rFonts w:ascii="Arial Narrow" w:hAnsi="Arial Narrow"/>
          <w:sz w:val="20"/>
          <w:szCs w:val="20"/>
        </w:rPr>
        <w:t>N°</w:t>
      </w:r>
      <w:proofErr w:type="spellEnd"/>
      <w:r w:rsidR="000E797A" w:rsidRPr="00B707AA">
        <w:rPr>
          <w:rFonts w:ascii="Arial Narrow" w:hAnsi="Arial Narrow"/>
          <w:sz w:val="20"/>
          <w:szCs w:val="20"/>
        </w:rPr>
        <w:t xml:space="preserve"> 5 de vigencia setiembre 2020.</w:t>
      </w:r>
      <w:r w:rsidR="005E302D" w:rsidRPr="00B707AA">
        <w:rPr>
          <w:rFonts w:ascii="Arial Narrow" w:hAnsi="Arial Narrow"/>
          <w:sz w:val="20"/>
          <w:szCs w:val="20"/>
        </w:rPr>
        <w:t xml:space="preserve"> Posteriormente, mediante Resol. SBS </w:t>
      </w:r>
      <w:proofErr w:type="spellStart"/>
      <w:r w:rsidR="005E302D" w:rsidRPr="00B707AA">
        <w:rPr>
          <w:rFonts w:ascii="Arial Narrow" w:hAnsi="Arial Narrow"/>
          <w:sz w:val="20"/>
          <w:szCs w:val="20"/>
        </w:rPr>
        <w:t>N°</w:t>
      </w:r>
      <w:proofErr w:type="spellEnd"/>
      <w:r w:rsidR="005E302D" w:rsidRPr="00B707AA">
        <w:rPr>
          <w:rFonts w:ascii="Arial Narrow" w:hAnsi="Arial Narrow"/>
          <w:sz w:val="20"/>
          <w:szCs w:val="20"/>
        </w:rPr>
        <w:t xml:space="preserve"> 3155-2020 del 17.12.2020, se modificó el Anexo </w:t>
      </w:r>
      <w:proofErr w:type="spellStart"/>
      <w:r w:rsidR="005E302D" w:rsidRPr="00B707AA">
        <w:rPr>
          <w:rFonts w:ascii="Arial Narrow" w:hAnsi="Arial Narrow"/>
          <w:sz w:val="20"/>
          <w:szCs w:val="20"/>
        </w:rPr>
        <w:t>N°</w:t>
      </w:r>
      <w:proofErr w:type="spellEnd"/>
      <w:r w:rsidR="005E302D" w:rsidRPr="00B707AA">
        <w:rPr>
          <w:rFonts w:ascii="Arial Narrow" w:hAnsi="Arial Narrow"/>
          <w:sz w:val="20"/>
          <w:szCs w:val="20"/>
        </w:rPr>
        <w:t xml:space="preserve"> 5 y sus Notas Metodológicas de vigencia diciembre 2020.</w:t>
      </w:r>
      <w:r w:rsidR="00627034" w:rsidRPr="00B707AA">
        <w:rPr>
          <w:rFonts w:ascii="Arial Narrow" w:hAnsi="Arial Narrow"/>
          <w:sz w:val="20"/>
          <w:szCs w:val="20"/>
        </w:rPr>
        <w:t xml:space="preserve"> Posteriormente, </w:t>
      </w:r>
      <w:r w:rsidR="0050038D" w:rsidRPr="00B707AA">
        <w:rPr>
          <w:rFonts w:ascii="Arial Narrow" w:hAnsi="Arial Narrow"/>
          <w:sz w:val="20"/>
          <w:szCs w:val="20"/>
        </w:rPr>
        <w:t xml:space="preserve">mediante Resol SBS </w:t>
      </w:r>
      <w:proofErr w:type="spellStart"/>
      <w:r w:rsidR="0050038D" w:rsidRPr="00B707AA">
        <w:rPr>
          <w:rFonts w:ascii="Arial Narrow" w:hAnsi="Arial Narrow"/>
          <w:sz w:val="20"/>
          <w:szCs w:val="20"/>
        </w:rPr>
        <w:t>N°</w:t>
      </w:r>
      <w:proofErr w:type="spellEnd"/>
      <w:r w:rsidR="0050038D" w:rsidRPr="00B707AA">
        <w:rPr>
          <w:rFonts w:ascii="Arial Narrow" w:hAnsi="Arial Narrow"/>
          <w:sz w:val="20"/>
          <w:szCs w:val="20"/>
        </w:rPr>
        <w:t xml:space="preserve"> 3718-2021 del 07.12.2021 </w:t>
      </w:r>
      <w:r w:rsidR="00627034" w:rsidRPr="00B707AA">
        <w:rPr>
          <w:rFonts w:ascii="Arial Narrow" w:hAnsi="Arial Narrow"/>
          <w:sz w:val="20"/>
          <w:szCs w:val="20"/>
        </w:rPr>
        <w:t xml:space="preserve">se </w:t>
      </w:r>
      <w:r w:rsidR="0050038D" w:rsidRPr="00B707AA">
        <w:rPr>
          <w:rFonts w:ascii="Arial Narrow" w:hAnsi="Arial Narrow"/>
          <w:sz w:val="20"/>
          <w:szCs w:val="20"/>
        </w:rPr>
        <w:t xml:space="preserve">sustituye </w:t>
      </w:r>
      <w:r w:rsidR="00627034" w:rsidRPr="00B707AA">
        <w:rPr>
          <w:rFonts w:ascii="Arial Narrow" w:hAnsi="Arial Narrow"/>
          <w:sz w:val="20"/>
          <w:szCs w:val="20"/>
        </w:rPr>
        <w:t xml:space="preserve">el Anexo </w:t>
      </w:r>
      <w:proofErr w:type="spellStart"/>
      <w:r w:rsidR="00627034" w:rsidRPr="00B707AA">
        <w:rPr>
          <w:rFonts w:ascii="Arial Narrow" w:hAnsi="Arial Narrow"/>
          <w:sz w:val="20"/>
          <w:szCs w:val="20"/>
        </w:rPr>
        <w:t>N°</w:t>
      </w:r>
      <w:proofErr w:type="spellEnd"/>
      <w:r w:rsidR="00627034" w:rsidRPr="00B707AA">
        <w:rPr>
          <w:rFonts w:ascii="Arial Narrow" w:hAnsi="Arial Narrow"/>
          <w:sz w:val="20"/>
          <w:szCs w:val="20"/>
        </w:rPr>
        <w:t xml:space="preserve"> 5-A “Resumen de Provisiones Procíclicas”</w:t>
      </w:r>
      <w:r w:rsidR="00937C73" w:rsidRPr="00B707AA">
        <w:rPr>
          <w:rFonts w:ascii="Arial Narrow" w:hAnsi="Arial Narrow"/>
          <w:sz w:val="20"/>
          <w:szCs w:val="20"/>
        </w:rPr>
        <w:t xml:space="preserve">. La Resolución </w:t>
      </w:r>
      <w:r w:rsidR="009C1B3C" w:rsidRPr="00B707AA">
        <w:rPr>
          <w:rFonts w:ascii="Arial Narrow" w:hAnsi="Arial Narrow"/>
          <w:sz w:val="20"/>
          <w:szCs w:val="20"/>
        </w:rPr>
        <w:t xml:space="preserve">SBS </w:t>
      </w:r>
      <w:proofErr w:type="spellStart"/>
      <w:r w:rsidR="009C1B3C" w:rsidRPr="00B707AA">
        <w:rPr>
          <w:rFonts w:ascii="Arial Narrow" w:hAnsi="Arial Narrow"/>
          <w:sz w:val="20"/>
          <w:szCs w:val="20"/>
        </w:rPr>
        <w:t>N°</w:t>
      </w:r>
      <w:proofErr w:type="spellEnd"/>
      <w:r w:rsidR="009C1B3C" w:rsidRPr="00B707AA">
        <w:rPr>
          <w:rFonts w:ascii="Arial Narrow" w:hAnsi="Arial Narrow"/>
          <w:sz w:val="20"/>
          <w:szCs w:val="20"/>
        </w:rPr>
        <w:t xml:space="preserve"> 3718-2021 </w:t>
      </w:r>
      <w:proofErr w:type="gramStart"/>
      <w:r w:rsidR="00937C73" w:rsidRPr="00B707AA">
        <w:rPr>
          <w:rFonts w:ascii="Arial Narrow" w:hAnsi="Arial Narrow"/>
          <w:sz w:val="20"/>
          <w:szCs w:val="20"/>
        </w:rPr>
        <w:t>entra en vigencia</w:t>
      </w:r>
      <w:proofErr w:type="gramEnd"/>
      <w:r w:rsidR="009C1B3C" w:rsidRPr="00B707AA">
        <w:rPr>
          <w:rFonts w:ascii="Arial Narrow" w:hAnsi="Arial Narrow"/>
          <w:sz w:val="20"/>
          <w:szCs w:val="20"/>
        </w:rPr>
        <w:t xml:space="preserve"> al día siguiente de su publicación en el Diario Oficial El Peruano, pero la regla procíclica </w:t>
      </w:r>
      <w:r w:rsidR="009C1B3C" w:rsidRPr="00B707AA">
        <w:rPr>
          <w:rFonts w:ascii="Arial Narrow" w:hAnsi="Arial Narrow"/>
          <w:sz w:val="20"/>
          <w:szCs w:val="20"/>
        </w:rPr>
        <w:lastRenderedPageBreak/>
        <w:t>se puede activar, de acuerdo con los lineamientos establecidos en la referida Resolución, a partir del 31 de diciembre de 2023.</w:t>
      </w:r>
      <w:r w:rsidR="006D5BD5" w:rsidRPr="006D5BD5">
        <w:rPr>
          <w:rFonts w:ascii="Arial Narrow" w:hAnsi="Arial Narrow"/>
          <w:sz w:val="20"/>
          <w:szCs w:val="20"/>
        </w:rPr>
        <w:t xml:space="preserve"> </w:t>
      </w:r>
      <w:r w:rsidR="006D5BD5" w:rsidRPr="00935B0A">
        <w:rPr>
          <w:rFonts w:ascii="Arial Narrow" w:hAnsi="Arial Narrow"/>
          <w:sz w:val="20"/>
          <w:szCs w:val="20"/>
        </w:rPr>
        <w:t xml:space="preserve">Posteriormente, mediante la Resol. </w:t>
      </w:r>
      <w:r w:rsidR="006D5BD5" w:rsidRPr="00B707AA">
        <w:rPr>
          <w:rFonts w:ascii="Arial Narrow" w:hAnsi="Arial Narrow"/>
          <w:sz w:val="20"/>
          <w:szCs w:val="20"/>
        </w:rPr>
        <w:t xml:space="preserve">SBS </w:t>
      </w:r>
      <w:proofErr w:type="spellStart"/>
      <w:r w:rsidR="006D5BD5" w:rsidRPr="00B707AA">
        <w:rPr>
          <w:rFonts w:ascii="Arial Narrow" w:hAnsi="Arial Narrow"/>
          <w:sz w:val="20"/>
          <w:szCs w:val="20"/>
        </w:rPr>
        <w:t>N°</w:t>
      </w:r>
      <w:proofErr w:type="spellEnd"/>
      <w:r w:rsidR="006D5BD5" w:rsidRPr="00B707AA">
        <w:rPr>
          <w:rFonts w:ascii="Arial Narrow" w:hAnsi="Arial Narrow"/>
          <w:sz w:val="20"/>
          <w:szCs w:val="20"/>
        </w:rPr>
        <w:t xml:space="preserve"> </w:t>
      </w:r>
      <w:r w:rsidR="006D5BD5">
        <w:rPr>
          <w:rFonts w:ascii="Arial Narrow" w:hAnsi="Arial Narrow"/>
          <w:sz w:val="20"/>
          <w:szCs w:val="20"/>
        </w:rPr>
        <w:t>01944</w:t>
      </w:r>
      <w:r w:rsidR="006D5BD5" w:rsidRPr="00B707AA">
        <w:rPr>
          <w:rFonts w:ascii="Arial Narrow" w:hAnsi="Arial Narrow"/>
          <w:sz w:val="20"/>
          <w:szCs w:val="20"/>
        </w:rPr>
        <w:t>-202</w:t>
      </w:r>
      <w:r w:rsidR="006D5BD5">
        <w:rPr>
          <w:rFonts w:ascii="Arial Narrow" w:hAnsi="Arial Narrow"/>
          <w:sz w:val="20"/>
          <w:szCs w:val="20"/>
        </w:rPr>
        <w:t>2</w:t>
      </w:r>
      <w:r w:rsidR="006D5BD5" w:rsidRPr="00B707AA">
        <w:rPr>
          <w:rFonts w:ascii="Arial Narrow" w:hAnsi="Arial Narrow"/>
          <w:sz w:val="20"/>
          <w:szCs w:val="20"/>
        </w:rPr>
        <w:t xml:space="preserve"> del </w:t>
      </w:r>
      <w:r w:rsidR="006D5BD5">
        <w:rPr>
          <w:rFonts w:ascii="Arial Narrow" w:hAnsi="Arial Narrow"/>
          <w:sz w:val="20"/>
          <w:szCs w:val="20"/>
        </w:rPr>
        <w:t>16</w:t>
      </w:r>
      <w:r w:rsidR="006D5BD5" w:rsidRPr="00B707AA">
        <w:rPr>
          <w:rFonts w:ascii="Arial Narrow" w:hAnsi="Arial Narrow"/>
          <w:sz w:val="20"/>
          <w:szCs w:val="20"/>
        </w:rPr>
        <w:t>.0</w:t>
      </w:r>
      <w:r w:rsidR="006D5BD5">
        <w:rPr>
          <w:rFonts w:ascii="Arial Narrow" w:hAnsi="Arial Narrow"/>
          <w:sz w:val="20"/>
          <w:szCs w:val="20"/>
        </w:rPr>
        <w:t>6.2022</w:t>
      </w:r>
      <w:r w:rsidR="006D5BD5" w:rsidRPr="00B707AA">
        <w:rPr>
          <w:rFonts w:ascii="Arial Narrow" w:hAnsi="Arial Narrow"/>
          <w:sz w:val="20"/>
          <w:szCs w:val="20"/>
        </w:rPr>
        <w:t xml:space="preserve">, se modificó las notas el Anexo </w:t>
      </w:r>
      <w:proofErr w:type="spellStart"/>
      <w:r w:rsidR="006D5BD5" w:rsidRPr="00B707AA">
        <w:rPr>
          <w:rFonts w:ascii="Arial Narrow" w:hAnsi="Arial Narrow"/>
          <w:sz w:val="20"/>
          <w:szCs w:val="20"/>
        </w:rPr>
        <w:t>N°</w:t>
      </w:r>
      <w:proofErr w:type="spellEnd"/>
      <w:r w:rsidR="006D5BD5" w:rsidRPr="00B707AA">
        <w:rPr>
          <w:rFonts w:ascii="Arial Narrow" w:hAnsi="Arial Narrow"/>
          <w:sz w:val="20"/>
          <w:szCs w:val="20"/>
        </w:rPr>
        <w:t xml:space="preserve"> 5 de </w:t>
      </w:r>
      <w:r w:rsidR="006D5BD5">
        <w:rPr>
          <w:rFonts w:ascii="Arial Narrow" w:hAnsi="Arial Narrow"/>
          <w:sz w:val="20"/>
          <w:szCs w:val="20"/>
        </w:rPr>
        <w:t>vigencia junio</w:t>
      </w:r>
      <w:r w:rsidR="006D5BD5" w:rsidRPr="00B707AA">
        <w:rPr>
          <w:rFonts w:ascii="Arial Narrow" w:hAnsi="Arial Narrow"/>
          <w:sz w:val="20"/>
          <w:szCs w:val="20"/>
        </w:rPr>
        <w:t xml:space="preserve"> 202</w:t>
      </w:r>
      <w:r w:rsidR="006D5BD5">
        <w:rPr>
          <w:rFonts w:ascii="Arial Narrow" w:hAnsi="Arial Narrow"/>
          <w:sz w:val="20"/>
          <w:szCs w:val="20"/>
        </w:rPr>
        <w:t>2.</w:t>
      </w:r>
      <w:r w:rsidR="00894F19">
        <w:rPr>
          <w:rFonts w:ascii="Arial Narrow" w:hAnsi="Arial Narrow"/>
          <w:sz w:val="20"/>
          <w:szCs w:val="20"/>
        </w:rPr>
        <w:t xml:space="preserve"> </w:t>
      </w:r>
      <w:r w:rsidR="00894F19" w:rsidRPr="00935B0A">
        <w:rPr>
          <w:rFonts w:ascii="Arial Narrow" w:hAnsi="Arial Narrow"/>
          <w:sz w:val="20"/>
          <w:szCs w:val="20"/>
        </w:rPr>
        <w:t xml:space="preserve">Posteriormente, mediante la Resol. </w:t>
      </w:r>
      <w:r w:rsidR="00894F19" w:rsidRPr="00B707AA">
        <w:rPr>
          <w:rFonts w:ascii="Arial Narrow" w:hAnsi="Arial Narrow"/>
          <w:sz w:val="20"/>
          <w:szCs w:val="20"/>
        </w:rPr>
        <w:t xml:space="preserve">SBS </w:t>
      </w:r>
      <w:proofErr w:type="spellStart"/>
      <w:r w:rsidR="00894F19" w:rsidRPr="00B707AA">
        <w:rPr>
          <w:rFonts w:ascii="Arial Narrow" w:hAnsi="Arial Narrow"/>
          <w:sz w:val="20"/>
          <w:szCs w:val="20"/>
        </w:rPr>
        <w:t>N°</w:t>
      </w:r>
      <w:proofErr w:type="spellEnd"/>
      <w:r w:rsidR="00894F19" w:rsidRPr="00B707AA">
        <w:rPr>
          <w:rFonts w:ascii="Arial Narrow" w:hAnsi="Arial Narrow"/>
          <w:sz w:val="20"/>
          <w:szCs w:val="20"/>
        </w:rPr>
        <w:t xml:space="preserve"> </w:t>
      </w:r>
      <w:r w:rsidR="00894F19">
        <w:rPr>
          <w:rFonts w:ascii="Arial Narrow" w:hAnsi="Arial Narrow"/>
          <w:sz w:val="20"/>
          <w:szCs w:val="20"/>
        </w:rPr>
        <w:t>02165</w:t>
      </w:r>
      <w:r w:rsidR="00894F19" w:rsidRPr="00B707AA">
        <w:rPr>
          <w:rFonts w:ascii="Arial Narrow" w:hAnsi="Arial Narrow"/>
          <w:sz w:val="20"/>
          <w:szCs w:val="20"/>
        </w:rPr>
        <w:t>-202</w:t>
      </w:r>
      <w:r w:rsidR="00894F19">
        <w:rPr>
          <w:rFonts w:ascii="Arial Narrow" w:hAnsi="Arial Narrow"/>
          <w:sz w:val="20"/>
          <w:szCs w:val="20"/>
        </w:rPr>
        <w:t>2</w:t>
      </w:r>
      <w:r w:rsidR="00894F19" w:rsidRPr="00B707AA">
        <w:rPr>
          <w:rFonts w:ascii="Arial Narrow" w:hAnsi="Arial Narrow"/>
          <w:sz w:val="20"/>
          <w:szCs w:val="20"/>
        </w:rPr>
        <w:t xml:space="preserve"> del </w:t>
      </w:r>
      <w:r w:rsidR="00894F19">
        <w:rPr>
          <w:rFonts w:ascii="Arial Narrow" w:hAnsi="Arial Narrow"/>
          <w:sz w:val="20"/>
          <w:szCs w:val="20"/>
        </w:rPr>
        <w:t>11</w:t>
      </w:r>
      <w:r w:rsidR="00894F19" w:rsidRPr="00B707AA">
        <w:rPr>
          <w:rFonts w:ascii="Arial Narrow" w:hAnsi="Arial Narrow"/>
          <w:sz w:val="20"/>
          <w:szCs w:val="20"/>
        </w:rPr>
        <w:t>.0</w:t>
      </w:r>
      <w:r w:rsidR="00894F19">
        <w:rPr>
          <w:rFonts w:ascii="Arial Narrow" w:hAnsi="Arial Narrow"/>
          <w:sz w:val="20"/>
          <w:szCs w:val="20"/>
        </w:rPr>
        <w:t>7.2022</w:t>
      </w:r>
      <w:r w:rsidR="00894F19" w:rsidRPr="00B707AA">
        <w:rPr>
          <w:rFonts w:ascii="Arial Narrow" w:hAnsi="Arial Narrow"/>
          <w:sz w:val="20"/>
          <w:szCs w:val="20"/>
        </w:rPr>
        <w:t xml:space="preserve">, se modificó las notas el Anexo </w:t>
      </w:r>
      <w:proofErr w:type="spellStart"/>
      <w:r w:rsidR="00894F19" w:rsidRPr="00B707AA">
        <w:rPr>
          <w:rFonts w:ascii="Arial Narrow" w:hAnsi="Arial Narrow"/>
          <w:sz w:val="20"/>
          <w:szCs w:val="20"/>
        </w:rPr>
        <w:t>N°</w:t>
      </w:r>
      <w:proofErr w:type="spellEnd"/>
      <w:r w:rsidR="00894F19" w:rsidRPr="00B707AA">
        <w:rPr>
          <w:rFonts w:ascii="Arial Narrow" w:hAnsi="Arial Narrow"/>
          <w:sz w:val="20"/>
          <w:szCs w:val="20"/>
        </w:rPr>
        <w:t xml:space="preserve"> 5 de </w:t>
      </w:r>
      <w:r w:rsidR="00165EB5">
        <w:rPr>
          <w:rFonts w:ascii="Arial Narrow" w:hAnsi="Arial Narrow"/>
          <w:sz w:val="20"/>
          <w:szCs w:val="20"/>
        </w:rPr>
        <w:t>vigencia ju</w:t>
      </w:r>
      <w:r w:rsidR="00474996">
        <w:rPr>
          <w:rFonts w:ascii="Arial Narrow" w:hAnsi="Arial Narrow"/>
          <w:sz w:val="20"/>
          <w:szCs w:val="20"/>
        </w:rPr>
        <w:t>l</w:t>
      </w:r>
      <w:r w:rsidR="00894F19">
        <w:rPr>
          <w:rFonts w:ascii="Arial Narrow" w:hAnsi="Arial Narrow"/>
          <w:sz w:val="20"/>
          <w:szCs w:val="20"/>
        </w:rPr>
        <w:t>io</w:t>
      </w:r>
      <w:r w:rsidR="00894F19" w:rsidRPr="00B707AA">
        <w:rPr>
          <w:rFonts w:ascii="Arial Narrow" w:hAnsi="Arial Narrow"/>
          <w:sz w:val="20"/>
          <w:szCs w:val="20"/>
        </w:rPr>
        <w:t xml:space="preserve"> 202</w:t>
      </w:r>
      <w:r w:rsidR="00894F19">
        <w:rPr>
          <w:rFonts w:ascii="Arial Narrow" w:hAnsi="Arial Narrow"/>
          <w:sz w:val="20"/>
          <w:szCs w:val="20"/>
        </w:rPr>
        <w:t>2.</w:t>
      </w:r>
      <w:r w:rsidR="00B45496">
        <w:rPr>
          <w:rFonts w:ascii="Arial Narrow" w:hAnsi="Arial Narrow"/>
          <w:sz w:val="20"/>
          <w:szCs w:val="20"/>
        </w:rPr>
        <w:t xml:space="preserve"> </w:t>
      </w:r>
      <w:r w:rsidR="00B45496" w:rsidRPr="00667ECE">
        <w:rPr>
          <w:rFonts w:ascii="Arial Narrow" w:hAnsi="Arial Narrow"/>
          <w:sz w:val="20"/>
          <w:szCs w:val="18"/>
        </w:rPr>
        <w:t xml:space="preserve">Posteriormente modificada las notas metodológicas por la Resol. SBS </w:t>
      </w:r>
      <w:proofErr w:type="spellStart"/>
      <w:r w:rsidR="00B45496" w:rsidRPr="00667ECE">
        <w:rPr>
          <w:rFonts w:ascii="Arial Narrow" w:hAnsi="Arial Narrow"/>
          <w:sz w:val="20"/>
          <w:szCs w:val="18"/>
        </w:rPr>
        <w:t>N°</w:t>
      </w:r>
      <w:proofErr w:type="spellEnd"/>
      <w:r w:rsidR="00B45496" w:rsidRPr="00667ECE">
        <w:rPr>
          <w:rFonts w:ascii="Arial Narrow" w:hAnsi="Arial Narrow"/>
          <w:sz w:val="20"/>
          <w:szCs w:val="18"/>
        </w:rPr>
        <w:t xml:space="preserve"> 3178-2022 del 17.10.2022 de vigencia octubre 2022.</w:t>
      </w:r>
      <w:r w:rsidR="00B03C70">
        <w:rPr>
          <w:rFonts w:ascii="Arial Narrow" w:hAnsi="Arial Narrow"/>
          <w:sz w:val="20"/>
          <w:szCs w:val="18"/>
        </w:rPr>
        <w:t xml:space="preserve"> </w:t>
      </w:r>
      <w:r w:rsidR="00B03C70" w:rsidRPr="00B03C70">
        <w:rPr>
          <w:rFonts w:ascii="Arial Narrow" w:hAnsi="Arial Narrow"/>
          <w:sz w:val="20"/>
          <w:szCs w:val="18"/>
        </w:rPr>
        <w:t xml:space="preserve">Posteriormente se modificó las notas metodológicas del Anexo 5 “Informe de Clasificación de Deudores y Provisiones" por la Resol. SBS </w:t>
      </w:r>
      <w:proofErr w:type="spellStart"/>
      <w:r w:rsidR="00B03C70" w:rsidRPr="00B03C70">
        <w:rPr>
          <w:rFonts w:ascii="Arial Narrow" w:hAnsi="Arial Narrow"/>
          <w:sz w:val="20"/>
          <w:szCs w:val="18"/>
        </w:rPr>
        <w:t>N°</w:t>
      </w:r>
      <w:proofErr w:type="spellEnd"/>
      <w:r w:rsidR="00B03C70" w:rsidRPr="00B03C70">
        <w:rPr>
          <w:rFonts w:ascii="Arial Narrow" w:hAnsi="Arial Narrow"/>
          <w:sz w:val="20"/>
          <w:szCs w:val="18"/>
        </w:rPr>
        <w:t xml:space="preserve"> 01214-2023 del 04.04.2023 de vigencia marzo 2023.</w:t>
      </w:r>
      <w:r w:rsidR="00BE0DBC">
        <w:rPr>
          <w:rFonts w:ascii="Arial Narrow" w:hAnsi="Arial Narrow"/>
          <w:sz w:val="20"/>
          <w:szCs w:val="18"/>
        </w:rPr>
        <w:t xml:space="preserve"> </w:t>
      </w:r>
      <w:r w:rsidR="00BE0DBC" w:rsidRPr="00BE0DBC">
        <w:rPr>
          <w:rFonts w:ascii="Arial Narrow" w:hAnsi="Arial Narrow"/>
          <w:sz w:val="20"/>
          <w:szCs w:val="18"/>
        </w:rPr>
        <w:t xml:space="preserve">Posteriormente se modificó las notas metodológicas del Anexo 5 “Informe de Clasificación de Deudores y Provisiones" por la Resol. SBS </w:t>
      </w:r>
      <w:proofErr w:type="spellStart"/>
      <w:r w:rsidR="00BE0DBC" w:rsidRPr="00BE0DBC">
        <w:rPr>
          <w:rFonts w:ascii="Arial Narrow" w:hAnsi="Arial Narrow"/>
          <w:sz w:val="20"/>
          <w:szCs w:val="18"/>
        </w:rPr>
        <w:t>N°</w:t>
      </w:r>
      <w:proofErr w:type="spellEnd"/>
      <w:r w:rsidR="00BE0DBC" w:rsidRPr="00BE0DBC">
        <w:rPr>
          <w:rFonts w:ascii="Arial Narrow" w:hAnsi="Arial Narrow"/>
          <w:sz w:val="20"/>
          <w:szCs w:val="18"/>
        </w:rPr>
        <w:t xml:space="preserve"> 01</w:t>
      </w:r>
      <w:r w:rsidR="00BE0DBC">
        <w:rPr>
          <w:rFonts w:ascii="Arial Narrow" w:hAnsi="Arial Narrow"/>
          <w:sz w:val="20"/>
          <w:szCs w:val="18"/>
        </w:rPr>
        <w:t>828</w:t>
      </w:r>
      <w:r w:rsidR="00BE0DBC" w:rsidRPr="00BE0DBC">
        <w:rPr>
          <w:rFonts w:ascii="Arial Narrow" w:hAnsi="Arial Narrow"/>
          <w:sz w:val="20"/>
          <w:szCs w:val="18"/>
        </w:rPr>
        <w:t xml:space="preserve">-2023 </w:t>
      </w:r>
      <w:r w:rsidR="00BE0DBC">
        <w:rPr>
          <w:rFonts w:ascii="Arial Narrow" w:hAnsi="Arial Narrow"/>
          <w:sz w:val="20"/>
          <w:szCs w:val="18"/>
        </w:rPr>
        <w:t xml:space="preserve">y </w:t>
      </w:r>
      <w:r w:rsidR="00BE0DBC" w:rsidRPr="00BE0DBC">
        <w:rPr>
          <w:rFonts w:ascii="Arial Narrow" w:hAnsi="Arial Narrow"/>
          <w:sz w:val="20"/>
          <w:szCs w:val="18"/>
        </w:rPr>
        <w:t xml:space="preserve">Resol. SBS </w:t>
      </w:r>
      <w:proofErr w:type="spellStart"/>
      <w:r w:rsidR="00BE0DBC" w:rsidRPr="00BE0DBC">
        <w:rPr>
          <w:rFonts w:ascii="Arial Narrow" w:hAnsi="Arial Narrow"/>
          <w:sz w:val="20"/>
          <w:szCs w:val="18"/>
        </w:rPr>
        <w:t>N°</w:t>
      </w:r>
      <w:proofErr w:type="spellEnd"/>
      <w:r w:rsidR="00BE0DBC" w:rsidRPr="00BE0DBC">
        <w:rPr>
          <w:rFonts w:ascii="Arial Narrow" w:hAnsi="Arial Narrow"/>
          <w:sz w:val="20"/>
          <w:szCs w:val="18"/>
        </w:rPr>
        <w:t xml:space="preserve"> 01</w:t>
      </w:r>
      <w:r w:rsidR="00BE0DBC">
        <w:rPr>
          <w:rFonts w:ascii="Arial Narrow" w:hAnsi="Arial Narrow"/>
          <w:sz w:val="20"/>
          <w:szCs w:val="18"/>
        </w:rPr>
        <w:t>829</w:t>
      </w:r>
      <w:r w:rsidR="00BE0DBC" w:rsidRPr="00BE0DBC">
        <w:rPr>
          <w:rFonts w:ascii="Arial Narrow" w:hAnsi="Arial Narrow"/>
          <w:sz w:val="20"/>
          <w:szCs w:val="18"/>
        </w:rPr>
        <w:t>-2023</w:t>
      </w:r>
      <w:r w:rsidR="005141B4">
        <w:rPr>
          <w:rFonts w:ascii="Arial Narrow" w:hAnsi="Arial Narrow"/>
          <w:sz w:val="20"/>
          <w:szCs w:val="18"/>
        </w:rPr>
        <w:t xml:space="preserve"> publicadas</w:t>
      </w:r>
      <w:r w:rsidR="00BE0DBC" w:rsidRPr="00BE0DBC">
        <w:rPr>
          <w:rFonts w:ascii="Arial Narrow" w:hAnsi="Arial Narrow"/>
          <w:sz w:val="20"/>
          <w:szCs w:val="18"/>
        </w:rPr>
        <w:t xml:space="preserve"> el </w:t>
      </w:r>
      <w:r w:rsidR="00BE0DBC">
        <w:rPr>
          <w:rFonts w:ascii="Arial Narrow" w:hAnsi="Arial Narrow"/>
          <w:sz w:val="20"/>
          <w:szCs w:val="18"/>
        </w:rPr>
        <w:t>2</w:t>
      </w:r>
      <w:r w:rsidR="005141B4">
        <w:rPr>
          <w:rFonts w:ascii="Arial Narrow" w:hAnsi="Arial Narrow"/>
          <w:sz w:val="20"/>
          <w:szCs w:val="18"/>
        </w:rPr>
        <w:t>9</w:t>
      </w:r>
      <w:r w:rsidR="00BE0DBC" w:rsidRPr="00BE0DBC">
        <w:rPr>
          <w:rFonts w:ascii="Arial Narrow" w:hAnsi="Arial Narrow"/>
          <w:sz w:val="20"/>
          <w:szCs w:val="18"/>
        </w:rPr>
        <w:t>.0</w:t>
      </w:r>
      <w:r w:rsidR="00BE0DBC">
        <w:rPr>
          <w:rFonts w:ascii="Arial Narrow" w:hAnsi="Arial Narrow"/>
          <w:sz w:val="20"/>
          <w:szCs w:val="18"/>
        </w:rPr>
        <w:t>5</w:t>
      </w:r>
      <w:r w:rsidR="00BE0DBC" w:rsidRPr="00BE0DBC">
        <w:rPr>
          <w:rFonts w:ascii="Arial Narrow" w:hAnsi="Arial Narrow"/>
          <w:sz w:val="20"/>
          <w:szCs w:val="18"/>
        </w:rPr>
        <w:t>.2023 de vigencia ma</w:t>
      </w:r>
      <w:r w:rsidR="00BE0DBC">
        <w:rPr>
          <w:rFonts w:ascii="Arial Narrow" w:hAnsi="Arial Narrow"/>
          <w:sz w:val="20"/>
          <w:szCs w:val="18"/>
        </w:rPr>
        <w:t>y</w:t>
      </w:r>
      <w:r w:rsidR="00BE0DBC" w:rsidRPr="00BE0DBC">
        <w:rPr>
          <w:rFonts w:ascii="Arial Narrow" w:hAnsi="Arial Narrow"/>
          <w:sz w:val="20"/>
          <w:szCs w:val="18"/>
        </w:rPr>
        <w:t>o 2023.</w:t>
      </w:r>
      <w:r w:rsidR="00744CE8">
        <w:rPr>
          <w:rFonts w:ascii="Arial Narrow" w:hAnsi="Arial Narrow"/>
          <w:sz w:val="20"/>
          <w:szCs w:val="18"/>
        </w:rPr>
        <w:t xml:space="preserve"> </w:t>
      </w:r>
      <w:r w:rsidR="00744CE8" w:rsidRPr="0005558C">
        <w:rPr>
          <w:rFonts w:ascii="Arial Narrow" w:hAnsi="Arial Narrow"/>
          <w:sz w:val="20"/>
          <w:szCs w:val="18"/>
        </w:rPr>
        <w:t xml:space="preserve">Posteriormente, modificado por la Resol. </w:t>
      </w:r>
      <w:proofErr w:type="spellStart"/>
      <w:r w:rsidR="00744CE8" w:rsidRPr="0005558C">
        <w:rPr>
          <w:rFonts w:ascii="Arial Narrow" w:hAnsi="Arial Narrow"/>
          <w:sz w:val="20"/>
          <w:szCs w:val="18"/>
        </w:rPr>
        <w:t>N°</w:t>
      </w:r>
      <w:proofErr w:type="spellEnd"/>
      <w:r w:rsidR="00744CE8" w:rsidRPr="0005558C">
        <w:rPr>
          <w:rFonts w:ascii="Arial Narrow" w:hAnsi="Arial Narrow"/>
          <w:sz w:val="20"/>
          <w:szCs w:val="18"/>
        </w:rPr>
        <w:t xml:space="preserve"> </w:t>
      </w:r>
      <w:r w:rsidR="00461B7C" w:rsidRPr="0005558C">
        <w:rPr>
          <w:rFonts w:ascii="Arial Narrow" w:hAnsi="Arial Narrow"/>
          <w:sz w:val="20"/>
          <w:szCs w:val="18"/>
        </w:rPr>
        <w:t>0</w:t>
      </w:r>
      <w:r w:rsidR="00744CE8" w:rsidRPr="0005558C">
        <w:rPr>
          <w:rFonts w:ascii="Arial Narrow" w:hAnsi="Arial Narrow"/>
          <w:sz w:val="20"/>
          <w:szCs w:val="18"/>
        </w:rPr>
        <w:t xml:space="preserve">2110-2024 </w:t>
      </w:r>
      <w:r w:rsidR="0006758F" w:rsidRPr="0005558C">
        <w:rPr>
          <w:rFonts w:ascii="Arial Narrow" w:hAnsi="Arial Narrow"/>
          <w:sz w:val="20"/>
          <w:szCs w:val="18"/>
        </w:rPr>
        <w:t>publicada el</w:t>
      </w:r>
      <w:r w:rsidR="00744CE8" w:rsidRPr="0005558C">
        <w:rPr>
          <w:rFonts w:ascii="Arial Narrow" w:hAnsi="Arial Narrow"/>
          <w:sz w:val="20"/>
          <w:szCs w:val="18"/>
        </w:rPr>
        <w:t xml:space="preserve"> </w:t>
      </w:r>
      <w:r w:rsidR="0006758F" w:rsidRPr="0005558C">
        <w:rPr>
          <w:rFonts w:ascii="Arial Narrow" w:hAnsi="Arial Narrow"/>
          <w:sz w:val="20"/>
          <w:szCs w:val="18"/>
        </w:rPr>
        <w:t>11</w:t>
      </w:r>
      <w:r w:rsidR="00744CE8" w:rsidRPr="0005558C">
        <w:rPr>
          <w:rFonts w:ascii="Arial Narrow" w:hAnsi="Arial Narrow"/>
          <w:sz w:val="20"/>
          <w:szCs w:val="18"/>
        </w:rPr>
        <w:t xml:space="preserve">.06.2024 </w:t>
      </w:r>
      <w:r w:rsidR="0006758F" w:rsidRPr="0005558C">
        <w:rPr>
          <w:rFonts w:ascii="Arial Narrow" w:hAnsi="Arial Narrow"/>
          <w:sz w:val="20"/>
          <w:szCs w:val="18"/>
        </w:rPr>
        <w:t>de vigencia</w:t>
      </w:r>
      <w:r w:rsidR="005A2CD3" w:rsidRPr="0005558C">
        <w:rPr>
          <w:rFonts w:ascii="Arial Narrow" w:hAnsi="Arial Narrow"/>
          <w:sz w:val="20"/>
          <w:szCs w:val="18"/>
        </w:rPr>
        <w:t xml:space="preserve"> a partir de la información de</w:t>
      </w:r>
      <w:r w:rsidR="00744CE8" w:rsidRPr="0005558C">
        <w:rPr>
          <w:rFonts w:ascii="Arial Narrow" w:hAnsi="Arial Narrow"/>
          <w:sz w:val="20"/>
          <w:szCs w:val="18"/>
        </w:rPr>
        <w:t xml:space="preserve"> julio 2025.</w:t>
      </w:r>
      <w:r w:rsidR="00986C04" w:rsidRPr="00986C04">
        <w:rPr>
          <w:rFonts w:ascii="Arial Narrow" w:hAnsi="Arial Narrow"/>
          <w:sz w:val="20"/>
          <w:szCs w:val="18"/>
        </w:rPr>
        <w:t xml:space="preserve">Posteriormente se modificaron las notas metodológicas del Anexo 5 “Informe de Clasificación de Deudores y Provisiones" por la Resol. SBS </w:t>
      </w:r>
      <w:proofErr w:type="spellStart"/>
      <w:r w:rsidR="00986C04" w:rsidRPr="00986C04">
        <w:rPr>
          <w:rFonts w:ascii="Arial Narrow" w:hAnsi="Arial Narrow"/>
          <w:sz w:val="20"/>
          <w:szCs w:val="18"/>
        </w:rPr>
        <w:t>N°</w:t>
      </w:r>
      <w:proofErr w:type="spellEnd"/>
      <w:r w:rsidR="00986C04" w:rsidRPr="00986C04">
        <w:rPr>
          <w:rFonts w:ascii="Arial Narrow" w:hAnsi="Arial Narrow"/>
          <w:sz w:val="20"/>
          <w:szCs w:val="18"/>
        </w:rPr>
        <w:t xml:space="preserve"> </w:t>
      </w:r>
      <w:r w:rsidR="00FD7847">
        <w:rPr>
          <w:rFonts w:ascii="Arial Narrow" w:hAnsi="Arial Narrow"/>
          <w:sz w:val="20"/>
          <w:szCs w:val="18"/>
        </w:rPr>
        <w:t>0</w:t>
      </w:r>
      <w:r w:rsidR="00986C04" w:rsidRPr="00986C04">
        <w:rPr>
          <w:rFonts w:ascii="Arial Narrow" w:hAnsi="Arial Narrow"/>
          <w:sz w:val="20"/>
          <w:szCs w:val="18"/>
        </w:rPr>
        <w:t xml:space="preserve">774-2025 publicada el 03.03.2025, la cual </w:t>
      </w:r>
      <w:proofErr w:type="gramStart"/>
      <w:r w:rsidR="00986C04" w:rsidRPr="00986C04">
        <w:rPr>
          <w:rFonts w:ascii="Arial Narrow" w:hAnsi="Arial Narrow"/>
          <w:sz w:val="20"/>
          <w:szCs w:val="18"/>
        </w:rPr>
        <w:t>entra en vigencia</w:t>
      </w:r>
      <w:proofErr w:type="gramEnd"/>
      <w:r w:rsidR="00986C04" w:rsidRPr="00986C04">
        <w:rPr>
          <w:rFonts w:ascii="Arial Narrow" w:hAnsi="Arial Narrow"/>
          <w:sz w:val="20"/>
          <w:szCs w:val="18"/>
        </w:rPr>
        <w:t xml:space="preserve"> a partir de enero 2026.</w:t>
      </w:r>
      <w:r w:rsidR="00887525">
        <w:rPr>
          <w:rFonts w:ascii="Arial Narrow" w:hAnsi="Arial Narrow"/>
          <w:sz w:val="20"/>
          <w:szCs w:val="18"/>
        </w:rPr>
        <w:t xml:space="preserve"> </w:t>
      </w:r>
      <w:r w:rsidR="00887525" w:rsidRPr="00315096">
        <w:rPr>
          <w:rFonts w:ascii="Arial Narrow" w:hAnsi="Arial Narrow"/>
          <w:sz w:val="20"/>
          <w:szCs w:val="20"/>
        </w:rPr>
        <w:t xml:space="preserve">Posteriormente modificado por las Resol. SBS </w:t>
      </w:r>
      <w:proofErr w:type="spellStart"/>
      <w:r w:rsidR="00887525" w:rsidRPr="00315096">
        <w:rPr>
          <w:rFonts w:ascii="Arial Narrow" w:hAnsi="Arial Narrow"/>
          <w:sz w:val="20"/>
          <w:szCs w:val="20"/>
        </w:rPr>
        <w:t>N°</w:t>
      </w:r>
      <w:proofErr w:type="spellEnd"/>
      <w:r w:rsidR="00887525" w:rsidRPr="00315096">
        <w:rPr>
          <w:rFonts w:ascii="Arial Narrow" w:hAnsi="Arial Narrow"/>
          <w:sz w:val="20"/>
          <w:szCs w:val="20"/>
        </w:rPr>
        <w:t xml:space="preserve"> 4347-2024 y 2663-2025.</w:t>
      </w:r>
    </w:p>
    <w:p w14:paraId="0B629FFD" w14:textId="380F13EC" w:rsidR="0001599D"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 xml:space="preserve">3 </w:t>
      </w:r>
      <w:proofErr w:type="gramStart"/>
      <w:r w:rsidRPr="00935B0A">
        <w:rPr>
          <w:rFonts w:ascii="Arial Narrow" w:hAnsi="Arial Narrow"/>
          <w:sz w:val="20"/>
          <w:szCs w:val="20"/>
        </w:rPr>
        <w:t>Aprobado</w:t>
      </w:r>
      <w:proofErr w:type="gramEnd"/>
      <w:r w:rsidRPr="00935B0A">
        <w:rPr>
          <w:rFonts w:ascii="Arial Narrow" w:hAnsi="Arial Narrow"/>
          <w:sz w:val="20"/>
          <w:szCs w:val="20"/>
        </w:rPr>
        <w:t xml:space="preserve"> por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820-2000 del 13.11.2000. Modificado por las Resoluciones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468-2001 del 19.06.2001</w:t>
      </w:r>
      <w:r w:rsidR="00520001" w:rsidRPr="00935B0A">
        <w:rPr>
          <w:rFonts w:ascii="Arial Narrow" w:hAnsi="Arial Narrow"/>
          <w:sz w:val="20"/>
          <w:szCs w:val="20"/>
        </w:rPr>
        <w:t>, 1343</w:t>
      </w:r>
      <w:r w:rsidRPr="00935B0A">
        <w:rPr>
          <w:rFonts w:ascii="Arial Narrow" w:hAnsi="Arial Narrow"/>
          <w:sz w:val="20"/>
          <w:szCs w:val="20"/>
        </w:rPr>
        <w:t xml:space="preserve">-2003 del 24.09.2003, 1699-2003 del 05.12.2003 y por el Oficio Múltiple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2737-2004 del 12.02.2004. En el año 2005 se modificó por las Resoluciones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41-2005 del 14.01.2005, 257-2005 del 10.02.2005, 1145-2005 del 03.08.2005 y 1315-2005 del 24.08.2005.</w:t>
      </w:r>
      <w:r w:rsidR="002C3216" w:rsidRPr="00935B0A">
        <w:rPr>
          <w:rFonts w:ascii="Arial Narrow" w:hAnsi="Arial Narrow"/>
          <w:sz w:val="20"/>
          <w:szCs w:val="20"/>
        </w:rPr>
        <w:t xml:space="preserve"> En el año 2006 se modificó mediante la Resolución SBS </w:t>
      </w:r>
      <w:proofErr w:type="spellStart"/>
      <w:r w:rsidR="002C3216" w:rsidRPr="00935B0A">
        <w:rPr>
          <w:rFonts w:ascii="Arial Narrow" w:hAnsi="Arial Narrow"/>
          <w:sz w:val="20"/>
          <w:szCs w:val="20"/>
        </w:rPr>
        <w:t>N°</w:t>
      </w:r>
      <w:proofErr w:type="spellEnd"/>
      <w:r w:rsidR="002C3216" w:rsidRPr="00935B0A">
        <w:rPr>
          <w:rFonts w:ascii="Arial Narrow" w:hAnsi="Arial Narrow"/>
          <w:sz w:val="20"/>
          <w:szCs w:val="20"/>
        </w:rPr>
        <w:t xml:space="preserve"> 426-2006 del 28.03.2006</w:t>
      </w:r>
      <w:r w:rsidR="005C6287" w:rsidRPr="00935B0A">
        <w:rPr>
          <w:rFonts w:ascii="Arial Narrow" w:hAnsi="Arial Narrow"/>
          <w:sz w:val="20"/>
          <w:szCs w:val="20"/>
        </w:rPr>
        <w:t xml:space="preserve"> y la Resolución SBS </w:t>
      </w:r>
      <w:proofErr w:type="spellStart"/>
      <w:r w:rsidR="005C6287" w:rsidRPr="00935B0A">
        <w:rPr>
          <w:rFonts w:ascii="Arial Narrow" w:hAnsi="Arial Narrow"/>
          <w:sz w:val="20"/>
          <w:szCs w:val="20"/>
        </w:rPr>
        <w:t>N°</w:t>
      </w:r>
      <w:proofErr w:type="spellEnd"/>
      <w:r w:rsidR="005C6287" w:rsidRPr="00935B0A">
        <w:rPr>
          <w:rFonts w:ascii="Arial Narrow" w:hAnsi="Arial Narrow"/>
          <w:sz w:val="20"/>
          <w:szCs w:val="20"/>
        </w:rPr>
        <w:t xml:space="preserve"> 980-2006 del 04.08.2006</w:t>
      </w:r>
      <w:r w:rsidR="002C3216" w:rsidRPr="00935B0A">
        <w:rPr>
          <w:rFonts w:ascii="Arial Narrow" w:hAnsi="Arial Narrow"/>
          <w:sz w:val="20"/>
          <w:szCs w:val="20"/>
        </w:rPr>
        <w:t>.</w:t>
      </w:r>
      <w:r w:rsidR="00642831" w:rsidRPr="00935B0A">
        <w:rPr>
          <w:rFonts w:ascii="Arial Narrow" w:hAnsi="Arial Narrow"/>
          <w:sz w:val="20"/>
          <w:szCs w:val="20"/>
        </w:rPr>
        <w:t xml:space="preserve"> Posteriormente, mediante la Resolución SBS </w:t>
      </w:r>
      <w:proofErr w:type="spellStart"/>
      <w:r w:rsidR="00642831" w:rsidRPr="00935B0A">
        <w:rPr>
          <w:rFonts w:ascii="Arial Narrow" w:hAnsi="Arial Narrow"/>
          <w:sz w:val="20"/>
          <w:szCs w:val="20"/>
        </w:rPr>
        <w:t>N°</w:t>
      </w:r>
      <w:proofErr w:type="spellEnd"/>
      <w:r w:rsidR="00642831" w:rsidRPr="00935B0A">
        <w:rPr>
          <w:rFonts w:ascii="Arial Narrow" w:hAnsi="Arial Narrow"/>
          <w:sz w:val="20"/>
          <w:szCs w:val="20"/>
        </w:rPr>
        <w:t xml:space="preserve"> 1237-2006 del 22.11.2006</w:t>
      </w:r>
      <w:r w:rsidR="008A498D" w:rsidRPr="00935B0A">
        <w:rPr>
          <w:rFonts w:ascii="Arial Narrow" w:hAnsi="Arial Narrow"/>
          <w:sz w:val="20"/>
          <w:szCs w:val="20"/>
        </w:rPr>
        <w:t>,</w:t>
      </w:r>
      <w:r w:rsidR="00CC70AA" w:rsidRPr="00935B0A">
        <w:rPr>
          <w:rFonts w:ascii="Arial Narrow" w:hAnsi="Arial Narrow"/>
          <w:sz w:val="20"/>
          <w:szCs w:val="20"/>
        </w:rPr>
        <w:t xml:space="preserve"> Resolución SBS </w:t>
      </w:r>
      <w:proofErr w:type="spellStart"/>
      <w:r w:rsidR="00CC70AA" w:rsidRPr="00935B0A">
        <w:rPr>
          <w:rFonts w:ascii="Arial Narrow" w:hAnsi="Arial Narrow"/>
          <w:sz w:val="20"/>
          <w:szCs w:val="20"/>
        </w:rPr>
        <w:t>Nº</w:t>
      </w:r>
      <w:proofErr w:type="spellEnd"/>
      <w:r w:rsidR="00CC70AA" w:rsidRPr="00935B0A">
        <w:rPr>
          <w:rFonts w:ascii="Arial Narrow" w:hAnsi="Arial Narrow"/>
          <w:sz w:val="20"/>
          <w:szCs w:val="20"/>
        </w:rPr>
        <w:t xml:space="preserve"> 1349-2008 del 06.05.2008</w:t>
      </w:r>
      <w:r w:rsidR="0034284B" w:rsidRPr="00935B0A">
        <w:rPr>
          <w:rFonts w:ascii="Arial Narrow" w:hAnsi="Arial Narrow"/>
          <w:sz w:val="20"/>
          <w:szCs w:val="20"/>
        </w:rPr>
        <w:t xml:space="preserve">, </w:t>
      </w:r>
      <w:r w:rsidR="008A498D" w:rsidRPr="00935B0A">
        <w:rPr>
          <w:rFonts w:ascii="Arial Narrow" w:hAnsi="Arial Narrow"/>
          <w:sz w:val="20"/>
          <w:szCs w:val="20"/>
        </w:rPr>
        <w:t xml:space="preserve">Resolución SBS </w:t>
      </w:r>
      <w:proofErr w:type="spellStart"/>
      <w:r w:rsidR="008A498D" w:rsidRPr="00935B0A">
        <w:rPr>
          <w:rFonts w:ascii="Arial Narrow" w:hAnsi="Arial Narrow"/>
          <w:sz w:val="20"/>
          <w:szCs w:val="20"/>
        </w:rPr>
        <w:t>Nº</w:t>
      </w:r>
      <w:proofErr w:type="spellEnd"/>
      <w:r w:rsidR="008A498D" w:rsidRPr="00935B0A">
        <w:rPr>
          <w:rFonts w:ascii="Arial Narrow" w:hAnsi="Arial Narrow"/>
          <w:sz w:val="20"/>
          <w:szCs w:val="20"/>
        </w:rPr>
        <w:t xml:space="preserve"> 2032-2008 del 10.06.2008</w:t>
      </w:r>
      <w:r w:rsidR="0003630F" w:rsidRPr="00935B0A">
        <w:rPr>
          <w:rFonts w:ascii="Arial Narrow" w:hAnsi="Arial Narrow"/>
          <w:sz w:val="20"/>
          <w:szCs w:val="20"/>
        </w:rPr>
        <w:t xml:space="preserve">, </w:t>
      </w:r>
      <w:r w:rsidR="0034284B" w:rsidRPr="00935B0A">
        <w:rPr>
          <w:rFonts w:ascii="Arial Narrow" w:hAnsi="Arial Narrow"/>
          <w:sz w:val="20"/>
          <w:szCs w:val="20"/>
        </w:rPr>
        <w:t xml:space="preserve">Resolución SBS </w:t>
      </w:r>
      <w:proofErr w:type="spellStart"/>
      <w:r w:rsidR="0034284B" w:rsidRPr="00935B0A">
        <w:rPr>
          <w:rFonts w:ascii="Arial Narrow" w:hAnsi="Arial Narrow"/>
          <w:sz w:val="20"/>
          <w:szCs w:val="20"/>
        </w:rPr>
        <w:t>Nº</w:t>
      </w:r>
      <w:proofErr w:type="spellEnd"/>
      <w:r w:rsidR="0034284B" w:rsidRPr="00935B0A">
        <w:rPr>
          <w:rFonts w:ascii="Arial Narrow" w:hAnsi="Arial Narrow"/>
          <w:sz w:val="20"/>
          <w:szCs w:val="20"/>
        </w:rPr>
        <w:t xml:space="preserve"> 11356-2008 del 19.11.2008</w:t>
      </w:r>
      <w:r w:rsidR="006F7971" w:rsidRPr="00935B0A">
        <w:rPr>
          <w:rFonts w:ascii="Arial Narrow" w:hAnsi="Arial Narrow"/>
          <w:sz w:val="20"/>
          <w:szCs w:val="20"/>
        </w:rPr>
        <w:t>. Posteriormente</w:t>
      </w:r>
      <w:r w:rsidR="000E6036" w:rsidRPr="00935B0A">
        <w:rPr>
          <w:rFonts w:ascii="Arial Narrow" w:hAnsi="Arial Narrow"/>
          <w:sz w:val="20"/>
          <w:szCs w:val="20"/>
        </w:rPr>
        <w:t>,</w:t>
      </w:r>
      <w:r w:rsidR="006F7971" w:rsidRPr="00935B0A">
        <w:rPr>
          <w:rFonts w:ascii="Arial Narrow" w:hAnsi="Arial Narrow"/>
          <w:sz w:val="20"/>
          <w:szCs w:val="20"/>
        </w:rPr>
        <w:t xml:space="preserve"> el Anexo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6 y las cuentas consideradas en el RCD</w:t>
      </w:r>
      <w:r w:rsidR="006F7971" w:rsidRPr="00935B0A">
        <w:rPr>
          <w:rFonts w:ascii="Arial Narrow" w:hAnsi="Arial Narrow"/>
          <w:sz w:val="20"/>
          <w:szCs w:val="20"/>
          <w:vertAlign w:val="superscript"/>
        </w:rPr>
        <w:t xml:space="preserve"> </w:t>
      </w:r>
      <w:r w:rsidR="006F7971" w:rsidRPr="00935B0A">
        <w:rPr>
          <w:rFonts w:ascii="Arial Narrow" w:hAnsi="Arial Narrow"/>
          <w:sz w:val="20"/>
          <w:szCs w:val="20"/>
        </w:rPr>
        <w:t xml:space="preserve">fueron sustituidos por la Resolución SBS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9786-2009 del 22.07.2009, vigente a partir de julio 2010, y posteriormente el Anexo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6 y sus instrucciones fueron sustituidos mediante Resolución SBS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14353-2009 del 30.10.2009 vigente a partir de julio 2010. Posteriormente</w:t>
      </w:r>
      <w:r w:rsidR="000E6036" w:rsidRPr="00935B0A">
        <w:rPr>
          <w:rFonts w:ascii="Arial Narrow" w:hAnsi="Arial Narrow"/>
          <w:sz w:val="20"/>
          <w:szCs w:val="20"/>
        </w:rPr>
        <w:t>,</w:t>
      </w:r>
      <w:r w:rsidR="006F7971" w:rsidRPr="00935B0A">
        <w:rPr>
          <w:rFonts w:ascii="Arial Narrow" w:hAnsi="Arial Narrow"/>
          <w:sz w:val="20"/>
          <w:szCs w:val="20"/>
        </w:rPr>
        <w:t xml:space="preserve"> con la Resolución SBS </w:t>
      </w:r>
      <w:proofErr w:type="spellStart"/>
      <w:r w:rsidR="006F7971" w:rsidRPr="00935B0A">
        <w:rPr>
          <w:rFonts w:ascii="Arial Narrow" w:hAnsi="Arial Narrow"/>
          <w:sz w:val="20"/>
          <w:szCs w:val="20"/>
        </w:rPr>
        <w:t>N°</w:t>
      </w:r>
      <w:proofErr w:type="spellEnd"/>
      <w:r w:rsidR="006F7971" w:rsidRPr="00935B0A">
        <w:rPr>
          <w:rFonts w:ascii="Arial Narrow" w:hAnsi="Arial Narrow"/>
          <w:sz w:val="20"/>
          <w:szCs w:val="20"/>
        </w:rPr>
        <w:t xml:space="preserve"> 1260-2010 del 05.02.2010 se </w:t>
      </w:r>
      <w:r w:rsidR="000E6036" w:rsidRPr="00935B0A">
        <w:rPr>
          <w:rFonts w:ascii="Arial Narrow" w:hAnsi="Arial Narrow"/>
          <w:sz w:val="20"/>
          <w:szCs w:val="20"/>
        </w:rPr>
        <w:t xml:space="preserve">incorporó </w:t>
      </w:r>
      <w:r w:rsidR="006F7971" w:rsidRPr="00935B0A">
        <w:rPr>
          <w:rFonts w:ascii="Arial Narrow" w:hAnsi="Arial Narrow"/>
          <w:sz w:val="20"/>
          <w:szCs w:val="20"/>
        </w:rPr>
        <w:t>la cuenta contable</w:t>
      </w:r>
      <w:r w:rsidR="000E6036" w:rsidRPr="00935B0A">
        <w:rPr>
          <w:rFonts w:ascii="Arial Narrow" w:hAnsi="Arial Narrow"/>
          <w:sz w:val="20"/>
          <w:szCs w:val="20"/>
        </w:rPr>
        <w:t xml:space="preserve"> 8109.27.</w:t>
      </w:r>
      <w:r w:rsidR="0001599D" w:rsidRPr="00935B0A">
        <w:rPr>
          <w:rFonts w:ascii="Arial Narrow" w:hAnsi="Arial Narrow"/>
          <w:sz w:val="20"/>
          <w:szCs w:val="20"/>
        </w:rPr>
        <w:t xml:space="preserve"> Posteriormente con la Resolución SBS </w:t>
      </w:r>
      <w:proofErr w:type="spellStart"/>
      <w:r w:rsidR="0001599D" w:rsidRPr="00935B0A">
        <w:rPr>
          <w:rFonts w:ascii="Arial Narrow" w:hAnsi="Arial Narrow"/>
          <w:sz w:val="20"/>
          <w:szCs w:val="20"/>
        </w:rPr>
        <w:t>Nº</w:t>
      </w:r>
      <w:proofErr w:type="spellEnd"/>
      <w:r w:rsidR="0001599D" w:rsidRPr="00935B0A">
        <w:rPr>
          <w:rFonts w:ascii="Arial Narrow" w:hAnsi="Arial Narrow"/>
          <w:sz w:val="20"/>
          <w:szCs w:val="20"/>
        </w:rPr>
        <w:t xml:space="preserve"> 6007-2011 del 03.05.2011 vigente a partir de mayo 2011, y con Resolución SBS </w:t>
      </w:r>
      <w:proofErr w:type="spellStart"/>
      <w:r w:rsidR="0001599D" w:rsidRPr="00935B0A">
        <w:rPr>
          <w:rFonts w:ascii="Arial Narrow" w:hAnsi="Arial Narrow"/>
          <w:sz w:val="20"/>
          <w:szCs w:val="20"/>
        </w:rPr>
        <w:t>Nº</w:t>
      </w:r>
      <w:proofErr w:type="spellEnd"/>
      <w:r w:rsidR="0001599D" w:rsidRPr="00935B0A">
        <w:rPr>
          <w:rFonts w:ascii="Arial Narrow" w:hAnsi="Arial Narrow"/>
          <w:sz w:val="20"/>
          <w:szCs w:val="20"/>
        </w:rPr>
        <w:t xml:space="preserve"> 6033-2011del 06.05.2011 vigente a partir de julio 2011.</w:t>
      </w:r>
      <w:r w:rsidR="000E1208" w:rsidRPr="00935B0A">
        <w:rPr>
          <w:rFonts w:ascii="Arial Narrow" w:hAnsi="Arial Narrow"/>
          <w:sz w:val="20"/>
          <w:szCs w:val="20"/>
        </w:rPr>
        <w:t xml:space="preserve"> Posteriormente modificado las cuentas a ser reportadas en el RCD por la Resol. SBS </w:t>
      </w:r>
      <w:proofErr w:type="spellStart"/>
      <w:r w:rsidR="000E1208" w:rsidRPr="00935B0A">
        <w:rPr>
          <w:rFonts w:ascii="Arial Narrow" w:hAnsi="Arial Narrow"/>
          <w:sz w:val="20"/>
          <w:szCs w:val="20"/>
        </w:rPr>
        <w:t>N°</w:t>
      </w:r>
      <w:proofErr w:type="spellEnd"/>
      <w:r w:rsidR="000E1208" w:rsidRPr="00935B0A">
        <w:rPr>
          <w:rFonts w:ascii="Arial Narrow" w:hAnsi="Arial Narrow"/>
          <w:sz w:val="20"/>
          <w:szCs w:val="20"/>
        </w:rPr>
        <w:t xml:space="preserve"> 7036-2012 del 19.09.2012.</w:t>
      </w:r>
      <w:r w:rsidR="00256835" w:rsidRPr="00935B0A">
        <w:rPr>
          <w:rFonts w:ascii="Arial Narrow" w:hAnsi="Arial Narrow"/>
          <w:sz w:val="20"/>
          <w:szCs w:val="20"/>
        </w:rPr>
        <w:t xml:space="preserve"> Mediante la Resolución SBS </w:t>
      </w:r>
      <w:proofErr w:type="spellStart"/>
      <w:r w:rsidR="00256835" w:rsidRPr="00935B0A">
        <w:rPr>
          <w:rFonts w:ascii="Arial Narrow" w:hAnsi="Arial Narrow"/>
          <w:sz w:val="20"/>
          <w:szCs w:val="20"/>
        </w:rPr>
        <w:t>N°</w:t>
      </w:r>
      <w:proofErr w:type="spellEnd"/>
      <w:r w:rsidR="00256835" w:rsidRPr="00935B0A">
        <w:rPr>
          <w:rFonts w:ascii="Arial Narrow" w:hAnsi="Arial Narrow"/>
          <w:sz w:val="20"/>
          <w:szCs w:val="20"/>
        </w:rPr>
        <w:t xml:space="preserve"> 8548-2012 del 09.11.2012 se modificó el diseño del </w:t>
      </w:r>
      <w:r w:rsidR="00935B0A" w:rsidRPr="00935B0A">
        <w:rPr>
          <w:rFonts w:ascii="Arial Narrow" w:hAnsi="Arial Narrow"/>
          <w:sz w:val="20"/>
          <w:szCs w:val="20"/>
        </w:rPr>
        <w:t>RCD,</w:t>
      </w:r>
      <w:r w:rsidR="00256835" w:rsidRPr="00935B0A">
        <w:rPr>
          <w:rFonts w:ascii="Arial Narrow" w:hAnsi="Arial Narrow"/>
          <w:sz w:val="20"/>
          <w:szCs w:val="20"/>
        </w:rPr>
        <w:t xml:space="preserve"> así como las cuentas a ser reportadas en el Catálogo de cuentas, de vigencia a partir de la información de julio 2013.</w:t>
      </w:r>
      <w:r w:rsidR="00262608" w:rsidRPr="00935B0A">
        <w:rPr>
          <w:rFonts w:ascii="Arial Narrow" w:hAnsi="Arial Narrow"/>
          <w:sz w:val="20"/>
          <w:szCs w:val="20"/>
        </w:rPr>
        <w:t xml:space="preserve"> Posteriormente, mediante la Resolución SBS </w:t>
      </w:r>
      <w:proofErr w:type="spellStart"/>
      <w:r w:rsidR="00262608" w:rsidRPr="00935B0A">
        <w:rPr>
          <w:rFonts w:ascii="Arial Narrow" w:hAnsi="Arial Narrow"/>
          <w:sz w:val="20"/>
          <w:szCs w:val="20"/>
        </w:rPr>
        <w:t>N°</w:t>
      </w:r>
      <w:proofErr w:type="spellEnd"/>
      <w:r w:rsidR="00262608" w:rsidRPr="00935B0A">
        <w:rPr>
          <w:rFonts w:ascii="Arial Narrow" w:hAnsi="Arial Narrow"/>
          <w:sz w:val="20"/>
          <w:szCs w:val="20"/>
        </w:rPr>
        <w:t xml:space="preserve"> 1465 - 2015 del 26.02.2015 se modificó el Catálogo de Cuentas del Anexo </w:t>
      </w:r>
      <w:proofErr w:type="spellStart"/>
      <w:r w:rsidR="00262608" w:rsidRPr="00935B0A">
        <w:rPr>
          <w:rFonts w:ascii="Arial Narrow" w:hAnsi="Arial Narrow"/>
          <w:sz w:val="20"/>
          <w:szCs w:val="20"/>
        </w:rPr>
        <w:t>N°</w:t>
      </w:r>
      <w:proofErr w:type="spellEnd"/>
      <w:r w:rsidR="00262608" w:rsidRPr="00935B0A">
        <w:rPr>
          <w:rFonts w:ascii="Arial Narrow" w:hAnsi="Arial Narrow"/>
          <w:sz w:val="20"/>
          <w:szCs w:val="20"/>
        </w:rPr>
        <w:t xml:space="preserve"> 6, vigente a partir de la información de mayo 2015.</w:t>
      </w:r>
      <w:r w:rsidR="00873BE8" w:rsidRPr="00935B0A">
        <w:rPr>
          <w:rFonts w:ascii="Arial Narrow" w:hAnsi="Arial Narrow"/>
          <w:sz w:val="20"/>
          <w:szCs w:val="20"/>
        </w:rPr>
        <w:t xml:space="preserve"> Posteriormente, mediante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6231-2015 del 14.10.2015 se modificó el Catálogo de Cuentas del RCD, vigente a partir de enero 2016, excepto la modificación de denominación de cuentas de financiación de proyectos que es vigente a partir de diciembre 2015. Asimismo, mediante OM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48079-2015 del 16.12.2015 se modificó el Catálogo de Cuentas del RCD, vigente a partir de enero 2016. Mediante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4174-2015 del 15.07.2015 se modificó el Catálogo de Cuentas del RCD correspondiente a créditos grupales.</w:t>
      </w:r>
      <w:r w:rsidR="00750285" w:rsidRPr="00935B0A">
        <w:rPr>
          <w:rFonts w:ascii="Arial Narrow" w:hAnsi="Arial Narrow"/>
          <w:sz w:val="20"/>
          <w:szCs w:val="20"/>
        </w:rPr>
        <w:t xml:space="preserve"> Posteriormente, modificado a través de la Resolución SBS </w:t>
      </w:r>
      <w:proofErr w:type="spellStart"/>
      <w:r w:rsidR="00750285" w:rsidRPr="00935B0A">
        <w:rPr>
          <w:rFonts w:ascii="Arial Narrow" w:hAnsi="Arial Narrow"/>
          <w:sz w:val="20"/>
          <w:szCs w:val="20"/>
        </w:rPr>
        <w:t>N°</w:t>
      </w:r>
      <w:proofErr w:type="spellEnd"/>
      <w:r w:rsidR="00750285" w:rsidRPr="00935B0A">
        <w:rPr>
          <w:rFonts w:ascii="Arial Narrow" w:hAnsi="Arial Narrow"/>
          <w:sz w:val="20"/>
          <w:szCs w:val="20"/>
        </w:rPr>
        <w:t xml:space="preserve"> 4838 – 2019 del 17.10.2019 vigente a partir de la remisión de la información de noviembre del 2019.</w:t>
      </w:r>
      <w:r w:rsidR="0001694B" w:rsidRPr="00935B0A">
        <w:rPr>
          <w:rFonts w:ascii="Arial Narrow" w:hAnsi="Arial Narrow"/>
          <w:sz w:val="20"/>
          <w:szCs w:val="20"/>
        </w:rPr>
        <w:t xml:space="preserve"> Posteriormente, modificado las instrucciones del Anexo 6 mediante la Resolución SBS </w:t>
      </w:r>
      <w:proofErr w:type="spellStart"/>
      <w:r w:rsidR="0001694B" w:rsidRPr="00935B0A">
        <w:rPr>
          <w:rFonts w:ascii="Arial Narrow" w:hAnsi="Arial Narrow"/>
          <w:sz w:val="20"/>
          <w:szCs w:val="20"/>
        </w:rPr>
        <w:t>N°</w:t>
      </w:r>
      <w:proofErr w:type="spellEnd"/>
      <w:r w:rsidR="0001694B" w:rsidRPr="00935B0A">
        <w:rPr>
          <w:rFonts w:ascii="Arial Narrow" w:hAnsi="Arial Narrow"/>
          <w:sz w:val="20"/>
          <w:szCs w:val="20"/>
        </w:rPr>
        <w:t xml:space="preserve"> 5570 – 2019 del 27.11.2019 </w:t>
      </w:r>
      <w:r w:rsidR="00C6103D" w:rsidRPr="00935B0A">
        <w:rPr>
          <w:rFonts w:ascii="Arial Narrow" w:hAnsi="Arial Narrow"/>
          <w:sz w:val="20"/>
          <w:szCs w:val="20"/>
        </w:rPr>
        <w:t xml:space="preserve">y modificatoria </w:t>
      </w:r>
      <w:r w:rsidR="0001694B" w:rsidRPr="00935B0A">
        <w:rPr>
          <w:rFonts w:ascii="Arial Narrow" w:hAnsi="Arial Narrow"/>
          <w:sz w:val="20"/>
          <w:szCs w:val="20"/>
        </w:rPr>
        <w:t xml:space="preserve">vigente a partir de la remisión </w:t>
      </w:r>
      <w:r w:rsidR="0053184D" w:rsidRPr="00935B0A">
        <w:rPr>
          <w:rFonts w:ascii="Arial Narrow" w:hAnsi="Arial Narrow"/>
          <w:sz w:val="20"/>
          <w:szCs w:val="20"/>
        </w:rPr>
        <w:t xml:space="preserve">de la información de enero 2020, así como otras modificaciones </w:t>
      </w:r>
      <w:proofErr w:type="gramStart"/>
      <w:r w:rsidR="0053184D" w:rsidRPr="00935B0A">
        <w:rPr>
          <w:rFonts w:ascii="Arial Narrow" w:hAnsi="Arial Narrow"/>
          <w:sz w:val="20"/>
          <w:szCs w:val="20"/>
        </w:rPr>
        <w:t>entran en vigencia</w:t>
      </w:r>
      <w:proofErr w:type="gramEnd"/>
      <w:r w:rsidR="0053184D" w:rsidRPr="00935B0A">
        <w:rPr>
          <w:rFonts w:ascii="Arial Narrow" w:hAnsi="Arial Narrow"/>
          <w:sz w:val="20"/>
          <w:szCs w:val="20"/>
        </w:rPr>
        <w:t xml:space="preserve"> a partir de </w:t>
      </w:r>
      <w:r w:rsidR="00C6103D" w:rsidRPr="00935B0A">
        <w:rPr>
          <w:rFonts w:ascii="Arial Narrow" w:hAnsi="Arial Narrow"/>
          <w:sz w:val="20"/>
          <w:szCs w:val="20"/>
        </w:rPr>
        <w:t>enero 2021</w:t>
      </w:r>
      <w:r w:rsidR="0053184D" w:rsidRPr="00935B0A">
        <w:rPr>
          <w:rFonts w:ascii="Arial Narrow" w:hAnsi="Arial Narrow"/>
          <w:sz w:val="20"/>
          <w:szCs w:val="20"/>
        </w:rPr>
        <w:t xml:space="preserve">. </w:t>
      </w:r>
      <w:r w:rsidR="00742A3B" w:rsidRPr="00935B0A">
        <w:rPr>
          <w:rFonts w:ascii="Arial Narrow" w:hAnsi="Arial Narrow"/>
          <w:sz w:val="20"/>
          <w:szCs w:val="20"/>
        </w:rPr>
        <w:t xml:space="preserve">Posteriormente, modificado el Catálogo de Cuentas del Anexo 6 mediante el OM </w:t>
      </w:r>
      <w:proofErr w:type="spellStart"/>
      <w:r w:rsidR="00742A3B" w:rsidRPr="00935B0A">
        <w:rPr>
          <w:rFonts w:ascii="Arial Narrow" w:hAnsi="Arial Narrow"/>
          <w:sz w:val="20"/>
          <w:szCs w:val="20"/>
        </w:rPr>
        <w:t>N°</w:t>
      </w:r>
      <w:proofErr w:type="spellEnd"/>
      <w:r w:rsidR="00742A3B" w:rsidRPr="00935B0A">
        <w:rPr>
          <w:rFonts w:ascii="Arial Narrow" w:hAnsi="Arial Narrow"/>
          <w:sz w:val="20"/>
          <w:szCs w:val="20"/>
        </w:rPr>
        <w:t xml:space="preserve"> </w:t>
      </w:r>
      <w:r w:rsidR="00732DD9" w:rsidRPr="00935B0A">
        <w:rPr>
          <w:rFonts w:ascii="Arial Narrow" w:hAnsi="Arial Narrow"/>
          <w:sz w:val="20"/>
          <w:szCs w:val="20"/>
        </w:rPr>
        <w:t>11170</w:t>
      </w:r>
      <w:r w:rsidR="00742A3B" w:rsidRPr="00935B0A">
        <w:rPr>
          <w:rFonts w:ascii="Arial Narrow" w:hAnsi="Arial Narrow"/>
          <w:sz w:val="20"/>
          <w:szCs w:val="20"/>
        </w:rPr>
        <w:t xml:space="preserve">-2020 del </w:t>
      </w:r>
      <w:r w:rsidR="00732DD9" w:rsidRPr="00935B0A">
        <w:rPr>
          <w:rFonts w:ascii="Arial Narrow" w:hAnsi="Arial Narrow"/>
          <w:sz w:val="20"/>
          <w:szCs w:val="20"/>
        </w:rPr>
        <w:t>20.</w:t>
      </w:r>
      <w:r w:rsidR="00742A3B" w:rsidRPr="00935B0A">
        <w:rPr>
          <w:rFonts w:ascii="Arial Narrow" w:hAnsi="Arial Narrow"/>
          <w:sz w:val="20"/>
          <w:szCs w:val="20"/>
        </w:rPr>
        <w:t>03.2020 vigente a partir de la remisión de la información de marzo 2020.</w:t>
      </w:r>
      <w:r w:rsidR="00727AF5" w:rsidRPr="00935B0A">
        <w:rPr>
          <w:rFonts w:ascii="Arial Narrow" w:hAnsi="Arial Narrow"/>
          <w:sz w:val="20"/>
          <w:szCs w:val="20"/>
        </w:rPr>
        <w:t xml:space="preserve"> Posteriormente, modificado el Catálogo de Cuentas del Anexo 6 mediante el OM </w:t>
      </w:r>
      <w:proofErr w:type="spellStart"/>
      <w:r w:rsidR="00727AF5" w:rsidRPr="00935B0A">
        <w:rPr>
          <w:rFonts w:ascii="Arial Narrow" w:hAnsi="Arial Narrow"/>
          <w:sz w:val="20"/>
          <w:szCs w:val="20"/>
        </w:rPr>
        <w:t>N°</w:t>
      </w:r>
      <w:proofErr w:type="spellEnd"/>
      <w:r w:rsidR="00727AF5" w:rsidRPr="00935B0A">
        <w:rPr>
          <w:rFonts w:ascii="Arial Narrow" w:hAnsi="Arial Narrow"/>
          <w:sz w:val="20"/>
          <w:szCs w:val="20"/>
        </w:rPr>
        <w:t xml:space="preserve"> 11999-2020 del 22.04.2020 vigente a partir de la remisión de la información de abril 2020.</w:t>
      </w:r>
      <w:r w:rsidR="000979F9" w:rsidRPr="00935B0A">
        <w:rPr>
          <w:rFonts w:ascii="Arial Narrow" w:hAnsi="Arial Narrow"/>
          <w:sz w:val="20"/>
          <w:szCs w:val="20"/>
        </w:rPr>
        <w:t xml:space="preserve"> Posteriormente, modificado el Catálogo de Cuentas del Anexo 6 mediante el OM </w:t>
      </w:r>
      <w:proofErr w:type="spellStart"/>
      <w:r w:rsidR="000979F9" w:rsidRPr="00935B0A">
        <w:rPr>
          <w:rFonts w:ascii="Arial Narrow" w:hAnsi="Arial Narrow"/>
          <w:sz w:val="20"/>
          <w:szCs w:val="20"/>
        </w:rPr>
        <w:t>N°</w:t>
      </w:r>
      <w:proofErr w:type="spellEnd"/>
      <w:r w:rsidR="000979F9" w:rsidRPr="00935B0A">
        <w:rPr>
          <w:rFonts w:ascii="Arial Narrow" w:hAnsi="Arial Narrow"/>
          <w:sz w:val="20"/>
          <w:szCs w:val="20"/>
        </w:rPr>
        <w:t xml:space="preserve"> 13206-2020 del 19.05.2020 vigente a partir de la remisión</w:t>
      </w:r>
      <w:r w:rsidR="006A25FD" w:rsidRPr="00935B0A">
        <w:rPr>
          <w:rFonts w:ascii="Arial Narrow" w:hAnsi="Arial Narrow"/>
          <w:sz w:val="20"/>
          <w:szCs w:val="20"/>
        </w:rPr>
        <w:t xml:space="preserve"> de la información de mayo 2020; así como las instrucciones del Anexo 6 referido al campo 09.</w:t>
      </w:r>
      <w:r w:rsidR="00F63BE0" w:rsidRPr="00935B0A">
        <w:rPr>
          <w:rFonts w:ascii="Arial Narrow" w:hAnsi="Arial Narrow"/>
          <w:sz w:val="20"/>
          <w:szCs w:val="20"/>
        </w:rPr>
        <w:t xml:space="preserve"> Posteriormente, modificado el Catálogo de Cuentas del Anexo 6 mediante el OM </w:t>
      </w:r>
      <w:proofErr w:type="spellStart"/>
      <w:r w:rsidR="00F63BE0" w:rsidRPr="00935B0A">
        <w:rPr>
          <w:rFonts w:ascii="Arial Narrow" w:hAnsi="Arial Narrow"/>
          <w:sz w:val="20"/>
          <w:szCs w:val="20"/>
        </w:rPr>
        <w:t>N°</w:t>
      </w:r>
      <w:proofErr w:type="spellEnd"/>
      <w:r w:rsidR="00F63BE0" w:rsidRPr="00935B0A">
        <w:rPr>
          <w:rFonts w:ascii="Arial Narrow" w:hAnsi="Arial Narrow"/>
          <w:sz w:val="20"/>
          <w:szCs w:val="20"/>
        </w:rPr>
        <w:t xml:space="preserve"> 17769-2020 del 24.07.2020 vigente a partir de la remisión de la información de julio 2020, así como las instrucciones del Anexo 6 referido al nuevo código 14 en el </w:t>
      </w:r>
      <w:r w:rsidR="00520001" w:rsidRPr="00935B0A">
        <w:rPr>
          <w:rFonts w:ascii="Arial Narrow" w:hAnsi="Arial Narrow"/>
          <w:sz w:val="20"/>
          <w:szCs w:val="20"/>
        </w:rPr>
        <w:t>campo B</w:t>
      </w:r>
      <w:r w:rsidR="00F63BE0" w:rsidRPr="00935B0A">
        <w:rPr>
          <w:rFonts w:ascii="Arial Narrow" w:hAnsi="Arial Narrow"/>
          <w:sz w:val="20"/>
          <w:szCs w:val="20"/>
        </w:rPr>
        <w:t>-10 Condición de disponibilidad.</w:t>
      </w:r>
      <w:r w:rsidR="000E797A" w:rsidRPr="00935B0A">
        <w:rPr>
          <w:rFonts w:ascii="Arial Narrow" w:hAnsi="Arial Narrow"/>
          <w:sz w:val="20"/>
          <w:szCs w:val="20"/>
        </w:rPr>
        <w:t xml:space="preserve"> Posteriormente, mediante la Resol. SBS </w:t>
      </w:r>
      <w:proofErr w:type="spellStart"/>
      <w:r w:rsidR="000E797A" w:rsidRPr="00935B0A">
        <w:rPr>
          <w:rFonts w:ascii="Arial Narrow" w:hAnsi="Arial Narrow"/>
          <w:sz w:val="20"/>
          <w:szCs w:val="20"/>
        </w:rPr>
        <w:t>N°</w:t>
      </w:r>
      <w:proofErr w:type="spellEnd"/>
      <w:r w:rsidR="000E797A" w:rsidRPr="00935B0A">
        <w:rPr>
          <w:rFonts w:ascii="Arial Narrow" w:hAnsi="Arial Narrow"/>
          <w:sz w:val="20"/>
          <w:szCs w:val="20"/>
        </w:rPr>
        <w:t xml:space="preserve"> 2154-2020 del 04.09.2020 se modificó el Catálogo de Cuentas del RCD, de vigencia setiembre 2020.</w:t>
      </w:r>
      <w:r w:rsidR="006D5BD5" w:rsidRPr="006D5BD5">
        <w:rPr>
          <w:rFonts w:ascii="Arial Narrow" w:hAnsi="Arial Narrow"/>
          <w:sz w:val="20"/>
          <w:szCs w:val="20"/>
        </w:rPr>
        <w:t xml:space="preserve"> </w:t>
      </w:r>
      <w:r w:rsidR="006D5BD5" w:rsidRPr="00935B0A">
        <w:rPr>
          <w:rFonts w:ascii="Arial Narrow" w:hAnsi="Arial Narrow"/>
          <w:sz w:val="20"/>
          <w:szCs w:val="20"/>
        </w:rPr>
        <w:t xml:space="preserve">Posteriormente, mediante la Resol. </w:t>
      </w:r>
      <w:r w:rsidR="006D5BD5" w:rsidRPr="00B707AA">
        <w:rPr>
          <w:rFonts w:ascii="Arial Narrow" w:hAnsi="Arial Narrow"/>
          <w:sz w:val="20"/>
          <w:szCs w:val="20"/>
        </w:rPr>
        <w:t xml:space="preserve">SBS </w:t>
      </w:r>
      <w:proofErr w:type="spellStart"/>
      <w:r w:rsidR="006D5BD5" w:rsidRPr="00B707AA">
        <w:rPr>
          <w:rFonts w:ascii="Arial Narrow" w:hAnsi="Arial Narrow"/>
          <w:sz w:val="20"/>
          <w:szCs w:val="20"/>
        </w:rPr>
        <w:t>N°</w:t>
      </w:r>
      <w:proofErr w:type="spellEnd"/>
      <w:r w:rsidR="006D5BD5" w:rsidRPr="00B707AA">
        <w:rPr>
          <w:rFonts w:ascii="Arial Narrow" w:hAnsi="Arial Narrow"/>
          <w:sz w:val="20"/>
          <w:szCs w:val="20"/>
        </w:rPr>
        <w:t xml:space="preserve"> </w:t>
      </w:r>
      <w:r w:rsidR="006D5BD5">
        <w:rPr>
          <w:rFonts w:ascii="Arial Narrow" w:hAnsi="Arial Narrow"/>
          <w:sz w:val="20"/>
          <w:szCs w:val="20"/>
        </w:rPr>
        <w:t>01944</w:t>
      </w:r>
      <w:r w:rsidR="006D5BD5" w:rsidRPr="00B707AA">
        <w:rPr>
          <w:rFonts w:ascii="Arial Narrow" w:hAnsi="Arial Narrow"/>
          <w:sz w:val="20"/>
          <w:szCs w:val="20"/>
        </w:rPr>
        <w:t>-202</w:t>
      </w:r>
      <w:r w:rsidR="006D5BD5">
        <w:rPr>
          <w:rFonts w:ascii="Arial Narrow" w:hAnsi="Arial Narrow"/>
          <w:sz w:val="20"/>
          <w:szCs w:val="20"/>
        </w:rPr>
        <w:t>2</w:t>
      </w:r>
      <w:r w:rsidR="006D5BD5" w:rsidRPr="00B707AA">
        <w:rPr>
          <w:rFonts w:ascii="Arial Narrow" w:hAnsi="Arial Narrow"/>
          <w:sz w:val="20"/>
          <w:szCs w:val="20"/>
        </w:rPr>
        <w:t xml:space="preserve"> del </w:t>
      </w:r>
      <w:r w:rsidR="006D5BD5">
        <w:rPr>
          <w:rFonts w:ascii="Arial Narrow" w:hAnsi="Arial Narrow"/>
          <w:sz w:val="20"/>
          <w:szCs w:val="20"/>
        </w:rPr>
        <w:t>16</w:t>
      </w:r>
      <w:r w:rsidR="006D5BD5" w:rsidRPr="00B707AA">
        <w:rPr>
          <w:rFonts w:ascii="Arial Narrow" w:hAnsi="Arial Narrow"/>
          <w:sz w:val="20"/>
          <w:szCs w:val="20"/>
        </w:rPr>
        <w:t>.0</w:t>
      </w:r>
      <w:r w:rsidR="006D5BD5">
        <w:rPr>
          <w:rFonts w:ascii="Arial Narrow" w:hAnsi="Arial Narrow"/>
          <w:sz w:val="20"/>
          <w:szCs w:val="20"/>
        </w:rPr>
        <w:t>6.2022</w:t>
      </w:r>
      <w:r w:rsidR="006D5BD5" w:rsidRPr="00B707AA">
        <w:rPr>
          <w:rFonts w:ascii="Arial Narrow" w:hAnsi="Arial Narrow"/>
          <w:sz w:val="20"/>
          <w:szCs w:val="20"/>
        </w:rPr>
        <w:t xml:space="preserve">, se modificó </w:t>
      </w:r>
      <w:r w:rsidR="006D5BD5" w:rsidRPr="00935B0A">
        <w:rPr>
          <w:rFonts w:ascii="Arial Narrow" w:hAnsi="Arial Narrow"/>
          <w:sz w:val="20"/>
          <w:szCs w:val="20"/>
        </w:rPr>
        <w:t>el Catálogo de Cuentas del RCD</w:t>
      </w:r>
      <w:r w:rsidR="006D5BD5" w:rsidRPr="00B707AA">
        <w:rPr>
          <w:rFonts w:ascii="Arial Narrow" w:hAnsi="Arial Narrow"/>
          <w:sz w:val="20"/>
          <w:szCs w:val="20"/>
        </w:rPr>
        <w:t xml:space="preserve"> de </w:t>
      </w:r>
      <w:r w:rsidR="006D5BD5">
        <w:rPr>
          <w:rFonts w:ascii="Arial Narrow" w:hAnsi="Arial Narrow"/>
          <w:sz w:val="20"/>
          <w:szCs w:val="20"/>
        </w:rPr>
        <w:t>vigencia junio</w:t>
      </w:r>
      <w:r w:rsidR="006D5BD5" w:rsidRPr="00B707AA">
        <w:rPr>
          <w:rFonts w:ascii="Arial Narrow" w:hAnsi="Arial Narrow"/>
          <w:sz w:val="20"/>
          <w:szCs w:val="20"/>
        </w:rPr>
        <w:t xml:space="preserve"> 202</w:t>
      </w:r>
      <w:r w:rsidR="006D5BD5">
        <w:rPr>
          <w:rFonts w:ascii="Arial Narrow" w:hAnsi="Arial Narrow"/>
          <w:sz w:val="20"/>
          <w:szCs w:val="20"/>
        </w:rPr>
        <w:t>2.</w:t>
      </w:r>
      <w:r w:rsidR="00165EB5">
        <w:rPr>
          <w:rFonts w:ascii="Arial Narrow" w:hAnsi="Arial Narrow"/>
          <w:sz w:val="20"/>
          <w:szCs w:val="20"/>
        </w:rPr>
        <w:t xml:space="preserve"> </w:t>
      </w:r>
      <w:r w:rsidR="00165EB5" w:rsidRPr="00935B0A">
        <w:rPr>
          <w:rFonts w:ascii="Arial Narrow" w:hAnsi="Arial Narrow"/>
          <w:sz w:val="20"/>
          <w:szCs w:val="20"/>
        </w:rPr>
        <w:t xml:space="preserve">Posteriormente, mediante la Resol. </w:t>
      </w:r>
      <w:r w:rsidR="00165EB5" w:rsidRPr="00B707AA">
        <w:rPr>
          <w:rFonts w:ascii="Arial Narrow" w:hAnsi="Arial Narrow"/>
          <w:sz w:val="20"/>
          <w:szCs w:val="20"/>
        </w:rPr>
        <w:t xml:space="preserve">SBS </w:t>
      </w:r>
      <w:proofErr w:type="spellStart"/>
      <w:r w:rsidR="00165EB5" w:rsidRPr="00B707AA">
        <w:rPr>
          <w:rFonts w:ascii="Arial Narrow" w:hAnsi="Arial Narrow"/>
          <w:sz w:val="20"/>
          <w:szCs w:val="20"/>
        </w:rPr>
        <w:t>N°</w:t>
      </w:r>
      <w:proofErr w:type="spellEnd"/>
      <w:r w:rsidR="00165EB5" w:rsidRPr="00B707AA">
        <w:rPr>
          <w:rFonts w:ascii="Arial Narrow" w:hAnsi="Arial Narrow"/>
          <w:sz w:val="20"/>
          <w:szCs w:val="20"/>
        </w:rPr>
        <w:t xml:space="preserve"> </w:t>
      </w:r>
      <w:r w:rsidR="00165EB5" w:rsidRPr="008D0257">
        <w:rPr>
          <w:rFonts w:ascii="Arial Narrow" w:hAnsi="Arial Narrow"/>
          <w:sz w:val="20"/>
          <w:szCs w:val="20"/>
        </w:rPr>
        <w:t>02165-2022 del 11.07.2022, se modificó el Catálogo de Cuentas del RCD de vigencia junio 2022.</w:t>
      </w:r>
      <w:r w:rsidR="00B45496" w:rsidRPr="008D0257">
        <w:rPr>
          <w:rFonts w:ascii="Arial Narrow" w:hAnsi="Arial Narrow"/>
          <w:sz w:val="20"/>
          <w:szCs w:val="20"/>
        </w:rPr>
        <w:t xml:space="preserve"> Posteriormente, mediante la Resol. SBS </w:t>
      </w:r>
      <w:proofErr w:type="spellStart"/>
      <w:r w:rsidR="00B45496" w:rsidRPr="008D0257">
        <w:rPr>
          <w:rFonts w:ascii="Arial Narrow" w:hAnsi="Arial Narrow"/>
          <w:sz w:val="20"/>
          <w:szCs w:val="20"/>
        </w:rPr>
        <w:t>N°</w:t>
      </w:r>
      <w:proofErr w:type="spellEnd"/>
      <w:r w:rsidR="00B45496" w:rsidRPr="008D0257">
        <w:rPr>
          <w:rFonts w:ascii="Arial Narrow" w:hAnsi="Arial Narrow"/>
          <w:sz w:val="20"/>
          <w:szCs w:val="20"/>
        </w:rPr>
        <w:t xml:space="preserve"> 3178-2022 del 17.10.2022 se modificó el Catálogo de Cuentas del RCD, de vigencia octubre 2022.</w:t>
      </w:r>
      <w:r w:rsidR="00165EB5" w:rsidRPr="008D0257">
        <w:rPr>
          <w:rFonts w:ascii="Arial Narrow" w:hAnsi="Arial Narrow"/>
          <w:sz w:val="20"/>
          <w:szCs w:val="20"/>
        </w:rPr>
        <w:t xml:space="preserve"> </w:t>
      </w:r>
      <w:r w:rsidR="00B03C70" w:rsidRPr="008D0257">
        <w:rPr>
          <w:rFonts w:ascii="Arial Narrow" w:hAnsi="Arial Narrow"/>
          <w:sz w:val="20"/>
          <w:szCs w:val="20"/>
        </w:rPr>
        <w:t xml:space="preserve">Posteriormente, mediante la Resol. SBS </w:t>
      </w:r>
      <w:proofErr w:type="spellStart"/>
      <w:r w:rsidR="00B03C70" w:rsidRPr="008D0257">
        <w:rPr>
          <w:rFonts w:ascii="Arial Narrow" w:hAnsi="Arial Narrow"/>
          <w:sz w:val="20"/>
          <w:szCs w:val="20"/>
        </w:rPr>
        <w:t>N°</w:t>
      </w:r>
      <w:proofErr w:type="spellEnd"/>
      <w:r w:rsidR="00B03C70" w:rsidRPr="008D0257">
        <w:rPr>
          <w:rFonts w:ascii="Arial Narrow" w:hAnsi="Arial Narrow"/>
          <w:sz w:val="20"/>
          <w:szCs w:val="20"/>
        </w:rPr>
        <w:t xml:space="preserve"> 01214-2023 del 04.04.2023 se modificó el Catálogo de Cuentas del RCD, de vigencia de marzo 2023.</w:t>
      </w:r>
      <w:r w:rsidR="00BE0DBC" w:rsidRPr="008D0257">
        <w:rPr>
          <w:rFonts w:ascii="Arial Narrow" w:hAnsi="Arial Narrow"/>
          <w:sz w:val="20"/>
          <w:szCs w:val="20"/>
        </w:rPr>
        <w:t xml:space="preserve"> </w:t>
      </w:r>
      <w:bookmarkStart w:id="0" w:name="_Hlk136337936"/>
      <w:r w:rsidR="00BE0DBC" w:rsidRPr="008D0257">
        <w:rPr>
          <w:rFonts w:ascii="Arial Narrow" w:hAnsi="Arial Narrow"/>
          <w:sz w:val="20"/>
          <w:szCs w:val="20"/>
        </w:rPr>
        <w:t xml:space="preserve">Posteriormente, mediante la Resol. SBS </w:t>
      </w:r>
      <w:proofErr w:type="spellStart"/>
      <w:r w:rsidR="00BE0DBC" w:rsidRPr="008D0257">
        <w:rPr>
          <w:rFonts w:ascii="Arial Narrow" w:hAnsi="Arial Narrow"/>
          <w:sz w:val="20"/>
          <w:szCs w:val="20"/>
        </w:rPr>
        <w:t>N°</w:t>
      </w:r>
      <w:proofErr w:type="spellEnd"/>
      <w:r w:rsidR="00BE0DBC" w:rsidRPr="008D0257">
        <w:rPr>
          <w:rFonts w:ascii="Arial Narrow" w:hAnsi="Arial Narrow"/>
          <w:sz w:val="20"/>
          <w:szCs w:val="20"/>
        </w:rPr>
        <w:t xml:space="preserve"> 01828-2023 </w:t>
      </w:r>
      <w:r w:rsidR="005141B4" w:rsidRPr="008D0257">
        <w:rPr>
          <w:rFonts w:ascii="Arial Narrow" w:hAnsi="Arial Narrow"/>
          <w:sz w:val="20"/>
          <w:szCs w:val="20"/>
        </w:rPr>
        <w:t xml:space="preserve">publicada </w:t>
      </w:r>
      <w:r w:rsidR="00BE0DBC" w:rsidRPr="008D0257">
        <w:rPr>
          <w:rFonts w:ascii="Arial Narrow" w:hAnsi="Arial Narrow"/>
          <w:sz w:val="20"/>
          <w:szCs w:val="20"/>
        </w:rPr>
        <w:t>el 2</w:t>
      </w:r>
      <w:r w:rsidR="005141B4" w:rsidRPr="008D0257">
        <w:rPr>
          <w:rFonts w:ascii="Arial Narrow" w:hAnsi="Arial Narrow"/>
          <w:sz w:val="20"/>
          <w:szCs w:val="20"/>
        </w:rPr>
        <w:t>9</w:t>
      </w:r>
      <w:r w:rsidR="00BE0DBC" w:rsidRPr="008D0257">
        <w:rPr>
          <w:rFonts w:ascii="Arial Narrow" w:hAnsi="Arial Narrow"/>
          <w:sz w:val="20"/>
          <w:szCs w:val="20"/>
        </w:rPr>
        <w:t>.05.2023 se modificó el Catálogo de Cuentas del RCD, de vigencia de mayo 2023.</w:t>
      </w:r>
      <w:bookmarkEnd w:id="0"/>
      <w:r w:rsidR="00F0375C" w:rsidRPr="008D0257">
        <w:rPr>
          <w:rFonts w:ascii="Arial Narrow" w:hAnsi="Arial Narrow"/>
          <w:sz w:val="20"/>
          <w:szCs w:val="20"/>
        </w:rPr>
        <w:t xml:space="preserve"> Posteriormente, mediante la Resol. SBS </w:t>
      </w:r>
      <w:proofErr w:type="spellStart"/>
      <w:r w:rsidR="00F0375C" w:rsidRPr="008D0257">
        <w:rPr>
          <w:rFonts w:ascii="Arial Narrow" w:hAnsi="Arial Narrow"/>
          <w:sz w:val="20"/>
          <w:szCs w:val="20"/>
        </w:rPr>
        <w:t>N°</w:t>
      </w:r>
      <w:proofErr w:type="spellEnd"/>
      <w:r w:rsidR="00F0375C" w:rsidRPr="008D0257">
        <w:rPr>
          <w:rFonts w:ascii="Arial Narrow" w:hAnsi="Arial Narrow"/>
          <w:sz w:val="20"/>
          <w:szCs w:val="20"/>
        </w:rPr>
        <w:t xml:space="preserve"> 03594-2023 publicada el 03.11.2023 se modificó el Catálogo de Cuentas del RCD, de vigencia de octubre 2023.</w:t>
      </w:r>
      <w:r w:rsidR="00737F59" w:rsidRPr="008D0257">
        <w:rPr>
          <w:rFonts w:ascii="Arial Narrow" w:hAnsi="Arial Narrow"/>
          <w:sz w:val="20"/>
          <w:szCs w:val="20"/>
        </w:rPr>
        <w:t xml:space="preserve"> Posteriormente, mediante la Resol. SBS </w:t>
      </w:r>
      <w:proofErr w:type="spellStart"/>
      <w:r w:rsidR="00737F59" w:rsidRPr="008D0257">
        <w:rPr>
          <w:rFonts w:ascii="Arial Narrow" w:hAnsi="Arial Narrow"/>
          <w:sz w:val="20"/>
          <w:szCs w:val="20"/>
        </w:rPr>
        <w:t>N°</w:t>
      </w:r>
      <w:proofErr w:type="spellEnd"/>
      <w:r w:rsidR="00737F59" w:rsidRPr="008D0257">
        <w:rPr>
          <w:rFonts w:ascii="Arial Narrow" w:hAnsi="Arial Narrow"/>
          <w:sz w:val="20"/>
          <w:szCs w:val="20"/>
        </w:rPr>
        <w:t xml:space="preserve"> 04345-2023 publicada el 04.01.2024 se modificó el Catálogo de Cuentas del </w:t>
      </w:r>
      <w:r w:rsidR="00737F59" w:rsidRPr="0005558C">
        <w:rPr>
          <w:rFonts w:ascii="Arial Narrow" w:hAnsi="Arial Narrow"/>
          <w:sz w:val="20"/>
          <w:szCs w:val="20"/>
        </w:rPr>
        <w:t>RCD, de vigencia de julio 2025</w:t>
      </w:r>
      <w:r w:rsidR="00E04336" w:rsidRPr="0005558C">
        <w:rPr>
          <w:rFonts w:ascii="Arial Narrow" w:hAnsi="Arial Narrow"/>
          <w:sz w:val="20"/>
          <w:szCs w:val="20"/>
        </w:rPr>
        <w:t>,</w:t>
      </w:r>
      <w:r w:rsidR="00F869E9" w:rsidRPr="0005558C">
        <w:rPr>
          <w:rFonts w:ascii="Arial Narrow" w:hAnsi="Arial Narrow"/>
          <w:sz w:val="20"/>
          <w:szCs w:val="20"/>
        </w:rPr>
        <w:t xml:space="preserve"> posteriormente se amplió su vigencia a marzo de 2026 por la Resolución SBS </w:t>
      </w:r>
      <w:proofErr w:type="spellStart"/>
      <w:r w:rsidR="00F869E9" w:rsidRPr="0005558C">
        <w:rPr>
          <w:rFonts w:ascii="Arial Narrow" w:hAnsi="Arial Narrow"/>
          <w:sz w:val="20"/>
          <w:szCs w:val="20"/>
        </w:rPr>
        <w:t>N°</w:t>
      </w:r>
      <w:proofErr w:type="spellEnd"/>
      <w:r w:rsidR="00F869E9" w:rsidRPr="0005558C">
        <w:rPr>
          <w:rFonts w:ascii="Arial Narrow" w:hAnsi="Arial Narrow"/>
          <w:sz w:val="20"/>
          <w:szCs w:val="20"/>
        </w:rPr>
        <w:t xml:space="preserve"> 4347-2024 del 20.12.2024</w:t>
      </w:r>
      <w:r w:rsidR="00737F59" w:rsidRPr="0005558C">
        <w:rPr>
          <w:rFonts w:ascii="Arial Narrow" w:hAnsi="Arial Narrow"/>
          <w:sz w:val="20"/>
          <w:szCs w:val="20"/>
        </w:rPr>
        <w:t>.</w:t>
      </w:r>
      <w:r w:rsidR="000E5508" w:rsidRPr="0005558C">
        <w:rPr>
          <w:rFonts w:ascii="Arial Narrow" w:hAnsi="Arial Narrow"/>
          <w:sz w:val="20"/>
          <w:szCs w:val="20"/>
        </w:rPr>
        <w:t xml:space="preserve"> </w:t>
      </w:r>
      <w:bookmarkStart w:id="1" w:name="_Hlk173394882"/>
      <w:r w:rsidR="006A317F" w:rsidRPr="0005558C">
        <w:rPr>
          <w:rFonts w:ascii="Arial Narrow" w:hAnsi="Arial Narrow"/>
          <w:sz w:val="20"/>
          <w:szCs w:val="20"/>
        </w:rPr>
        <w:t xml:space="preserve">Posteriormente, mediante la Resol. SBS </w:t>
      </w:r>
      <w:proofErr w:type="spellStart"/>
      <w:r w:rsidR="006A317F" w:rsidRPr="0005558C">
        <w:rPr>
          <w:rFonts w:ascii="Arial Narrow" w:hAnsi="Arial Narrow"/>
          <w:sz w:val="20"/>
          <w:szCs w:val="20"/>
        </w:rPr>
        <w:t>N°</w:t>
      </w:r>
      <w:proofErr w:type="spellEnd"/>
      <w:r w:rsidR="006A317F" w:rsidRPr="0005558C">
        <w:rPr>
          <w:rFonts w:ascii="Arial Narrow" w:hAnsi="Arial Narrow"/>
          <w:sz w:val="20"/>
          <w:szCs w:val="20"/>
        </w:rPr>
        <w:t xml:space="preserve"> 2597-2024 publicada el 25.07.2024 se modificó las Instrucciones del RCD, vigencia de julio 2024. Adicionalmente, mediante la misma resolución se modificó el Catálogo de Cuentas del RCD con vigencia de setiembre 2024.</w:t>
      </w:r>
      <w:bookmarkEnd w:id="1"/>
      <w:r w:rsidR="00E13844" w:rsidRPr="0005558C">
        <w:rPr>
          <w:rFonts w:ascii="Arial Narrow" w:hAnsi="Arial Narrow"/>
          <w:sz w:val="18"/>
          <w:szCs w:val="18"/>
        </w:rPr>
        <w:t xml:space="preserve"> </w:t>
      </w:r>
      <w:r w:rsidR="00E13844" w:rsidRPr="0005558C">
        <w:rPr>
          <w:rFonts w:ascii="Arial Narrow" w:hAnsi="Arial Narrow"/>
          <w:sz w:val="20"/>
          <w:szCs w:val="20"/>
        </w:rPr>
        <w:t xml:space="preserve">Posteriormente se </w:t>
      </w:r>
      <w:r w:rsidR="00157E9F" w:rsidRPr="0005558C">
        <w:rPr>
          <w:rFonts w:ascii="Arial Narrow" w:hAnsi="Arial Narrow"/>
          <w:sz w:val="20"/>
          <w:szCs w:val="20"/>
        </w:rPr>
        <w:t>modificó</w:t>
      </w:r>
      <w:r w:rsidR="00E13844" w:rsidRPr="0005558C">
        <w:rPr>
          <w:rFonts w:ascii="Arial Narrow" w:hAnsi="Arial Narrow"/>
          <w:sz w:val="20"/>
          <w:szCs w:val="20"/>
        </w:rPr>
        <w:t xml:space="preserve"> </w:t>
      </w:r>
      <w:r w:rsidR="00157E9F" w:rsidRPr="0005558C">
        <w:rPr>
          <w:rFonts w:ascii="Arial Narrow" w:hAnsi="Arial Narrow"/>
          <w:sz w:val="20"/>
          <w:szCs w:val="20"/>
        </w:rPr>
        <w:t>el Catálogo</w:t>
      </w:r>
      <w:r w:rsidR="00E13844" w:rsidRPr="0005558C">
        <w:rPr>
          <w:rFonts w:ascii="Arial Narrow" w:hAnsi="Arial Narrow"/>
          <w:sz w:val="20"/>
          <w:szCs w:val="20"/>
        </w:rPr>
        <w:t xml:space="preserve"> de Cuentas del RCD y el Anexo 6 por la Resolución SBS </w:t>
      </w:r>
      <w:proofErr w:type="spellStart"/>
      <w:r w:rsidR="00E13844" w:rsidRPr="0005558C">
        <w:rPr>
          <w:rFonts w:ascii="Arial Narrow" w:hAnsi="Arial Narrow"/>
          <w:sz w:val="20"/>
          <w:szCs w:val="20"/>
        </w:rPr>
        <w:t>N°</w:t>
      </w:r>
      <w:proofErr w:type="spellEnd"/>
      <w:r w:rsidR="00E13844" w:rsidRPr="0005558C">
        <w:rPr>
          <w:rFonts w:ascii="Arial Narrow" w:hAnsi="Arial Narrow"/>
          <w:sz w:val="20"/>
          <w:szCs w:val="20"/>
        </w:rPr>
        <w:t xml:space="preserve"> 774-2025 publicada el 03.03.2025, la cual </w:t>
      </w:r>
      <w:proofErr w:type="gramStart"/>
      <w:r w:rsidR="00E13844" w:rsidRPr="0005558C">
        <w:rPr>
          <w:rFonts w:ascii="Arial Narrow" w:hAnsi="Arial Narrow"/>
          <w:sz w:val="20"/>
          <w:szCs w:val="20"/>
        </w:rPr>
        <w:t>entra en vigencia</w:t>
      </w:r>
      <w:proofErr w:type="gramEnd"/>
      <w:r w:rsidR="00E13844" w:rsidRPr="0005558C">
        <w:rPr>
          <w:rFonts w:ascii="Arial Narrow" w:hAnsi="Arial Narrow"/>
          <w:sz w:val="20"/>
          <w:szCs w:val="20"/>
        </w:rPr>
        <w:t xml:space="preserve"> a partir de enero 2026.</w:t>
      </w:r>
      <w:r w:rsidR="00AC4ABC" w:rsidRPr="00AC4ABC">
        <w:t xml:space="preserve"> </w:t>
      </w:r>
      <w:r w:rsidR="00AC4ABC">
        <w:rPr>
          <w:rFonts w:ascii="Arial Narrow" w:hAnsi="Arial Narrow"/>
          <w:sz w:val="20"/>
          <w:szCs w:val="20"/>
        </w:rPr>
        <w:t>P</w:t>
      </w:r>
      <w:r w:rsidR="00AC4ABC" w:rsidRPr="00AC4ABC">
        <w:rPr>
          <w:rFonts w:ascii="Arial Narrow" w:hAnsi="Arial Narrow"/>
          <w:sz w:val="20"/>
          <w:szCs w:val="20"/>
        </w:rPr>
        <w:t>osteriormente</w:t>
      </w:r>
      <w:r w:rsidR="00AC4ABC">
        <w:rPr>
          <w:rFonts w:ascii="Arial Narrow" w:hAnsi="Arial Narrow"/>
          <w:sz w:val="20"/>
          <w:szCs w:val="20"/>
        </w:rPr>
        <w:t xml:space="preserve"> se modificó el Anexo 6 mediante </w:t>
      </w:r>
      <w:r w:rsidR="00AC4ABC" w:rsidRPr="00AC4ABC">
        <w:rPr>
          <w:rFonts w:ascii="Arial Narrow" w:hAnsi="Arial Narrow"/>
          <w:sz w:val="20"/>
          <w:szCs w:val="20"/>
        </w:rPr>
        <w:t>la Resol. SBS 1661-2025 del 08.05.2025</w:t>
      </w:r>
      <w:r w:rsidR="00AC4ABC">
        <w:rPr>
          <w:rFonts w:ascii="Arial Narrow" w:hAnsi="Arial Narrow"/>
          <w:sz w:val="20"/>
          <w:szCs w:val="20"/>
        </w:rPr>
        <w:t>.</w:t>
      </w:r>
    </w:p>
    <w:p w14:paraId="61A06062" w14:textId="77777777" w:rsidR="00965622" w:rsidRPr="00935B0A" w:rsidRDefault="00965622" w:rsidP="00935B0A">
      <w:pPr>
        <w:tabs>
          <w:tab w:val="left" w:pos="7685"/>
        </w:tabs>
        <w:spacing w:before="40"/>
        <w:jc w:val="both"/>
        <w:outlineLvl w:val="0"/>
        <w:rPr>
          <w:rFonts w:ascii="Arial Narrow" w:hAnsi="Arial Narrow"/>
          <w:sz w:val="20"/>
          <w:szCs w:val="20"/>
        </w:rPr>
      </w:pPr>
      <w:r w:rsidRPr="00935B0A">
        <w:rPr>
          <w:rFonts w:ascii="Arial Narrow" w:hAnsi="Arial Narrow"/>
          <w:sz w:val="20"/>
          <w:szCs w:val="20"/>
          <w:vertAlign w:val="superscript"/>
        </w:rPr>
        <w:t>3.1</w:t>
      </w:r>
      <w:r w:rsidRPr="00935B0A">
        <w:rPr>
          <w:rFonts w:ascii="Arial Narrow" w:hAnsi="Arial Narrow"/>
          <w:sz w:val="20"/>
          <w:szCs w:val="20"/>
        </w:rPr>
        <w:t xml:space="preserve"> </w:t>
      </w:r>
      <w:r w:rsidR="009D5F52" w:rsidRPr="00935B0A">
        <w:rPr>
          <w:rFonts w:ascii="Arial Narrow" w:hAnsi="Arial Narrow"/>
          <w:sz w:val="20"/>
          <w:szCs w:val="20"/>
        </w:rPr>
        <w:t xml:space="preserve">Los Anexos </w:t>
      </w:r>
      <w:proofErr w:type="spellStart"/>
      <w:r w:rsidR="009D5F52" w:rsidRPr="00935B0A">
        <w:rPr>
          <w:rFonts w:ascii="Arial Narrow" w:hAnsi="Arial Narrow"/>
          <w:sz w:val="20"/>
          <w:szCs w:val="20"/>
        </w:rPr>
        <w:t>N°</w:t>
      </w:r>
      <w:proofErr w:type="spellEnd"/>
      <w:r w:rsidR="003D0696" w:rsidRPr="00935B0A">
        <w:rPr>
          <w:rFonts w:ascii="Arial Narrow" w:hAnsi="Arial Narrow"/>
          <w:sz w:val="20"/>
          <w:szCs w:val="20"/>
        </w:rPr>
        <w:t xml:space="preserve"> 25 y </w:t>
      </w:r>
      <w:proofErr w:type="spellStart"/>
      <w:r w:rsidR="003D0696" w:rsidRPr="00935B0A">
        <w:rPr>
          <w:rFonts w:ascii="Arial Narrow" w:hAnsi="Arial Narrow"/>
          <w:sz w:val="20"/>
          <w:szCs w:val="20"/>
        </w:rPr>
        <w:t>N°</w:t>
      </w:r>
      <w:proofErr w:type="spellEnd"/>
      <w:r w:rsidR="003D0696" w:rsidRPr="00935B0A">
        <w:rPr>
          <w:rFonts w:ascii="Arial Narrow" w:hAnsi="Arial Narrow"/>
          <w:sz w:val="20"/>
          <w:szCs w:val="20"/>
        </w:rPr>
        <w:t xml:space="preserve"> 26 fueron i</w:t>
      </w:r>
      <w:r w:rsidRPr="00935B0A">
        <w:rPr>
          <w:rFonts w:ascii="Arial Narrow" w:hAnsi="Arial Narrow"/>
          <w:sz w:val="20"/>
          <w:szCs w:val="20"/>
        </w:rPr>
        <w:t>ncorporado</w:t>
      </w:r>
      <w:r w:rsidR="003D0696" w:rsidRPr="00935B0A">
        <w:rPr>
          <w:rFonts w:ascii="Arial Narrow" w:hAnsi="Arial Narrow"/>
          <w:sz w:val="20"/>
          <w:szCs w:val="20"/>
        </w:rPr>
        <w:t>s</w:t>
      </w:r>
      <w:r w:rsidRPr="00935B0A">
        <w:rPr>
          <w:rFonts w:ascii="Arial Narrow" w:hAnsi="Arial Narrow"/>
          <w:sz w:val="20"/>
          <w:szCs w:val="20"/>
        </w:rPr>
        <w:t xml:space="preserve"> mediante la Resol.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257-2005 del 10.02.2005</w:t>
      </w:r>
      <w:r w:rsidR="002C3216" w:rsidRPr="00935B0A">
        <w:rPr>
          <w:rFonts w:ascii="Arial Narrow" w:hAnsi="Arial Narrow"/>
          <w:sz w:val="20"/>
          <w:szCs w:val="20"/>
        </w:rPr>
        <w:t>.</w:t>
      </w:r>
      <w:r w:rsidR="003D0696" w:rsidRPr="00935B0A">
        <w:rPr>
          <w:rFonts w:ascii="Arial Narrow" w:hAnsi="Arial Narrow"/>
          <w:sz w:val="20"/>
          <w:szCs w:val="20"/>
        </w:rPr>
        <w:t xml:space="preserve"> Posteriormente eliminados mediante la Resol. SBS </w:t>
      </w:r>
      <w:proofErr w:type="spellStart"/>
      <w:r w:rsidR="003D0696" w:rsidRPr="00935B0A">
        <w:rPr>
          <w:rFonts w:ascii="Arial Narrow" w:hAnsi="Arial Narrow"/>
          <w:sz w:val="20"/>
          <w:szCs w:val="20"/>
        </w:rPr>
        <w:t>N°</w:t>
      </w:r>
      <w:proofErr w:type="spellEnd"/>
      <w:r w:rsidR="003D0696" w:rsidRPr="00935B0A">
        <w:rPr>
          <w:rFonts w:ascii="Arial Narrow" w:hAnsi="Arial Narrow"/>
          <w:sz w:val="20"/>
          <w:szCs w:val="20"/>
        </w:rPr>
        <w:t xml:space="preserve"> 3716-2016 del 06.07.2016.</w:t>
      </w:r>
    </w:p>
    <w:p w14:paraId="609E87A3" w14:textId="3DF0120E" w:rsidR="00FE7AE0" w:rsidRPr="00935B0A" w:rsidRDefault="002C3216"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lastRenderedPageBreak/>
        <w:t>3.2</w:t>
      </w:r>
      <w:r w:rsidRPr="00935B0A">
        <w:rPr>
          <w:rFonts w:ascii="Arial Narrow" w:hAnsi="Arial Narrow"/>
          <w:sz w:val="20"/>
          <w:szCs w:val="20"/>
        </w:rPr>
        <w:t xml:space="preserve"> Modificado por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429-2006 del 28.03.2006.</w:t>
      </w:r>
      <w:r w:rsidR="00BE626D" w:rsidRPr="00935B0A">
        <w:rPr>
          <w:rFonts w:ascii="Arial Narrow" w:hAnsi="Arial Narrow"/>
          <w:sz w:val="20"/>
          <w:szCs w:val="20"/>
        </w:rPr>
        <w:t xml:space="preserve"> Posteriormente</w:t>
      </w:r>
      <w:r w:rsidR="000E6036" w:rsidRPr="00935B0A">
        <w:rPr>
          <w:rFonts w:ascii="Arial Narrow" w:hAnsi="Arial Narrow"/>
          <w:sz w:val="20"/>
          <w:szCs w:val="20"/>
        </w:rPr>
        <w:t>,</w:t>
      </w:r>
      <w:r w:rsidR="00BE626D" w:rsidRPr="00935B0A">
        <w:rPr>
          <w:rFonts w:ascii="Arial Narrow" w:hAnsi="Arial Narrow"/>
          <w:sz w:val="20"/>
          <w:szCs w:val="20"/>
        </w:rPr>
        <w:t xml:space="preserve"> sustituido por la Resol. SBS </w:t>
      </w:r>
      <w:proofErr w:type="spellStart"/>
      <w:r w:rsidR="00BE626D" w:rsidRPr="00935B0A">
        <w:rPr>
          <w:rFonts w:ascii="Arial Narrow" w:hAnsi="Arial Narrow"/>
          <w:sz w:val="20"/>
          <w:szCs w:val="20"/>
        </w:rPr>
        <w:t>Nº</w:t>
      </w:r>
      <w:proofErr w:type="spellEnd"/>
      <w:r w:rsidR="00BE626D" w:rsidRPr="00935B0A">
        <w:rPr>
          <w:rFonts w:ascii="Arial Narrow" w:hAnsi="Arial Narrow"/>
          <w:sz w:val="20"/>
          <w:szCs w:val="20"/>
        </w:rPr>
        <w:t xml:space="preserve"> 10639-2008 del 31.10.2008</w:t>
      </w:r>
      <w:r w:rsidR="007E6123" w:rsidRPr="00935B0A">
        <w:rPr>
          <w:rFonts w:ascii="Arial Narrow" w:hAnsi="Arial Narrow"/>
          <w:sz w:val="20"/>
          <w:szCs w:val="20"/>
        </w:rPr>
        <w:t xml:space="preserve"> y por la Resol. SBS </w:t>
      </w:r>
      <w:proofErr w:type="spellStart"/>
      <w:r w:rsidR="007E6123" w:rsidRPr="00935B0A">
        <w:rPr>
          <w:rFonts w:ascii="Arial Narrow" w:hAnsi="Arial Narrow"/>
          <w:sz w:val="20"/>
          <w:szCs w:val="20"/>
        </w:rPr>
        <w:t>N°</w:t>
      </w:r>
      <w:proofErr w:type="spellEnd"/>
      <w:r w:rsidR="007E6123" w:rsidRPr="00935B0A">
        <w:rPr>
          <w:rFonts w:ascii="Arial Narrow" w:hAnsi="Arial Narrow"/>
          <w:sz w:val="20"/>
          <w:szCs w:val="20"/>
        </w:rPr>
        <w:t xml:space="preserve"> 112863-2009 del 10.09.2009</w:t>
      </w:r>
      <w:r w:rsidR="00BE626D" w:rsidRPr="00935B0A">
        <w:rPr>
          <w:rFonts w:ascii="Arial Narrow" w:hAnsi="Arial Narrow"/>
          <w:sz w:val="20"/>
          <w:szCs w:val="20"/>
        </w:rPr>
        <w:t>.</w:t>
      </w:r>
      <w:r w:rsidR="000E1208" w:rsidRPr="00935B0A">
        <w:rPr>
          <w:rFonts w:ascii="Arial Narrow" w:hAnsi="Arial Narrow"/>
          <w:sz w:val="20"/>
          <w:szCs w:val="20"/>
        </w:rPr>
        <w:t xml:space="preserve"> Posteriormente modificado por la Resol. SBS </w:t>
      </w:r>
      <w:proofErr w:type="spellStart"/>
      <w:r w:rsidR="000E1208" w:rsidRPr="00935B0A">
        <w:rPr>
          <w:rFonts w:ascii="Arial Narrow" w:hAnsi="Arial Narrow"/>
          <w:sz w:val="20"/>
          <w:szCs w:val="20"/>
        </w:rPr>
        <w:t>N°</w:t>
      </w:r>
      <w:proofErr w:type="spellEnd"/>
      <w:r w:rsidR="000E1208" w:rsidRPr="00935B0A">
        <w:rPr>
          <w:rFonts w:ascii="Arial Narrow" w:hAnsi="Arial Narrow"/>
          <w:sz w:val="20"/>
          <w:szCs w:val="20"/>
        </w:rPr>
        <w:t xml:space="preserve"> 7036-2012 del 19.09.2012.</w:t>
      </w:r>
      <w:r w:rsidR="00AF43BE" w:rsidRPr="00935B0A">
        <w:rPr>
          <w:rFonts w:ascii="Arial Narrow" w:hAnsi="Arial Narrow"/>
          <w:sz w:val="20"/>
          <w:szCs w:val="20"/>
        </w:rPr>
        <w:t xml:space="preserve"> </w:t>
      </w:r>
      <w:r w:rsidR="00FE7AE0" w:rsidRPr="00935B0A">
        <w:rPr>
          <w:rFonts w:ascii="Arial Narrow" w:hAnsi="Arial Narrow"/>
          <w:sz w:val="20"/>
          <w:szCs w:val="20"/>
        </w:rPr>
        <w:t xml:space="preserve">Posteriormente modificado por la Resol. SBS </w:t>
      </w:r>
      <w:proofErr w:type="spellStart"/>
      <w:r w:rsidR="00FE7AE0" w:rsidRPr="00935B0A">
        <w:rPr>
          <w:rFonts w:ascii="Arial Narrow" w:hAnsi="Arial Narrow"/>
          <w:sz w:val="20"/>
          <w:szCs w:val="20"/>
        </w:rPr>
        <w:t>N°</w:t>
      </w:r>
      <w:proofErr w:type="spellEnd"/>
      <w:r w:rsidR="00FE7AE0" w:rsidRPr="00935B0A">
        <w:rPr>
          <w:rFonts w:ascii="Arial Narrow" w:hAnsi="Arial Narrow"/>
          <w:sz w:val="20"/>
          <w:szCs w:val="20"/>
        </w:rPr>
        <w:t xml:space="preserve"> 6232-2015 del 14.10.2015, eliminándose el Anexo 1-C e incorporándose los Anexos 1-C1 y 1-C2, vigente a partir de noviembre de 2015 de periodicidad semanal (7, 15, 22 y fin de mes), remitiéndose 2 días hábiles posteriores a la fecha de reporte.</w:t>
      </w:r>
      <w:r w:rsidR="00887525">
        <w:rPr>
          <w:rFonts w:ascii="Arial Narrow" w:hAnsi="Arial Narrow"/>
          <w:sz w:val="20"/>
          <w:szCs w:val="20"/>
        </w:rPr>
        <w:t xml:space="preserve"> </w:t>
      </w:r>
      <w:r w:rsidR="00887525" w:rsidRPr="00887525">
        <w:rPr>
          <w:rFonts w:ascii="Arial Narrow" w:hAnsi="Arial Narrow"/>
          <w:sz w:val="20"/>
          <w:szCs w:val="20"/>
        </w:rPr>
        <w:t xml:space="preserve">Posteriormente se modificó el catálogo de cuentas del RCD mediante las Resol. SBS </w:t>
      </w:r>
      <w:proofErr w:type="spellStart"/>
      <w:r w:rsidR="00887525" w:rsidRPr="00887525">
        <w:rPr>
          <w:rFonts w:ascii="Arial Narrow" w:hAnsi="Arial Narrow"/>
          <w:sz w:val="20"/>
          <w:szCs w:val="20"/>
        </w:rPr>
        <w:t>N°</w:t>
      </w:r>
      <w:proofErr w:type="spellEnd"/>
      <w:r w:rsidR="00887525" w:rsidRPr="00887525">
        <w:rPr>
          <w:rFonts w:ascii="Arial Narrow" w:hAnsi="Arial Narrow"/>
          <w:sz w:val="20"/>
          <w:szCs w:val="20"/>
        </w:rPr>
        <w:t xml:space="preserve"> 4345-2023 y 4347-2024, la cuales </w:t>
      </w:r>
      <w:proofErr w:type="gramStart"/>
      <w:r w:rsidR="00887525" w:rsidRPr="00887525">
        <w:rPr>
          <w:rFonts w:ascii="Arial Narrow" w:hAnsi="Arial Narrow"/>
          <w:sz w:val="20"/>
          <w:szCs w:val="20"/>
        </w:rPr>
        <w:t>entran en vigencia</w:t>
      </w:r>
      <w:proofErr w:type="gramEnd"/>
      <w:r w:rsidR="00887525" w:rsidRPr="00887525">
        <w:rPr>
          <w:rFonts w:ascii="Arial Narrow" w:hAnsi="Arial Narrow"/>
          <w:sz w:val="20"/>
          <w:szCs w:val="20"/>
        </w:rPr>
        <w:t xml:space="preserve"> a partir de marzo de 2026.</w:t>
      </w:r>
    </w:p>
    <w:p w14:paraId="3CC6519B" w14:textId="77777777" w:rsidR="00BE626D"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4</w:t>
      </w:r>
      <w:r w:rsidRPr="00935B0A">
        <w:rPr>
          <w:rFonts w:ascii="Arial Narrow" w:hAnsi="Arial Narrow"/>
          <w:sz w:val="20"/>
          <w:szCs w:val="20"/>
        </w:rPr>
        <w:t xml:space="preserve"> </w:t>
      </w:r>
      <w:proofErr w:type="gramStart"/>
      <w:r w:rsidR="000E1208" w:rsidRPr="00935B0A">
        <w:rPr>
          <w:rFonts w:ascii="Arial Narrow" w:hAnsi="Arial Narrow"/>
          <w:sz w:val="20"/>
          <w:szCs w:val="20"/>
        </w:rPr>
        <w:t>El</w:t>
      </w:r>
      <w:proofErr w:type="gramEnd"/>
      <w:r w:rsidR="000E1208" w:rsidRPr="00935B0A">
        <w:rPr>
          <w:rFonts w:ascii="Arial Narrow" w:hAnsi="Arial Narrow"/>
          <w:sz w:val="20"/>
          <w:szCs w:val="20"/>
        </w:rPr>
        <w:t xml:space="preserve"> nuevo Anexo fue aprobado por la Resolución SBS </w:t>
      </w:r>
      <w:proofErr w:type="spellStart"/>
      <w:r w:rsidR="000E1208" w:rsidRPr="00935B0A">
        <w:rPr>
          <w:rFonts w:ascii="Arial Narrow" w:hAnsi="Arial Narrow"/>
          <w:sz w:val="20"/>
          <w:szCs w:val="20"/>
        </w:rPr>
        <w:t>N°</w:t>
      </w:r>
      <w:proofErr w:type="spellEnd"/>
      <w:r w:rsidR="000E1208" w:rsidRPr="00935B0A">
        <w:rPr>
          <w:rFonts w:ascii="Arial Narrow" w:hAnsi="Arial Narrow"/>
          <w:sz w:val="20"/>
          <w:szCs w:val="20"/>
        </w:rPr>
        <w:t xml:space="preserve"> 7197-2012 del 20.09.2012. Mediante la citada norma se deroga el antiguo formato del Anexo 7 (aprobado por la Circular SBS </w:t>
      </w:r>
      <w:proofErr w:type="spellStart"/>
      <w:r w:rsidR="000E1208" w:rsidRPr="00935B0A">
        <w:rPr>
          <w:rFonts w:ascii="Arial Narrow" w:hAnsi="Arial Narrow"/>
          <w:sz w:val="20"/>
          <w:szCs w:val="20"/>
        </w:rPr>
        <w:t>Nº</w:t>
      </w:r>
      <w:proofErr w:type="spellEnd"/>
      <w:r w:rsidR="000E1208" w:rsidRPr="00935B0A">
        <w:rPr>
          <w:rFonts w:ascii="Arial Narrow" w:hAnsi="Arial Narrow"/>
          <w:sz w:val="20"/>
          <w:szCs w:val="20"/>
        </w:rPr>
        <w:t xml:space="preserve"> B- 2087-2001 del 28.02.2001 y posteriormente modificado por la Resol. SBS </w:t>
      </w:r>
      <w:proofErr w:type="spellStart"/>
      <w:r w:rsidR="000E1208" w:rsidRPr="00935B0A">
        <w:rPr>
          <w:rFonts w:ascii="Arial Narrow" w:hAnsi="Arial Narrow"/>
          <w:sz w:val="20"/>
          <w:szCs w:val="20"/>
        </w:rPr>
        <w:t>Nº</w:t>
      </w:r>
      <w:proofErr w:type="spellEnd"/>
      <w:r w:rsidR="000E1208" w:rsidRPr="00935B0A">
        <w:rPr>
          <w:rFonts w:ascii="Arial Narrow" w:hAnsi="Arial Narrow"/>
          <w:sz w:val="20"/>
          <w:szCs w:val="20"/>
        </w:rPr>
        <w:t xml:space="preserve"> 10639-2008 del 31.10.2008).</w:t>
      </w:r>
      <w:r w:rsidR="00892852" w:rsidRPr="00935B0A">
        <w:rPr>
          <w:rFonts w:ascii="Arial Narrow" w:hAnsi="Arial Narrow"/>
          <w:sz w:val="20"/>
          <w:szCs w:val="20"/>
        </w:rPr>
        <w:t xml:space="preserve"> Posteriormente, fue modificado por Resolución SBS </w:t>
      </w:r>
      <w:proofErr w:type="spellStart"/>
      <w:r w:rsidR="00892852" w:rsidRPr="00935B0A">
        <w:rPr>
          <w:rFonts w:ascii="Arial Narrow" w:hAnsi="Arial Narrow"/>
          <w:sz w:val="20"/>
          <w:szCs w:val="20"/>
        </w:rPr>
        <w:t>N°</w:t>
      </w:r>
      <w:proofErr w:type="spellEnd"/>
      <w:r w:rsidR="00892852" w:rsidRPr="00935B0A">
        <w:rPr>
          <w:rFonts w:ascii="Arial Narrow" w:hAnsi="Arial Narrow"/>
          <w:sz w:val="20"/>
          <w:szCs w:val="20"/>
        </w:rPr>
        <w:t xml:space="preserve"> 1014-2014 del 13.02.2014 vigente a partir de marzo 2014.</w:t>
      </w:r>
      <w:r w:rsidR="006505DE" w:rsidRPr="00935B0A">
        <w:rPr>
          <w:rFonts w:ascii="Arial Narrow" w:hAnsi="Arial Narrow"/>
          <w:sz w:val="20"/>
          <w:szCs w:val="20"/>
        </w:rPr>
        <w:t xml:space="preserve"> </w:t>
      </w:r>
      <w:r w:rsidR="0042112D" w:rsidRPr="00935B0A">
        <w:rPr>
          <w:rFonts w:ascii="Arial Narrow" w:hAnsi="Arial Narrow"/>
          <w:sz w:val="20"/>
          <w:szCs w:val="20"/>
        </w:rPr>
        <w:t>Posteriormente, m</w:t>
      </w:r>
      <w:r w:rsidR="006505DE" w:rsidRPr="00935B0A">
        <w:rPr>
          <w:rFonts w:ascii="Arial Narrow" w:hAnsi="Arial Narrow"/>
          <w:sz w:val="20"/>
          <w:szCs w:val="20"/>
        </w:rPr>
        <w:t xml:space="preserve">odificado por Resolución SBS </w:t>
      </w:r>
      <w:proofErr w:type="spellStart"/>
      <w:r w:rsidR="006505DE" w:rsidRPr="00935B0A">
        <w:rPr>
          <w:rFonts w:ascii="Arial Narrow" w:hAnsi="Arial Narrow"/>
          <w:sz w:val="20"/>
          <w:szCs w:val="20"/>
        </w:rPr>
        <w:t>N°</w:t>
      </w:r>
      <w:proofErr w:type="spellEnd"/>
      <w:r w:rsidR="006505DE" w:rsidRPr="00935B0A">
        <w:rPr>
          <w:rFonts w:ascii="Arial Narrow" w:hAnsi="Arial Narrow"/>
          <w:sz w:val="20"/>
          <w:szCs w:val="20"/>
        </w:rPr>
        <w:t xml:space="preserve"> 4128-2014 del 01.07.14</w:t>
      </w:r>
      <w:r w:rsidR="0042112D" w:rsidRPr="00935B0A">
        <w:rPr>
          <w:rFonts w:ascii="Arial Narrow" w:hAnsi="Arial Narrow"/>
          <w:sz w:val="20"/>
          <w:szCs w:val="20"/>
        </w:rPr>
        <w:t>.</w:t>
      </w:r>
    </w:p>
    <w:p w14:paraId="1F357589" w14:textId="77777777" w:rsidR="00892852"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5</w:t>
      </w:r>
      <w:r w:rsidRPr="00935B0A">
        <w:rPr>
          <w:rFonts w:ascii="Arial Narrow" w:hAnsi="Arial Narrow"/>
          <w:sz w:val="20"/>
          <w:szCs w:val="20"/>
        </w:rPr>
        <w:t xml:space="preserve"> </w:t>
      </w:r>
      <w:proofErr w:type="gramStart"/>
      <w:r w:rsidR="000E1208" w:rsidRPr="00935B0A">
        <w:rPr>
          <w:rFonts w:ascii="Arial Narrow" w:hAnsi="Arial Narrow"/>
          <w:sz w:val="20"/>
          <w:szCs w:val="20"/>
        </w:rPr>
        <w:t>El</w:t>
      </w:r>
      <w:proofErr w:type="gramEnd"/>
      <w:r w:rsidR="000E1208" w:rsidRPr="00935B0A">
        <w:rPr>
          <w:rFonts w:ascii="Arial Narrow" w:hAnsi="Arial Narrow"/>
          <w:sz w:val="20"/>
          <w:szCs w:val="20"/>
        </w:rPr>
        <w:t xml:space="preserve"> nuevo Anexo fue aprobado por la Resolución SBS </w:t>
      </w:r>
      <w:proofErr w:type="spellStart"/>
      <w:r w:rsidR="000E1208" w:rsidRPr="00935B0A">
        <w:rPr>
          <w:rFonts w:ascii="Arial Narrow" w:hAnsi="Arial Narrow"/>
          <w:sz w:val="20"/>
          <w:szCs w:val="20"/>
        </w:rPr>
        <w:t>N°</w:t>
      </w:r>
      <w:proofErr w:type="spellEnd"/>
      <w:r w:rsidR="000E1208" w:rsidRPr="00935B0A">
        <w:rPr>
          <w:rFonts w:ascii="Arial Narrow" w:hAnsi="Arial Narrow"/>
          <w:sz w:val="20"/>
          <w:szCs w:val="20"/>
        </w:rPr>
        <w:t xml:space="preserve"> 7197-2012 del 20.09.2012. Mediante la citada norma se deroga el antiguo formato del Anexo 7 (aprobado por Circular SBS </w:t>
      </w:r>
      <w:proofErr w:type="spellStart"/>
      <w:r w:rsidR="000E1208" w:rsidRPr="00935B0A">
        <w:rPr>
          <w:rFonts w:ascii="Arial Narrow" w:hAnsi="Arial Narrow"/>
          <w:sz w:val="20"/>
          <w:szCs w:val="20"/>
        </w:rPr>
        <w:t>Nº</w:t>
      </w:r>
      <w:proofErr w:type="spellEnd"/>
      <w:r w:rsidR="000E1208" w:rsidRPr="00935B0A">
        <w:rPr>
          <w:rFonts w:ascii="Arial Narrow" w:hAnsi="Arial Narrow"/>
          <w:sz w:val="20"/>
          <w:szCs w:val="20"/>
        </w:rPr>
        <w:t xml:space="preserve"> F- 464-2003 del 31.10.2003 y posteriormente modificado por la Resol. </w:t>
      </w:r>
      <w:r w:rsidR="005842AB" w:rsidRPr="00935B0A">
        <w:rPr>
          <w:rFonts w:ascii="Arial Narrow" w:hAnsi="Arial Narrow"/>
          <w:sz w:val="20"/>
          <w:szCs w:val="20"/>
        </w:rPr>
        <w:t xml:space="preserve">SBS </w:t>
      </w:r>
      <w:proofErr w:type="spellStart"/>
      <w:r w:rsidR="005842AB" w:rsidRPr="00935B0A">
        <w:rPr>
          <w:rFonts w:ascii="Arial Narrow" w:hAnsi="Arial Narrow"/>
          <w:sz w:val="20"/>
          <w:szCs w:val="20"/>
        </w:rPr>
        <w:t>Nº</w:t>
      </w:r>
      <w:proofErr w:type="spellEnd"/>
      <w:r w:rsidR="005842AB" w:rsidRPr="00935B0A">
        <w:rPr>
          <w:rFonts w:ascii="Arial Narrow" w:hAnsi="Arial Narrow"/>
          <w:sz w:val="20"/>
          <w:szCs w:val="20"/>
        </w:rPr>
        <w:t xml:space="preserve"> 10639-2008 del 31.10.2008).</w:t>
      </w:r>
      <w:r w:rsidR="00892852" w:rsidRPr="00935B0A">
        <w:rPr>
          <w:rFonts w:ascii="Arial Narrow" w:hAnsi="Arial Narrow"/>
          <w:sz w:val="20"/>
          <w:szCs w:val="20"/>
        </w:rPr>
        <w:t xml:space="preserve"> Posteriormente, fue modificado por Resolución SBS </w:t>
      </w:r>
      <w:proofErr w:type="spellStart"/>
      <w:r w:rsidR="00892852" w:rsidRPr="00935B0A">
        <w:rPr>
          <w:rFonts w:ascii="Arial Narrow" w:hAnsi="Arial Narrow"/>
          <w:sz w:val="20"/>
          <w:szCs w:val="20"/>
        </w:rPr>
        <w:t>N°</w:t>
      </w:r>
      <w:proofErr w:type="spellEnd"/>
      <w:r w:rsidR="00892852" w:rsidRPr="00935B0A">
        <w:rPr>
          <w:rFonts w:ascii="Arial Narrow" w:hAnsi="Arial Narrow"/>
          <w:sz w:val="20"/>
          <w:szCs w:val="20"/>
        </w:rPr>
        <w:t xml:space="preserve"> 1014-2014 del 13.02.2014 vigente a partir de marzo 2014.</w:t>
      </w:r>
      <w:r w:rsidR="006505DE" w:rsidRPr="00935B0A">
        <w:rPr>
          <w:rFonts w:ascii="Arial Narrow" w:hAnsi="Arial Narrow"/>
          <w:sz w:val="20"/>
          <w:szCs w:val="20"/>
        </w:rPr>
        <w:t xml:space="preserve"> </w:t>
      </w:r>
      <w:r w:rsidR="0042112D" w:rsidRPr="00935B0A">
        <w:rPr>
          <w:rFonts w:ascii="Arial Narrow" w:hAnsi="Arial Narrow"/>
          <w:sz w:val="20"/>
          <w:szCs w:val="20"/>
        </w:rPr>
        <w:t xml:space="preserve">Posteriormente, modificado por Resolución SBS </w:t>
      </w:r>
      <w:proofErr w:type="spellStart"/>
      <w:r w:rsidR="0042112D" w:rsidRPr="00935B0A">
        <w:rPr>
          <w:rFonts w:ascii="Arial Narrow" w:hAnsi="Arial Narrow"/>
          <w:sz w:val="20"/>
          <w:szCs w:val="20"/>
        </w:rPr>
        <w:t>N°</w:t>
      </w:r>
      <w:proofErr w:type="spellEnd"/>
      <w:r w:rsidR="0042112D" w:rsidRPr="00935B0A">
        <w:rPr>
          <w:rFonts w:ascii="Arial Narrow" w:hAnsi="Arial Narrow"/>
          <w:sz w:val="20"/>
          <w:szCs w:val="20"/>
        </w:rPr>
        <w:t xml:space="preserve"> 4128-2014 del 01.07.14.</w:t>
      </w:r>
    </w:p>
    <w:p w14:paraId="60EAD485" w14:textId="77777777" w:rsidR="00CC70AA" w:rsidRPr="00935B0A" w:rsidRDefault="00CC70AA" w:rsidP="00935B0A">
      <w:pPr>
        <w:tabs>
          <w:tab w:val="left" w:pos="7685"/>
        </w:tabs>
        <w:spacing w:before="40"/>
        <w:jc w:val="both"/>
        <w:outlineLvl w:val="0"/>
        <w:rPr>
          <w:rFonts w:ascii="Arial Narrow" w:hAnsi="Arial Narrow"/>
          <w:sz w:val="20"/>
          <w:szCs w:val="20"/>
        </w:rPr>
      </w:pPr>
      <w:r w:rsidRPr="00935B0A">
        <w:rPr>
          <w:rFonts w:ascii="Arial Narrow" w:hAnsi="Arial Narrow"/>
          <w:sz w:val="20"/>
          <w:szCs w:val="20"/>
          <w:vertAlign w:val="superscript"/>
        </w:rPr>
        <w:t>5.1</w:t>
      </w:r>
      <w:r w:rsidRPr="00935B0A">
        <w:rPr>
          <w:rFonts w:ascii="Arial Narrow" w:hAnsi="Arial Narrow"/>
          <w:sz w:val="20"/>
          <w:szCs w:val="20"/>
        </w:rPr>
        <w:t xml:space="preserve"> Modificado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1349-2008 del 06.05.2008.</w:t>
      </w:r>
      <w:r w:rsidR="00151E57" w:rsidRPr="00935B0A">
        <w:rPr>
          <w:rFonts w:ascii="Arial Narrow" w:hAnsi="Arial Narrow"/>
          <w:sz w:val="20"/>
          <w:szCs w:val="20"/>
        </w:rPr>
        <w:t xml:space="preserve"> Posteriormente modificado el formato y notas por la Resol. SBS </w:t>
      </w:r>
      <w:proofErr w:type="spellStart"/>
      <w:r w:rsidR="00151E57" w:rsidRPr="00935B0A">
        <w:rPr>
          <w:rFonts w:ascii="Arial Narrow" w:hAnsi="Arial Narrow"/>
          <w:sz w:val="20"/>
          <w:szCs w:val="20"/>
        </w:rPr>
        <w:t>Nº</w:t>
      </w:r>
      <w:proofErr w:type="spellEnd"/>
      <w:r w:rsidR="00151E57" w:rsidRPr="00935B0A">
        <w:rPr>
          <w:rFonts w:ascii="Arial Narrow" w:hAnsi="Arial Narrow"/>
          <w:sz w:val="20"/>
          <w:szCs w:val="20"/>
        </w:rPr>
        <w:t xml:space="preserve"> 3689-2011 del 02.04.2011, vigente a partir de la información correspondiente al mes de agosto 2011.</w:t>
      </w:r>
    </w:p>
    <w:p w14:paraId="2BE7E4A9" w14:textId="77777777" w:rsidR="00965622"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6</w:t>
      </w:r>
      <w:r w:rsidRPr="00935B0A">
        <w:rPr>
          <w:rFonts w:ascii="Arial Narrow" w:hAnsi="Arial Narrow"/>
          <w:sz w:val="20"/>
          <w:szCs w:val="20"/>
        </w:rPr>
        <w:t xml:space="preserve"> </w:t>
      </w:r>
      <w:proofErr w:type="gramStart"/>
      <w:r w:rsidRPr="00935B0A">
        <w:rPr>
          <w:rFonts w:ascii="Arial Narrow" w:hAnsi="Arial Narrow"/>
          <w:sz w:val="20"/>
          <w:szCs w:val="20"/>
        </w:rPr>
        <w:t>Modificado</w:t>
      </w:r>
      <w:proofErr w:type="gramEnd"/>
      <w:r w:rsidRPr="00935B0A">
        <w:rPr>
          <w:rFonts w:ascii="Arial Narrow" w:hAnsi="Arial Narrow"/>
          <w:sz w:val="20"/>
          <w:szCs w:val="20"/>
        </w:rPr>
        <w:t xml:space="preserve">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1455-2003 del 16.10.2003.</w:t>
      </w:r>
      <w:r w:rsidR="005B1D87" w:rsidRPr="00935B0A">
        <w:rPr>
          <w:rFonts w:ascii="Arial Narrow" w:hAnsi="Arial Narrow"/>
          <w:sz w:val="20"/>
          <w:szCs w:val="20"/>
        </w:rPr>
        <w:t xml:space="preserve"> Posteriormente</w:t>
      </w:r>
      <w:r w:rsidR="000E6036" w:rsidRPr="00935B0A">
        <w:rPr>
          <w:rFonts w:ascii="Arial Narrow" w:hAnsi="Arial Narrow"/>
          <w:sz w:val="20"/>
          <w:szCs w:val="20"/>
        </w:rPr>
        <w:t>,</w:t>
      </w:r>
      <w:r w:rsidR="005B1D87" w:rsidRPr="00935B0A">
        <w:rPr>
          <w:rFonts w:ascii="Arial Narrow" w:hAnsi="Arial Narrow"/>
          <w:sz w:val="20"/>
          <w:szCs w:val="20"/>
        </w:rPr>
        <w:t xml:space="preserve"> modificado por la Resol. SBS </w:t>
      </w:r>
      <w:proofErr w:type="spellStart"/>
      <w:r w:rsidR="005B1D87" w:rsidRPr="00935B0A">
        <w:rPr>
          <w:rFonts w:ascii="Arial Narrow" w:hAnsi="Arial Narrow"/>
          <w:sz w:val="20"/>
          <w:szCs w:val="20"/>
        </w:rPr>
        <w:t>Nº</w:t>
      </w:r>
      <w:proofErr w:type="spellEnd"/>
      <w:r w:rsidR="005B1D87" w:rsidRPr="00935B0A">
        <w:rPr>
          <w:rFonts w:ascii="Arial Narrow" w:hAnsi="Arial Narrow"/>
          <w:sz w:val="20"/>
          <w:szCs w:val="20"/>
        </w:rPr>
        <w:t xml:space="preserve"> 6328-2009 del 18.06.2009</w:t>
      </w:r>
      <w:r w:rsidR="007D7005" w:rsidRPr="00935B0A">
        <w:rPr>
          <w:rFonts w:ascii="Arial Narrow" w:hAnsi="Arial Narrow"/>
          <w:sz w:val="20"/>
          <w:szCs w:val="20"/>
        </w:rPr>
        <w:t xml:space="preserve"> a partir de la información de julio de 2009</w:t>
      </w:r>
      <w:r w:rsidR="005B1D87" w:rsidRPr="00935B0A">
        <w:rPr>
          <w:rFonts w:ascii="Arial Narrow" w:hAnsi="Arial Narrow"/>
          <w:sz w:val="20"/>
          <w:szCs w:val="20"/>
        </w:rPr>
        <w:t>.</w:t>
      </w:r>
      <w:r w:rsidR="00DC05AB" w:rsidRPr="00935B0A">
        <w:rPr>
          <w:rFonts w:ascii="Arial Narrow" w:hAnsi="Arial Narrow"/>
          <w:sz w:val="20"/>
          <w:szCs w:val="20"/>
        </w:rPr>
        <w:t xml:space="preserve">Posteriormente, modificada la </w:t>
      </w:r>
      <w:r w:rsidR="00935B0A" w:rsidRPr="00935B0A">
        <w:rPr>
          <w:rFonts w:ascii="Arial Narrow" w:hAnsi="Arial Narrow"/>
          <w:sz w:val="20"/>
          <w:szCs w:val="20"/>
        </w:rPr>
        <w:t>denominación, formato</w:t>
      </w:r>
      <w:r w:rsidR="00E10EBE" w:rsidRPr="00935B0A">
        <w:rPr>
          <w:rFonts w:ascii="Arial Narrow" w:hAnsi="Arial Narrow"/>
          <w:sz w:val="20"/>
          <w:szCs w:val="20"/>
        </w:rPr>
        <w:t xml:space="preserve"> y notas </w:t>
      </w:r>
      <w:r w:rsidR="00935B0A" w:rsidRPr="00935B0A">
        <w:rPr>
          <w:rFonts w:ascii="Arial Narrow" w:hAnsi="Arial Narrow"/>
          <w:sz w:val="20"/>
          <w:szCs w:val="20"/>
        </w:rPr>
        <w:t>metodológicas por</w:t>
      </w:r>
      <w:r w:rsidR="002E196F" w:rsidRPr="00935B0A">
        <w:rPr>
          <w:rFonts w:ascii="Arial Narrow" w:hAnsi="Arial Narrow"/>
          <w:sz w:val="20"/>
          <w:szCs w:val="20"/>
        </w:rPr>
        <w:t xml:space="preserve"> la Resol. SBS </w:t>
      </w:r>
      <w:proofErr w:type="spellStart"/>
      <w:r w:rsidR="002E196F" w:rsidRPr="00935B0A">
        <w:rPr>
          <w:rFonts w:ascii="Arial Narrow" w:hAnsi="Arial Narrow"/>
          <w:sz w:val="20"/>
          <w:szCs w:val="20"/>
        </w:rPr>
        <w:t>N°</w:t>
      </w:r>
      <w:proofErr w:type="spellEnd"/>
      <w:r w:rsidR="002E196F" w:rsidRPr="00935B0A">
        <w:rPr>
          <w:rFonts w:ascii="Arial Narrow" w:hAnsi="Arial Narrow"/>
          <w:sz w:val="20"/>
          <w:szCs w:val="20"/>
        </w:rPr>
        <w:t xml:space="preserve"> </w:t>
      </w:r>
      <w:r w:rsidR="00DC05AB" w:rsidRPr="00935B0A">
        <w:rPr>
          <w:rFonts w:ascii="Arial Narrow" w:hAnsi="Arial Narrow"/>
          <w:sz w:val="20"/>
          <w:szCs w:val="20"/>
        </w:rPr>
        <w:t>4906-2017 del 20.12.2017</w:t>
      </w:r>
      <w:r w:rsidR="002E196F" w:rsidRPr="00935B0A">
        <w:rPr>
          <w:rFonts w:ascii="Arial Narrow" w:hAnsi="Arial Narrow"/>
          <w:sz w:val="20"/>
          <w:szCs w:val="20"/>
        </w:rPr>
        <w:t>, vigente a partir de la información de junio de 2018.</w:t>
      </w:r>
      <w:r w:rsidR="00B01713" w:rsidRPr="00935B0A">
        <w:rPr>
          <w:rFonts w:ascii="Arial Narrow" w:hAnsi="Arial Narrow"/>
          <w:sz w:val="20"/>
          <w:szCs w:val="20"/>
        </w:rPr>
        <w:t xml:space="preserve"> Posteriormente modificado por la Resol. SBS </w:t>
      </w:r>
      <w:proofErr w:type="spellStart"/>
      <w:r w:rsidR="00B01713" w:rsidRPr="00935B0A">
        <w:rPr>
          <w:rFonts w:ascii="Arial Narrow" w:hAnsi="Arial Narrow"/>
          <w:sz w:val="20"/>
          <w:szCs w:val="20"/>
        </w:rPr>
        <w:t>N°</w:t>
      </w:r>
      <w:proofErr w:type="spellEnd"/>
      <w:r w:rsidR="00B01713" w:rsidRPr="00935B0A">
        <w:rPr>
          <w:rFonts w:ascii="Arial Narrow" w:hAnsi="Arial Narrow"/>
          <w:sz w:val="20"/>
          <w:szCs w:val="20"/>
        </w:rPr>
        <w:t xml:space="preserve"> 2237-2018 del 06.06.2018.</w:t>
      </w:r>
      <w:r w:rsidR="001A2E67" w:rsidRPr="00935B0A">
        <w:rPr>
          <w:rFonts w:ascii="Arial Narrow" w:hAnsi="Arial Narrow"/>
          <w:sz w:val="20"/>
          <w:szCs w:val="20"/>
        </w:rPr>
        <w:t xml:space="preserve"> Posteriormente modificado el plazo máximo para su remisión a través de la Resolución SBS </w:t>
      </w:r>
      <w:proofErr w:type="spellStart"/>
      <w:r w:rsidR="001A2E67" w:rsidRPr="00935B0A">
        <w:rPr>
          <w:rFonts w:ascii="Arial Narrow" w:hAnsi="Arial Narrow"/>
          <w:sz w:val="20"/>
          <w:szCs w:val="20"/>
        </w:rPr>
        <w:t>N°</w:t>
      </w:r>
      <w:proofErr w:type="spellEnd"/>
      <w:r w:rsidR="001A2E67" w:rsidRPr="00935B0A">
        <w:rPr>
          <w:rFonts w:ascii="Arial Narrow" w:hAnsi="Arial Narrow"/>
          <w:sz w:val="20"/>
          <w:szCs w:val="20"/>
        </w:rPr>
        <w:t xml:space="preserve"> 2405 – 2019 del 30.05.2019 vigente a partir del 01 de junio del 2019.</w:t>
      </w:r>
    </w:p>
    <w:p w14:paraId="7A3BE1E9" w14:textId="77777777" w:rsidR="005B1D87" w:rsidRPr="00935B0A" w:rsidRDefault="005B1D87" w:rsidP="00935B0A">
      <w:pPr>
        <w:tabs>
          <w:tab w:val="left" w:pos="7685"/>
        </w:tabs>
        <w:spacing w:before="40"/>
        <w:jc w:val="both"/>
        <w:outlineLvl w:val="0"/>
        <w:rPr>
          <w:rFonts w:ascii="Arial Narrow" w:hAnsi="Arial Narrow"/>
          <w:sz w:val="20"/>
          <w:szCs w:val="20"/>
        </w:rPr>
      </w:pPr>
      <w:r w:rsidRPr="00935B0A">
        <w:rPr>
          <w:rFonts w:ascii="Arial Narrow" w:hAnsi="Arial Narrow"/>
          <w:sz w:val="20"/>
          <w:szCs w:val="20"/>
          <w:vertAlign w:val="superscript"/>
        </w:rPr>
        <w:t>6.1</w:t>
      </w:r>
      <w:r w:rsidRPr="00935B0A">
        <w:rPr>
          <w:rFonts w:ascii="Arial Narrow" w:hAnsi="Arial Narrow"/>
          <w:sz w:val="20"/>
          <w:szCs w:val="20"/>
        </w:rPr>
        <w:t xml:space="preserve"> </w:t>
      </w:r>
      <w:r w:rsidR="00B91B4A" w:rsidRPr="00935B0A">
        <w:rPr>
          <w:rFonts w:ascii="Arial Narrow" w:hAnsi="Arial Narrow"/>
          <w:sz w:val="20"/>
          <w:szCs w:val="20"/>
        </w:rPr>
        <w:t xml:space="preserve">El Anexo </w:t>
      </w:r>
      <w:proofErr w:type="spellStart"/>
      <w:r w:rsidR="00B91B4A" w:rsidRPr="00935B0A">
        <w:rPr>
          <w:rFonts w:ascii="Arial Narrow" w:hAnsi="Arial Narrow"/>
          <w:sz w:val="20"/>
          <w:szCs w:val="20"/>
        </w:rPr>
        <w:t>N°</w:t>
      </w:r>
      <w:proofErr w:type="spellEnd"/>
      <w:r w:rsidR="00B91B4A" w:rsidRPr="00935B0A">
        <w:rPr>
          <w:rFonts w:ascii="Arial Narrow" w:hAnsi="Arial Narrow"/>
          <w:sz w:val="20"/>
          <w:szCs w:val="20"/>
        </w:rPr>
        <w:t xml:space="preserve"> 23 fue e</w:t>
      </w:r>
      <w:r w:rsidRPr="00935B0A">
        <w:rPr>
          <w:rFonts w:ascii="Arial Narrow" w:hAnsi="Arial Narrow"/>
          <w:sz w:val="20"/>
          <w:szCs w:val="20"/>
        </w:rPr>
        <w:t xml:space="preserve">liminado por la Resol.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6328-2009 del 18.06.2009</w:t>
      </w:r>
      <w:r w:rsidR="007D7005" w:rsidRPr="00935B0A">
        <w:rPr>
          <w:rFonts w:ascii="Arial Narrow" w:hAnsi="Arial Narrow"/>
          <w:sz w:val="20"/>
          <w:szCs w:val="20"/>
        </w:rPr>
        <w:t xml:space="preserve"> a partir de la información de julio de 2009</w:t>
      </w:r>
      <w:r w:rsidRPr="00935B0A">
        <w:rPr>
          <w:rFonts w:ascii="Arial Narrow" w:hAnsi="Arial Narrow"/>
          <w:sz w:val="20"/>
          <w:szCs w:val="20"/>
        </w:rPr>
        <w:t>.</w:t>
      </w:r>
    </w:p>
    <w:p w14:paraId="6656A286" w14:textId="765F9767" w:rsidR="003906B7" w:rsidRPr="00D60203" w:rsidRDefault="007E797D" w:rsidP="00935B0A">
      <w:pPr>
        <w:tabs>
          <w:tab w:val="left" w:pos="7685"/>
        </w:tabs>
        <w:spacing w:before="40"/>
        <w:jc w:val="both"/>
        <w:outlineLvl w:val="0"/>
        <w:rPr>
          <w:rFonts w:ascii="Arial Narrow" w:hAnsi="Arial Narrow"/>
          <w:sz w:val="22"/>
          <w:szCs w:val="22"/>
        </w:rPr>
      </w:pPr>
      <w:r w:rsidRPr="00935B0A">
        <w:rPr>
          <w:rFonts w:ascii="Arial Narrow" w:hAnsi="Arial Narrow"/>
          <w:sz w:val="20"/>
          <w:szCs w:val="20"/>
          <w:vertAlign w:val="superscript"/>
        </w:rPr>
        <w:t>7</w:t>
      </w:r>
      <w:r w:rsidRPr="00935B0A">
        <w:rPr>
          <w:rFonts w:ascii="Arial Narrow" w:hAnsi="Arial Narrow"/>
          <w:sz w:val="20"/>
          <w:szCs w:val="20"/>
        </w:rPr>
        <w:t xml:space="preserve"> </w:t>
      </w:r>
      <w:proofErr w:type="gramStart"/>
      <w:r w:rsidRPr="00935B0A">
        <w:rPr>
          <w:rFonts w:ascii="Arial Narrow" w:hAnsi="Arial Narrow"/>
          <w:sz w:val="20"/>
          <w:szCs w:val="20"/>
        </w:rPr>
        <w:t>Aprobado</w:t>
      </w:r>
      <w:proofErr w:type="gramEnd"/>
      <w:r w:rsidRPr="00935B0A">
        <w:rPr>
          <w:rFonts w:ascii="Arial Narrow" w:hAnsi="Arial Narrow"/>
          <w:sz w:val="20"/>
          <w:szCs w:val="20"/>
        </w:rPr>
        <w:t xml:space="preserve"> por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9075-2012 del 05-12-2012. Vigente a partir de la información de diciembre de 2013. Posteriormente, modificado por Res.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3225-2014 del 29.05.2014 y Res.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4128-2014 del 01.07.14.</w:t>
      </w:r>
      <w:r w:rsidR="003906B7" w:rsidRPr="00935B0A">
        <w:rPr>
          <w:rFonts w:ascii="Arial Narrow" w:hAnsi="Arial Narrow"/>
          <w:sz w:val="20"/>
          <w:szCs w:val="20"/>
        </w:rPr>
        <w:t xml:space="preserve"> Posteriormente modificado por Res. SBS </w:t>
      </w:r>
      <w:proofErr w:type="spellStart"/>
      <w:r w:rsidR="003906B7" w:rsidRPr="00935B0A">
        <w:rPr>
          <w:rFonts w:ascii="Arial Narrow" w:hAnsi="Arial Narrow"/>
          <w:sz w:val="20"/>
          <w:szCs w:val="20"/>
        </w:rPr>
        <w:t>N°</w:t>
      </w:r>
      <w:proofErr w:type="spellEnd"/>
      <w:r w:rsidR="003906B7" w:rsidRPr="00935B0A">
        <w:rPr>
          <w:rFonts w:ascii="Arial Narrow" w:hAnsi="Arial Narrow"/>
          <w:sz w:val="20"/>
          <w:szCs w:val="20"/>
        </w:rPr>
        <w:t xml:space="preserve"> 5254-2014 del 12.08.2014, vigente a partir del 01 de setiembre de 2014.</w:t>
      </w:r>
      <w:r w:rsidR="00C8302B" w:rsidRPr="00935B0A">
        <w:rPr>
          <w:rFonts w:ascii="Arial Narrow" w:hAnsi="Arial Narrow"/>
          <w:sz w:val="20"/>
          <w:szCs w:val="20"/>
        </w:rPr>
        <w:t xml:space="preserve"> </w:t>
      </w:r>
      <w:r w:rsidR="004735C0" w:rsidRPr="00935B0A">
        <w:rPr>
          <w:rFonts w:ascii="Arial Narrow" w:hAnsi="Arial Narrow"/>
          <w:sz w:val="20"/>
          <w:szCs w:val="20"/>
        </w:rPr>
        <w:t>Posteriormente</w:t>
      </w:r>
      <w:r w:rsidR="00C8302B" w:rsidRPr="00935B0A">
        <w:rPr>
          <w:rFonts w:ascii="Arial Narrow" w:hAnsi="Arial Narrow"/>
          <w:sz w:val="20"/>
          <w:szCs w:val="20"/>
        </w:rPr>
        <w:t xml:space="preserve"> modificado por Res. SBS </w:t>
      </w:r>
      <w:proofErr w:type="spellStart"/>
      <w:r w:rsidR="00C8302B" w:rsidRPr="00935B0A">
        <w:rPr>
          <w:rFonts w:ascii="Arial Narrow" w:hAnsi="Arial Narrow"/>
          <w:sz w:val="20"/>
          <w:szCs w:val="20"/>
        </w:rPr>
        <w:t>N°</w:t>
      </w:r>
      <w:proofErr w:type="spellEnd"/>
      <w:r w:rsidR="00C8302B" w:rsidRPr="00935B0A">
        <w:rPr>
          <w:rFonts w:ascii="Arial Narrow" w:hAnsi="Arial Narrow"/>
          <w:sz w:val="20"/>
          <w:szCs w:val="20"/>
        </w:rPr>
        <w:t xml:space="preserve"> 5202-2015 del 03.09.2015</w:t>
      </w:r>
      <w:r w:rsidR="003A4FB6" w:rsidRPr="00935B0A">
        <w:rPr>
          <w:rFonts w:ascii="Arial Narrow" w:hAnsi="Arial Narrow"/>
          <w:sz w:val="20"/>
          <w:szCs w:val="20"/>
        </w:rPr>
        <w:t>.</w:t>
      </w:r>
      <w:r w:rsidR="00873BE8" w:rsidRPr="00935B0A">
        <w:rPr>
          <w:rFonts w:ascii="Arial Narrow" w:hAnsi="Arial Narrow"/>
          <w:sz w:val="20"/>
          <w:szCs w:val="20"/>
        </w:rPr>
        <w:t xml:space="preserve"> Posteriormente, modificado mediante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6231-2015 del 14.10.2015, vigente a partir del 1 de enero de 2016.</w:t>
      </w:r>
      <w:r w:rsidR="00B75056" w:rsidRPr="00935B0A">
        <w:rPr>
          <w:rFonts w:ascii="Arial Narrow" w:hAnsi="Arial Narrow"/>
          <w:sz w:val="20"/>
          <w:szCs w:val="20"/>
        </w:rPr>
        <w:t xml:space="preserve"> Posteriormente, </w:t>
      </w:r>
      <w:r w:rsidR="00935B0A" w:rsidRPr="00935B0A">
        <w:rPr>
          <w:rFonts w:ascii="Arial Narrow" w:hAnsi="Arial Narrow"/>
          <w:sz w:val="20"/>
          <w:szCs w:val="20"/>
        </w:rPr>
        <w:t>modificado el</w:t>
      </w:r>
      <w:r w:rsidR="00B75056" w:rsidRPr="00935B0A">
        <w:rPr>
          <w:rFonts w:ascii="Arial Narrow" w:hAnsi="Arial Narrow"/>
          <w:sz w:val="20"/>
          <w:szCs w:val="20"/>
        </w:rPr>
        <w:t xml:space="preserve"> Anexo 15-A por la Resol. SBS </w:t>
      </w:r>
      <w:proofErr w:type="spellStart"/>
      <w:r w:rsidR="00B75056" w:rsidRPr="00935B0A">
        <w:rPr>
          <w:rFonts w:ascii="Arial Narrow" w:hAnsi="Arial Narrow"/>
          <w:sz w:val="20"/>
          <w:szCs w:val="20"/>
        </w:rPr>
        <w:t>N°</w:t>
      </w:r>
      <w:proofErr w:type="spellEnd"/>
      <w:r w:rsidR="00B75056" w:rsidRPr="00935B0A">
        <w:rPr>
          <w:rFonts w:ascii="Arial Narrow" w:hAnsi="Arial Narrow"/>
          <w:sz w:val="20"/>
          <w:szCs w:val="20"/>
        </w:rPr>
        <w:t xml:space="preserve"> 4906-2017 del 20.12.2017, vigente a partir de la información de junio de 2018.</w:t>
      </w:r>
      <w:r w:rsidR="004A1F35" w:rsidRPr="00935B0A">
        <w:rPr>
          <w:rFonts w:ascii="Arial Narrow" w:hAnsi="Arial Narrow"/>
          <w:sz w:val="20"/>
          <w:szCs w:val="20"/>
        </w:rPr>
        <w:t xml:space="preserve"> Posteriormente, modificado </w:t>
      </w:r>
      <w:r w:rsidR="00B74F17" w:rsidRPr="00935B0A">
        <w:rPr>
          <w:rFonts w:ascii="Arial Narrow" w:hAnsi="Arial Narrow"/>
          <w:sz w:val="20"/>
          <w:szCs w:val="20"/>
        </w:rPr>
        <w:t xml:space="preserve">el Anexo 15-A y </w:t>
      </w:r>
      <w:r w:rsidR="008E11B7" w:rsidRPr="00935B0A">
        <w:rPr>
          <w:rFonts w:ascii="Arial Narrow" w:hAnsi="Arial Narrow"/>
          <w:sz w:val="20"/>
          <w:szCs w:val="20"/>
        </w:rPr>
        <w:t xml:space="preserve">15-B </w:t>
      </w:r>
      <w:r w:rsidR="004A1F35" w:rsidRPr="00935B0A">
        <w:rPr>
          <w:rFonts w:ascii="Arial Narrow" w:hAnsi="Arial Narrow"/>
          <w:sz w:val="20"/>
          <w:szCs w:val="20"/>
        </w:rPr>
        <w:t xml:space="preserve">por la Resolución SBS </w:t>
      </w:r>
      <w:proofErr w:type="spellStart"/>
      <w:r w:rsidR="004A1F35" w:rsidRPr="00935B0A">
        <w:rPr>
          <w:rFonts w:ascii="Arial Narrow" w:hAnsi="Arial Narrow"/>
          <w:sz w:val="20"/>
          <w:szCs w:val="20"/>
        </w:rPr>
        <w:t>N°</w:t>
      </w:r>
      <w:proofErr w:type="spellEnd"/>
      <w:r w:rsidR="004A1F35" w:rsidRPr="00935B0A">
        <w:rPr>
          <w:rFonts w:ascii="Arial Narrow" w:hAnsi="Arial Narrow"/>
          <w:sz w:val="20"/>
          <w:szCs w:val="20"/>
        </w:rPr>
        <w:t xml:space="preserve"> 682 – 2019 del 20.02.2019 vigente a partir del </w:t>
      </w:r>
      <w:r w:rsidR="008E11B7" w:rsidRPr="00935B0A">
        <w:rPr>
          <w:rFonts w:ascii="Arial Narrow" w:hAnsi="Arial Narrow"/>
          <w:sz w:val="20"/>
          <w:szCs w:val="20"/>
        </w:rPr>
        <w:t xml:space="preserve">01 de julio del 2019, con excepción de las modificaciones aplicadas al Anexo 15-B, las cuales </w:t>
      </w:r>
      <w:proofErr w:type="gramStart"/>
      <w:r w:rsidR="008E11B7" w:rsidRPr="00935B0A">
        <w:rPr>
          <w:rFonts w:ascii="Arial Narrow" w:hAnsi="Arial Narrow"/>
          <w:sz w:val="20"/>
          <w:szCs w:val="20"/>
        </w:rPr>
        <w:t>entran en vigencia</w:t>
      </w:r>
      <w:proofErr w:type="gramEnd"/>
      <w:r w:rsidR="008E11B7" w:rsidRPr="00935B0A">
        <w:rPr>
          <w:rFonts w:ascii="Arial Narrow" w:hAnsi="Arial Narrow"/>
          <w:sz w:val="20"/>
          <w:szCs w:val="20"/>
        </w:rPr>
        <w:t xml:space="preserve"> a partir del 01 de marzo del 2019.</w:t>
      </w:r>
      <w:r w:rsidR="00596B50" w:rsidRPr="00935B0A">
        <w:rPr>
          <w:rFonts w:ascii="Arial Narrow" w:hAnsi="Arial Narrow"/>
          <w:sz w:val="20"/>
          <w:szCs w:val="20"/>
        </w:rPr>
        <w:t xml:space="preserve"> Posteriormente, modificado a través de la Resolución SBS </w:t>
      </w:r>
      <w:proofErr w:type="spellStart"/>
      <w:r w:rsidR="00596B50" w:rsidRPr="00935B0A">
        <w:rPr>
          <w:rFonts w:ascii="Arial Narrow" w:hAnsi="Arial Narrow"/>
          <w:sz w:val="20"/>
          <w:szCs w:val="20"/>
        </w:rPr>
        <w:t>N°</w:t>
      </w:r>
      <w:proofErr w:type="spellEnd"/>
      <w:r w:rsidR="00596B50" w:rsidRPr="00935B0A">
        <w:rPr>
          <w:rFonts w:ascii="Arial Narrow" w:hAnsi="Arial Narrow"/>
          <w:sz w:val="20"/>
          <w:szCs w:val="20"/>
        </w:rPr>
        <w:t xml:space="preserve"> 4838 – 2019 del 17.10.2019 vigente a partir de la remisión de la información de noviembre del 2019.</w:t>
      </w:r>
      <w:r w:rsidR="00854C81">
        <w:rPr>
          <w:rFonts w:ascii="Arial Narrow" w:hAnsi="Arial Narrow"/>
          <w:sz w:val="20"/>
          <w:szCs w:val="20"/>
        </w:rPr>
        <w:t xml:space="preserve"> </w:t>
      </w:r>
      <w:r w:rsidR="00854C81" w:rsidRPr="00667ECE">
        <w:rPr>
          <w:rFonts w:ascii="Arial Narrow" w:hAnsi="Arial Narrow"/>
          <w:sz w:val="20"/>
          <w:szCs w:val="20"/>
        </w:rPr>
        <w:t xml:space="preserve">Posteriormente, modificado a través de la Resolución SBS </w:t>
      </w:r>
      <w:proofErr w:type="spellStart"/>
      <w:r w:rsidR="00854C81" w:rsidRPr="00667ECE">
        <w:rPr>
          <w:rFonts w:ascii="Arial Narrow" w:hAnsi="Arial Narrow"/>
          <w:sz w:val="20"/>
          <w:szCs w:val="20"/>
        </w:rPr>
        <w:t>N°</w:t>
      </w:r>
      <w:proofErr w:type="spellEnd"/>
      <w:r w:rsidR="00854C81" w:rsidRPr="00667ECE">
        <w:rPr>
          <w:rFonts w:ascii="Arial Narrow" w:hAnsi="Arial Narrow"/>
          <w:sz w:val="20"/>
          <w:szCs w:val="20"/>
        </w:rPr>
        <w:t xml:space="preserve"> 2800-2022 del 13.09.22 vigente a partir del 23 de setiembre del 2022.</w:t>
      </w:r>
      <w:r w:rsidR="00A460D2" w:rsidRPr="00667ECE">
        <w:rPr>
          <w:rFonts w:ascii="Arial Narrow" w:hAnsi="Arial Narrow"/>
          <w:sz w:val="20"/>
          <w:szCs w:val="20"/>
        </w:rPr>
        <w:t xml:space="preserve"> Posteriormente modificado a través de la Resolución SBS </w:t>
      </w:r>
      <w:proofErr w:type="spellStart"/>
      <w:r w:rsidR="00A460D2" w:rsidRPr="00667ECE">
        <w:rPr>
          <w:rFonts w:ascii="Arial Narrow" w:hAnsi="Arial Narrow"/>
          <w:sz w:val="20"/>
          <w:szCs w:val="20"/>
        </w:rPr>
        <w:t>N°</w:t>
      </w:r>
      <w:proofErr w:type="spellEnd"/>
      <w:r w:rsidR="00A460D2" w:rsidRPr="00667ECE">
        <w:rPr>
          <w:rFonts w:ascii="Arial Narrow" w:hAnsi="Arial Narrow"/>
          <w:sz w:val="20"/>
          <w:szCs w:val="20"/>
        </w:rPr>
        <w:t xml:space="preserve"> 3296-2022 del 28.10.2022, vigente a partir del 01 de enero de 2024.</w:t>
      </w:r>
      <w:r w:rsidR="00854C81">
        <w:rPr>
          <w:rFonts w:ascii="Arial Narrow" w:hAnsi="Arial Narrow"/>
          <w:sz w:val="20"/>
          <w:szCs w:val="20"/>
        </w:rPr>
        <w:t xml:space="preserve"> </w:t>
      </w:r>
      <w:r w:rsidR="00791DEE" w:rsidRPr="00791DEE">
        <w:rPr>
          <w:rFonts w:ascii="Arial Narrow" w:hAnsi="Arial Narrow"/>
          <w:sz w:val="20"/>
          <w:szCs w:val="20"/>
        </w:rPr>
        <w:t xml:space="preserve">Posteriormente modificado a través de la Resolución SBS </w:t>
      </w:r>
      <w:proofErr w:type="spellStart"/>
      <w:r w:rsidR="00791DEE" w:rsidRPr="00791DEE">
        <w:rPr>
          <w:rFonts w:ascii="Arial Narrow" w:hAnsi="Arial Narrow"/>
          <w:sz w:val="20"/>
          <w:szCs w:val="20"/>
        </w:rPr>
        <w:t>N°</w:t>
      </w:r>
      <w:proofErr w:type="spellEnd"/>
      <w:r w:rsidR="00791DEE" w:rsidRPr="00791DEE">
        <w:rPr>
          <w:rFonts w:ascii="Arial Narrow" w:hAnsi="Arial Narrow"/>
          <w:sz w:val="20"/>
          <w:szCs w:val="20"/>
        </w:rPr>
        <w:t xml:space="preserve"> 4221-2023 publicada el 22.12.2023, vigente a partir del 01 de enero de 2024.</w:t>
      </w:r>
      <w:r w:rsidR="00D24E52" w:rsidRPr="00D24E52">
        <w:rPr>
          <w:rFonts w:ascii="Arial Narrow" w:hAnsi="Arial Narrow"/>
          <w:sz w:val="18"/>
          <w:szCs w:val="18"/>
        </w:rPr>
        <w:t xml:space="preserve"> </w:t>
      </w:r>
      <w:r w:rsidR="00D24E52">
        <w:rPr>
          <w:rFonts w:ascii="Arial Narrow" w:hAnsi="Arial Narrow"/>
          <w:sz w:val="20"/>
          <w:szCs w:val="20"/>
        </w:rPr>
        <w:t>P</w:t>
      </w:r>
      <w:r w:rsidR="00D24E52" w:rsidRPr="00D60203">
        <w:rPr>
          <w:rFonts w:ascii="Arial Narrow" w:hAnsi="Arial Narrow"/>
          <w:sz w:val="20"/>
          <w:szCs w:val="20"/>
        </w:rPr>
        <w:t>osteriormente</w:t>
      </w:r>
      <w:r w:rsidR="00D24E52">
        <w:rPr>
          <w:rFonts w:ascii="Arial Narrow" w:hAnsi="Arial Narrow"/>
          <w:sz w:val="20"/>
          <w:szCs w:val="20"/>
        </w:rPr>
        <w:t xml:space="preserve"> se modificó el Anexo 15-</w:t>
      </w:r>
      <w:proofErr w:type="gramStart"/>
      <w:r w:rsidR="00D24E52">
        <w:rPr>
          <w:rFonts w:ascii="Arial Narrow" w:hAnsi="Arial Narrow"/>
          <w:sz w:val="20"/>
          <w:szCs w:val="20"/>
        </w:rPr>
        <w:t xml:space="preserve">A </w:t>
      </w:r>
      <w:r w:rsidR="00D24E52" w:rsidRPr="00D60203">
        <w:rPr>
          <w:rFonts w:ascii="Arial Narrow" w:hAnsi="Arial Narrow"/>
          <w:sz w:val="20"/>
          <w:szCs w:val="20"/>
        </w:rPr>
        <w:t xml:space="preserve"> por</w:t>
      </w:r>
      <w:proofErr w:type="gramEnd"/>
      <w:r w:rsidR="00D24E52" w:rsidRPr="00D60203">
        <w:rPr>
          <w:rFonts w:ascii="Arial Narrow" w:hAnsi="Arial Narrow"/>
          <w:sz w:val="20"/>
          <w:szCs w:val="20"/>
        </w:rPr>
        <w:t xml:space="preserve"> la Resolución SBS </w:t>
      </w:r>
      <w:proofErr w:type="spellStart"/>
      <w:r w:rsidR="00D24E52" w:rsidRPr="00D60203">
        <w:rPr>
          <w:rFonts w:ascii="Arial Narrow" w:hAnsi="Arial Narrow"/>
          <w:sz w:val="20"/>
          <w:szCs w:val="20"/>
        </w:rPr>
        <w:t>N°</w:t>
      </w:r>
      <w:proofErr w:type="spellEnd"/>
      <w:r w:rsidR="00D24E52" w:rsidRPr="00D60203">
        <w:rPr>
          <w:rFonts w:ascii="Arial Narrow" w:hAnsi="Arial Narrow"/>
          <w:sz w:val="20"/>
          <w:szCs w:val="20"/>
        </w:rPr>
        <w:t xml:space="preserve"> 2869-2025 del 15.08.2025, vigente a partir del 1 de setiembre del 2025.</w:t>
      </w:r>
      <w:r w:rsidR="00887525" w:rsidRPr="00887525">
        <w:rPr>
          <w:rFonts w:ascii="Arial Narrow" w:hAnsi="Arial Narrow"/>
          <w:sz w:val="18"/>
          <w:szCs w:val="18"/>
        </w:rPr>
        <w:t xml:space="preserve"> </w:t>
      </w:r>
      <w:r w:rsidR="00887525" w:rsidRPr="00315096">
        <w:rPr>
          <w:rFonts w:ascii="Arial Narrow" w:hAnsi="Arial Narrow"/>
          <w:sz w:val="20"/>
          <w:szCs w:val="20"/>
        </w:rPr>
        <w:t xml:space="preserve">Posteriormente se modificó mediante la Resol. SBS </w:t>
      </w:r>
      <w:proofErr w:type="spellStart"/>
      <w:r w:rsidR="00887525" w:rsidRPr="00315096">
        <w:rPr>
          <w:rFonts w:ascii="Arial Narrow" w:hAnsi="Arial Narrow"/>
          <w:sz w:val="20"/>
          <w:szCs w:val="20"/>
        </w:rPr>
        <w:t>N°</w:t>
      </w:r>
      <w:proofErr w:type="spellEnd"/>
      <w:r w:rsidR="00887525" w:rsidRPr="00315096">
        <w:rPr>
          <w:rFonts w:ascii="Arial Narrow" w:hAnsi="Arial Narrow"/>
          <w:sz w:val="20"/>
          <w:szCs w:val="20"/>
        </w:rPr>
        <w:t xml:space="preserve"> 4347-2024 en vigencia a partir de marzo de 2026.</w:t>
      </w:r>
    </w:p>
    <w:p w14:paraId="24A5EAB0" w14:textId="03F51616" w:rsidR="00C0793E" w:rsidRPr="00D60203" w:rsidRDefault="007E797D" w:rsidP="00935B0A">
      <w:pPr>
        <w:tabs>
          <w:tab w:val="left" w:pos="7685"/>
        </w:tabs>
        <w:spacing w:before="40"/>
        <w:jc w:val="both"/>
        <w:rPr>
          <w:rFonts w:ascii="Arial Narrow" w:hAnsi="Arial Narrow"/>
          <w:sz w:val="22"/>
          <w:szCs w:val="22"/>
        </w:rPr>
      </w:pPr>
      <w:r w:rsidRPr="00935B0A">
        <w:rPr>
          <w:rFonts w:ascii="Arial Narrow" w:hAnsi="Arial Narrow"/>
          <w:sz w:val="20"/>
          <w:szCs w:val="20"/>
          <w:vertAlign w:val="superscript"/>
        </w:rPr>
        <w:t>7.</w:t>
      </w:r>
      <w:r w:rsidR="00D4589A" w:rsidRPr="00935B0A">
        <w:rPr>
          <w:rFonts w:ascii="Arial Narrow" w:hAnsi="Arial Narrow"/>
          <w:sz w:val="20"/>
          <w:szCs w:val="20"/>
          <w:vertAlign w:val="superscript"/>
        </w:rPr>
        <w:t>1</w:t>
      </w:r>
      <w:r w:rsidRPr="00935B0A">
        <w:rPr>
          <w:rFonts w:ascii="Arial Narrow" w:hAnsi="Arial Narrow"/>
          <w:sz w:val="20"/>
          <w:szCs w:val="20"/>
        </w:rPr>
        <w:t xml:space="preserve"> Aprobado por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9075-2012 del 05-12-2012. Vigente a partir de la información de diciembre de 2013. Posteriormente, modificado por Res.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3225-2014 del 29.05.2014 y Res.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4128-2014 del 01.07.14.</w:t>
      </w:r>
      <w:r w:rsidR="003906B7" w:rsidRPr="00935B0A">
        <w:rPr>
          <w:rFonts w:ascii="Arial Narrow" w:hAnsi="Arial Narrow"/>
          <w:sz w:val="20"/>
          <w:szCs w:val="20"/>
        </w:rPr>
        <w:t xml:space="preserve"> Posteriormente modificado por Res. SBS </w:t>
      </w:r>
      <w:proofErr w:type="spellStart"/>
      <w:r w:rsidR="003906B7" w:rsidRPr="00935B0A">
        <w:rPr>
          <w:rFonts w:ascii="Arial Narrow" w:hAnsi="Arial Narrow"/>
          <w:sz w:val="20"/>
          <w:szCs w:val="20"/>
        </w:rPr>
        <w:t>N°</w:t>
      </w:r>
      <w:proofErr w:type="spellEnd"/>
      <w:r w:rsidR="003906B7" w:rsidRPr="00935B0A">
        <w:rPr>
          <w:rFonts w:ascii="Arial Narrow" w:hAnsi="Arial Narrow"/>
          <w:sz w:val="20"/>
          <w:szCs w:val="20"/>
        </w:rPr>
        <w:t xml:space="preserve"> 5254-2014 del 12.08.2014 vigente a partir de la información de setiembre de 2014.</w:t>
      </w:r>
      <w:r w:rsidR="00873BE8" w:rsidRPr="00935B0A">
        <w:rPr>
          <w:rFonts w:ascii="Arial Narrow" w:hAnsi="Arial Narrow"/>
          <w:sz w:val="20"/>
          <w:szCs w:val="20"/>
        </w:rPr>
        <w:t xml:space="preserve"> Posteriormente, modificado mediante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6231-2015 del 14.10.2015, vigente a partir de la información de enero de 2016.</w:t>
      </w:r>
      <w:r w:rsidR="00C0793E" w:rsidRPr="00935B0A">
        <w:rPr>
          <w:rFonts w:ascii="Arial Narrow" w:hAnsi="Arial Narrow"/>
          <w:sz w:val="20"/>
          <w:szCs w:val="20"/>
        </w:rPr>
        <w:t xml:space="preserve"> Posteriormente, modificado el Anexo 15-C por la Resolución SBS </w:t>
      </w:r>
      <w:proofErr w:type="spellStart"/>
      <w:r w:rsidR="00C0793E" w:rsidRPr="00935B0A">
        <w:rPr>
          <w:rFonts w:ascii="Arial Narrow" w:hAnsi="Arial Narrow"/>
          <w:sz w:val="20"/>
          <w:szCs w:val="20"/>
        </w:rPr>
        <w:t>N°</w:t>
      </w:r>
      <w:proofErr w:type="spellEnd"/>
      <w:r w:rsidR="00C0793E" w:rsidRPr="00935B0A">
        <w:rPr>
          <w:rFonts w:ascii="Arial Narrow" w:hAnsi="Arial Narrow"/>
          <w:sz w:val="20"/>
          <w:szCs w:val="20"/>
        </w:rPr>
        <w:t xml:space="preserve"> 682 – 2019 del 20.02.2019 vigente a partir del 01 de julio del 2019.</w:t>
      </w:r>
      <w:r w:rsidR="004250EC">
        <w:rPr>
          <w:rFonts w:ascii="Arial Narrow" w:hAnsi="Arial Narrow"/>
          <w:sz w:val="20"/>
          <w:szCs w:val="20"/>
        </w:rPr>
        <w:t xml:space="preserve"> </w:t>
      </w:r>
      <w:r w:rsidR="004250EC" w:rsidRPr="004250EC">
        <w:rPr>
          <w:rFonts w:ascii="Arial Narrow" w:hAnsi="Arial Narrow"/>
          <w:sz w:val="20"/>
          <w:szCs w:val="20"/>
        </w:rPr>
        <w:t xml:space="preserve">Posteriormente modificado a través de la Resolución SBS </w:t>
      </w:r>
      <w:proofErr w:type="spellStart"/>
      <w:r w:rsidR="004250EC" w:rsidRPr="004250EC">
        <w:rPr>
          <w:rFonts w:ascii="Arial Narrow" w:hAnsi="Arial Narrow"/>
          <w:sz w:val="20"/>
          <w:szCs w:val="20"/>
        </w:rPr>
        <w:t>N°</w:t>
      </w:r>
      <w:proofErr w:type="spellEnd"/>
      <w:r w:rsidR="004250EC" w:rsidRPr="004250EC">
        <w:rPr>
          <w:rFonts w:ascii="Arial Narrow" w:hAnsi="Arial Narrow"/>
          <w:sz w:val="20"/>
          <w:szCs w:val="20"/>
        </w:rPr>
        <w:t xml:space="preserve"> 4221-2023 publicada el 22.12.2023, vigente a partir de la información de diciembre 2024. En la misma resolución, modifica el plazo máximo de su remisión a partir del 01 de enero de 2024.</w:t>
      </w:r>
      <w:r w:rsidR="00D24E52" w:rsidRPr="00D24E52">
        <w:rPr>
          <w:rFonts w:ascii="Arial Narrow" w:hAnsi="Arial Narrow"/>
          <w:sz w:val="18"/>
          <w:szCs w:val="18"/>
        </w:rPr>
        <w:t xml:space="preserve"> </w:t>
      </w:r>
      <w:r w:rsidR="00D24E52">
        <w:rPr>
          <w:rFonts w:ascii="Arial Narrow" w:hAnsi="Arial Narrow"/>
          <w:sz w:val="20"/>
          <w:szCs w:val="20"/>
        </w:rPr>
        <w:t>Posteriormente se modificó el Anexo 15-C</w:t>
      </w:r>
      <w:r w:rsidR="00D24E52" w:rsidRPr="00D60203">
        <w:rPr>
          <w:rFonts w:ascii="Arial Narrow" w:hAnsi="Arial Narrow"/>
          <w:sz w:val="20"/>
          <w:szCs w:val="20"/>
        </w:rPr>
        <w:t xml:space="preserve"> por la Resolución SBS </w:t>
      </w:r>
      <w:proofErr w:type="spellStart"/>
      <w:r w:rsidR="00D24E52" w:rsidRPr="00D60203">
        <w:rPr>
          <w:rFonts w:ascii="Arial Narrow" w:hAnsi="Arial Narrow"/>
          <w:sz w:val="20"/>
          <w:szCs w:val="20"/>
        </w:rPr>
        <w:t>N°</w:t>
      </w:r>
      <w:proofErr w:type="spellEnd"/>
      <w:r w:rsidR="00D24E52" w:rsidRPr="00D60203">
        <w:rPr>
          <w:rFonts w:ascii="Arial Narrow" w:hAnsi="Arial Narrow"/>
          <w:sz w:val="20"/>
          <w:szCs w:val="20"/>
        </w:rPr>
        <w:t xml:space="preserve"> 2869-2025 del 15.08.2025, vigente a partir del 1 de setiembre del 2025.</w:t>
      </w:r>
    </w:p>
    <w:p w14:paraId="0C292D05" w14:textId="77777777" w:rsidR="00965622" w:rsidRPr="00935B0A" w:rsidRDefault="00E32FCC"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8</w:t>
      </w:r>
      <w:r w:rsidR="00965622" w:rsidRPr="00935B0A">
        <w:rPr>
          <w:rFonts w:ascii="Arial Narrow" w:hAnsi="Arial Narrow"/>
          <w:sz w:val="20"/>
          <w:szCs w:val="20"/>
        </w:rPr>
        <w:t xml:space="preserve"> </w:t>
      </w:r>
      <w:proofErr w:type="gramStart"/>
      <w:r w:rsidR="00700F45" w:rsidRPr="00935B0A">
        <w:rPr>
          <w:rFonts w:ascii="Arial Narrow" w:hAnsi="Arial Narrow"/>
          <w:sz w:val="20"/>
          <w:szCs w:val="20"/>
        </w:rPr>
        <w:t>Aprobado</w:t>
      </w:r>
      <w:proofErr w:type="gramEnd"/>
      <w:r w:rsidR="00700F45" w:rsidRPr="00935B0A">
        <w:rPr>
          <w:rFonts w:ascii="Arial Narrow" w:hAnsi="Arial Narrow"/>
          <w:sz w:val="20"/>
          <w:szCs w:val="20"/>
        </w:rPr>
        <w:t xml:space="preserve"> por Resolución SBS </w:t>
      </w:r>
      <w:proofErr w:type="spellStart"/>
      <w:r w:rsidR="00700F45" w:rsidRPr="00935B0A">
        <w:rPr>
          <w:rFonts w:ascii="Arial Narrow" w:hAnsi="Arial Narrow"/>
          <w:sz w:val="20"/>
          <w:szCs w:val="20"/>
        </w:rPr>
        <w:t>N°</w:t>
      </w:r>
      <w:proofErr w:type="spellEnd"/>
      <w:r w:rsidR="00700F45" w:rsidRPr="00935B0A">
        <w:rPr>
          <w:rFonts w:ascii="Arial Narrow" w:hAnsi="Arial Narrow"/>
          <w:sz w:val="20"/>
          <w:szCs w:val="20"/>
        </w:rPr>
        <w:t xml:space="preserve"> 9075-2012 del 05-12-2012, modificada por la Resol. SBS </w:t>
      </w:r>
      <w:proofErr w:type="spellStart"/>
      <w:r w:rsidR="00700F45" w:rsidRPr="00935B0A">
        <w:rPr>
          <w:rFonts w:ascii="Arial Narrow" w:hAnsi="Arial Narrow"/>
          <w:sz w:val="20"/>
          <w:szCs w:val="20"/>
        </w:rPr>
        <w:t>N°</w:t>
      </w:r>
      <w:proofErr w:type="spellEnd"/>
      <w:r w:rsidR="00700F45" w:rsidRPr="00935B0A">
        <w:rPr>
          <w:rFonts w:ascii="Arial Narrow" w:hAnsi="Arial Narrow"/>
          <w:sz w:val="20"/>
          <w:szCs w:val="20"/>
        </w:rPr>
        <w:t xml:space="preserve"> 4602-2013 del 31.07.2013, Resol. SBS </w:t>
      </w:r>
      <w:proofErr w:type="spellStart"/>
      <w:r w:rsidR="00700F45" w:rsidRPr="00935B0A">
        <w:rPr>
          <w:rFonts w:ascii="Arial Narrow" w:hAnsi="Arial Narrow"/>
          <w:sz w:val="20"/>
          <w:szCs w:val="20"/>
        </w:rPr>
        <w:t>N°</w:t>
      </w:r>
      <w:proofErr w:type="spellEnd"/>
      <w:r w:rsidR="00700F45" w:rsidRPr="00935B0A">
        <w:rPr>
          <w:rFonts w:ascii="Arial Narrow" w:hAnsi="Arial Narrow"/>
          <w:sz w:val="20"/>
          <w:szCs w:val="20"/>
        </w:rPr>
        <w:t xml:space="preserve"> 4829-2013 del 15.08.2013 y Resol. SBS </w:t>
      </w:r>
      <w:proofErr w:type="spellStart"/>
      <w:r w:rsidR="00700F45" w:rsidRPr="00935B0A">
        <w:rPr>
          <w:rFonts w:ascii="Arial Narrow" w:hAnsi="Arial Narrow"/>
          <w:sz w:val="20"/>
          <w:szCs w:val="20"/>
        </w:rPr>
        <w:t>N°</w:t>
      </w:r>
      <w:proofErr w:type="spellEnd"/>
      <w:r w:rsidR="00700F45" w:rsidRPr="00935B0A">
        <w:rPr>
          <w:rFonts w:ascii="Arial Narrow" w:hAnsi="Arial Narrow"/>
          <w:sz w:val="20"/>
          <w:szCs w:val="20"/>
        </w:rPr>
        <w:t xml:space="preserve"> 5760-2013 del 19.09.2013. Vigente a partir de la información de diciembre de 2013.</w:t>
      </w:r>
      <w:r w:rsidR="00191981" w:rsidRPr="00935B0A">
        <w:rPr>
          <w:rFonts w:ascii="Arial Narrow" w:hAnsi="Arial Narrow"/>
          <w:sz w:val="20"/>
          <w:szCs w:val="20"/>
        </w:rPr>
        <w:t xml:space="preserve"> </w:t>
      </w:r>
      <w:r w:rsidR="0042112D" w:rsidRPr="00935B0A">
        <w:rPr>
          <w:rFonts w:ascii="Arial Narrow" w:hAnsi="Arial Narrow"/>
          <w:sz w:val="20"/>
          <w:szCs w:val="20"/>
        </w:rPr>
        <w:t xml:space="preserve">Posteriormente, modificado por Res. SBS </w:t>
      </w:r>
      <w:proofErr w:type="spellStart"/>
      <w:r w:rsidR="0042112D" w:rsidRPr="00935B0A">
        <w:rPr>
          <w:rFonts w:ascii="Arial Narrow" w:hAnsi="Arial Narrow"/>
          <w:sz w:val="20"/>
          <w:szCs w:val="20"/>
        </w:rPr>
        <w:t>N°</w:t>
      </w:r>
      <w:proofErr w:type="spellEnd"/>
      <w:r w:rsidR="0042112D" w:rsidRPr="00935B0A">
        <w:rPr>
          <w:rFonts w:ascii="Arial Narrow" w:hAnsi="Arial Narrow"/>
          <w:sz w:val="20"/>
          <w:szCs w:val="20"/>
        </w:rPr>
        <w:t xml:space="preserve"> 3225-2014 del 29.05.2014 y Res. SBS </w:t>
      </w:r>
      <w:proofErr w:type="spellStart"/>
      <w:r w:rsidR="0042112D" w:rsidRPr="00935B0A">
        <w:rPr>
          <w:rFonts w:ascii="Arial Narrow" w:hAnsi="Arial Narrow"/>
          <w:sz w:val="20"/>
          <w:szCs w:val="20"/>
        </w:rPr>
        <w:t>N°</w:t>
      </w:r>
      <w:proofErr w:type="spellEnd"/>
      <w:r w:rsidR="0042112D" w:rsidRPr="00935B0A">
        <w:rPr>
          <w:rFonts w:ascii="Arial Narrow" w:hAnsi="Arial Narrow"/>
          <w:sz w:val="20"/>
          <w:szCs w:val="20"/>
        </w:rPr>
        <w:t xml:space="preserve"> 4128-2014 del 01.07.14.</w:t>
      </w:r>
      <w:r w:rsidR="00873BE8" w:rsidRPr="00935B0A">
        <w:rPr>
          <w:rFonts w:ascii="Arial Narrow" w:hAnsi="Arial Narrow"/>
          <w:sz w:val="20"/>
          <w:szCs w:val="20"/>
        </w:rPr>
        <w:t xml:space="preserve"> Posteriormente, modificado mediante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6231-2015 del 14.10.2015, vigente a partir de la información de enero de 2016.</w:t>
      </w:r>
      <w:r w:rsidR="00571F02" w:rsidRPr="00935B0A">
        <w:rPr>
          <w:rFonts w:ascii="Arial Narrow" w:hAnsi="Arial Narrow"/>
          <w:sz w:val="20"/>
          <w:szCs w:val="20"/>
        </w:rPr>
        <w:t xml:space="preserve"> Posteriormente modificado el plazo máximo para su remisión a través de la Resolución SBS </w:t>
      </w:r>
      <w:proofErr w:type="spellStart"/>
      <w:r w:rsidR="00571F02" w:rsidRPr="00935B0A">
        <w:rPr>
          <w:rFonts w:ascii="Arial Narrow" w:hAnsi="Arial Narrow"/>
          <w:sz w:val="20"/>
          <w:szCs w:val="20"/>
        </w:rPr>
        <w:t>N°</w:t>
      </w:r>
      <w:proofErr w:type="spellEnd"/>
      <w:r w:rsidR="00571F02" w:rsidRPr="00935B0A">
        <w:rPr>
          <w:rFonts w:ascii="Arial Narrow" w:hAnsi="Arial Narrow"/>
          <w:sz w:val="20"/>
          <w:szCs w:val="20"/>
        </w:rPr>
        <w:t xml:space="preserve"> 2405 – 2019 del 30.05.2019 vigente a partir del 01 de junio del 2019.</w:t>
      </w:r>
      <w:r w:rsidR="004250EC">
        <w:rPr>
          <w:rFonts w:ascii="Arial Narrow" w:hAnsi="Arial Narrow"/>
          <w:sz w:val="20"/>
          <w:szCs w:val="20"/>
        </w:rPr>
        <w:t xml:space="preserve"> </w:t>
      </w:r>
      <w:r w:rsidR="004250EC" w:rsidRPr="004250EC">
        <w:rPr>
          <w:rFonts w:ascii="Arial Narrow" w:hAnsi="Arial Narrow"/>
          <w:sz w:val="20"/>
          <w:szCs w:val="20"/>
        </w:rPr>
        <w:t xml:space="preserve">Posteriormente modificado el plazo máximo para su remisión mediante la Res. SBS </w:t>
      </w:r>
      <w:proofErr w:type="spellStart"/>
      <w:r w:rsidR="004250EC" w:rsidRPr="004250EC">
        <w:rPr>
          <w:rFonts w:ascii="Arial Narrow" w:hAnsi="Arial Narrow"/>
          <w:sz w:val="20"/>
          <w:szCs w:val="20"/>
        </w:rPr>
        <w:t>N°</w:t>
      </w:r>
      <w:proofErr w:type="spellEnd"/>
      <w:r w:rsidR="004250EC" w:rsidRPr="004250EC">
        <w:rPr>
          <w:rFonts w:ascii="Arial Narrow" w:hAnsi="Arial Narrow"/>
          <w:sz w:val="20"/>
          <w:szCs w:val="20"/>
        </w:rPr>
        <w:t xml:space="preserve"> 4221-2023 publicada el 22.12.2023 vigente a partir del 01 de enero de 2024</w:t>
      </w:r>
      <w:r w:rsidR="004250EC">
        <w:rPr>
          <w:rFonts w:ascii="Arial Narrow" w:hAnsi="Arial Narrow"/>
          <w:sz w:val="20"/>
          <w:szCs w:val="20"/>
        </w:rPr>
        <w:t>.</w:t>
      </w:r>
    </w:p>
    <w:p w14:paraId="22B0CC72" w14:textId="77777777" w:rsidR="0042112D" w:rsidRDefault="007271AF"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9</w:t>
      </w:r>
      <w:r w:rsidR="004410C1" w:rsidRPr="00935B0A">
        <w:rPr>
          <w:rFonts w:ascii="Arial Narrow" w:hAnsi="Arial Narrow"/>
          <w:sz w:val="20"/>
          <w:szCs w:val="20"/>
        </w:rPr>
        <w:t xml:space="preserve"> </w:t>
      </w:r>
      <w:proofErr w:type="gramStart"/>
      <w:r w:rsidR="004410C1" w:rsidRPr="00935B0A">
        <w:rPr>
          <w:rFonts w:ascii="Arial Narrow" w:hAnsi="Arial Narrow"/>
          <w:sz w:val="20"/>
          <w:szCs w:val="20"/>
        </w:rPr>
        <w:t>Aprobado</w:t>
      </w:r>
      <w:proofErr w:type="gramEnd"/>
      <w:r w:rsidR="004410C1" w:rsidRPr="00935B0A">
        <w:rPr>
          <w:rFonts w:ascii="Arial Narrow" w:hAnsi="Arial Narrow"/>
          <w:sz w:val="20"/>
          <w:szCs w:val="20"/>
        </w:rPr>
        <w:t xml:space="preserve"> por Resolución SBS </w:t>
      </w:r>
      <w:proofErr w:type="spellStart"/>
      <w:r w:rsidR="004410C1" w:rsidRPr="00935B0A">
        <w:rPr>
          <w:rFonts w:ascii="Arial Narrow" w:hAnsi="Arial Narrow"/>
          <w:sz w:val="20"/>
          <w:szCs w:val="20"/>
        </w:rPr>
        <w:t>N°</w:t>
      </w:r>
      <w:proofErr w:type="spellEnd"/>
      <w:r w:rsidR="004410C1" w:rsidRPr="00935B0A">
        <w:rPr>
          <w:rFonts w:ascii="Arial Narrow" w:hAnsi="Arial Narrow"/>
          <w:sz w:val="20"/>
          <w:szCs w:val="20"/>
        </w:rPr>
        <w:t xml:space="preserve"> 9075-2012 del 05-12-2012, modificada por la Resol. SBS </w:t>
      </w:r>
      <w:proofErr w:type="spellStart"/>
      <w:r w:rsidR="004410C1" w:rsidRPr="00935B0A">
        <w:rPr>
          <w:rFonts w:ascii="Arial Narrow" w:hAnsi="Arial Narrow"/>
          <w:sz w:val="20"/>
          <w:szCs w:val="20"/>
        </w:rPr>
        <w:t>N°</w:t>
      </w:r>
      <w:proofErr w:type="spellEnd"/>
      <w:r w:rsidR="004410C1" w:rsidRPr="00935B0A">
        <w:rPr>
          <w:rFonts w:ascii="Arial Narrow" w:hAnsi="Arial Narrow"/>
          <w:sz w:val="20"/>
          <w:szCs w:val="20"/>
        </w:rPr>
        <w:t xml:space="preserve"> 4602-2013 del 31.07.2013, Resol. SBS </w:t>
      </w:r>
      <w:proofErr w:type="spellStart"/>
      <w:r w:rsidR="004410C1" w:rsidRPr="00935B0A">
        <w:rPr>
          <w:rFonts w:ascii="Arial Narrow" w:hAnsi="Arial Narrow"/>
          <w:sz w:val="20"/>
          <w:szCs w:val="20"/>
        </w:rPr>
        <w:t>N°</w:t>
      </w:r>
      <w:proofErr w:type="spellEnd"/>
      <w:r w:rsidR="004410C1" w:rsidRPr="00935B0A">
        <w:rPr>
          <w:rFonts w:ascii="Arial Narrow" w:hAnsi="Arial Narrow"/>
          <w:sz w:val="20"/>
          <w:szCs w:val="20"/>
        </w:rPr>
        <w:t xml:space="preserve"> 4829-2013 del 15.08.2013 y Resol. SBS </w:t>
      </w:r>
      <w:proofErr w:type="spellStart"/>
      <w:r w:rsidR="004410C1" w:rsidRPr="00935B0A">
        <w:rPr>
          <w:rFonts w:ascii="Arial Narrow" w:hAnsi="Arial Narrow"/>
          <w:sz w:val="20"/>
          <w:szCs w:val="20"/>
        </w:rPr>
        <w:t>N°</w:t>
      </w:r>
      <w:proofErr w:type="spellEnd"/>
      <w:r w:rsidR="004410C1" w:rsidRPr="00935B0A">
        <w:rPr>
          <w:rFonts w:ascii="Arial Narrow" w:hAnsi="Arial Narrow"/>
          <w:sz w:val="20"/>
          <w:szCs w:val="20"/>
        </w:rPr>
        <w:t xml:space="preserve"> 5760-2013 del 19.09.2013. Vigente a partir de la información de diciembre de 2013.</w:t>
      </w:r>
      <w:r w:rsidR="00191981" w:rsidRPr="00935B0A">
        <w:rPr>
          <w:rFonts w:ascii="Arial Narrow" w:hAnsi="Arial Narrow"/>
          <w:sz w:val="20"/>
          <w:szCs w:val="20"/>
        </w:rPr>
        <w:t xml:space="preserve"> </w:t>
      </w:r>
      <w:r w:rsidR="0042112D" w:rsidRPr="00935B0A">
        <w:rPr>
          <w:rFonts w:ascii="Arial Narrow" w:hAnsi="Arial Narrow"/>
          <w:sz w:val="20"/>
          <w:szCs w:val="20"/>
        </w:rPr>
        <w:t xml:space="preserve">Posteriormente, modificado por Res. SBS </w:t>
      </w:r>
      <w:proofErr w:type="spellStart"/>
      <w:r w:rsidR="0042112D" w:rsidRPr="00935B0A">
        <w:rPr>
          <w:rFonts w:ascii="Arial Narrow" w:hAnsi="Arial Narrow"/>
          <w:sz w:val="20"/>
          <w:szCs w:val="20"/>
        </w:rPr>
        <w:t>N°</w:t>
      </w:r>
      <w:proofErr w:type="spellEnd"/>
      <w:r w:rsidR="0042112D" w:rsidRPr="00935B0A">
        <w:rPr>
          <w:rFonts w:ascii="Arial Narrow" w:hAnsi="Arial Narrow"/>
          <w:sz w:val="20"/>
          <w:szCs w:val="20"/>
        </w:rPr>
        <w:t xml:space="preserve"> 3225-2014 del 29.05.2014 y Res. SBS </w:t>
      </w:r>
      <w:proofErr w:type="spellStart"/>
      <w:r w:rsidR="0042112D" w:rsidRPr="00935B0A">
        <w:rPr>
          <w:rFonts w:ascii="Arial Narrow" w:hAnsi="Arial Narrow"/>
          <w:sz w:val="20"/>
          <w:szCs w:val="20"/>
        </w:rPr>
        <w:t>N°</w:t>
      </w:r>
      <w:proofErr w:type="spellEnd"/>
      <w:r w:rsidR="0042112D" w:rsidRPr="00935B0A">
        <w:rPr>
          <w:rFonts w:ascii="Arial Narrow" w:hAnsi="Arial Narrow"/>
          <w:sz w:val="20"/>
          <w:szCs w:val="20"/>
        </w:rPr>
        <w:t xml:space="preserve"> 4128-2014 del 01.07.14.</w:t>
      </w:r>
      <w:r w:rsidR="00873BE8" w:rsidRPr="00935B0A">
        <w:rPr>
          <w:rFonts w:ascii="Arial Narrow" w:hAnsi="Arial Narrow"/>
          <w:sz w:val="20"/>
          <w:szCs w:val="20"/>
        </w:rPr>
        <w:t xml:space="preserve"> Posteriormente, modificado mediante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6231-2015 del 14.10.2015, vigente a partir de la información de marzo de 2016.</w:t>
      </w:r>
      <w:r w:rsidR="00856CF1" w:rsidRPr="00935B0A">
        <w:rPr>
          <w:rFonts w:ascii="Arial Narrow" w:hAnsi="Arial Narrow"/>
          <w:sz w:val="20"/>
          <w:szCs w:val="20"/>
        </w:rPr>
        <w:t xml:space="preserve"> Posteriormente modificado el plazo máximo para su remisión a través de la Resolución SBS </w:t>
      </w:r>
      <w:proofErr w:type="spellStart"/>
      <w:r w:rsidR="00856CF1" w:rsidRPr="00935B0A">
        <w:rPr>
          <w:rFonts w:ascii="Arial Narrow" w:hAnsi="Arial Narrow"/>
          <w:sz w:val="20"/>
          <w:szCs w:val="20"/>
        </w:rPr>
        <w:lastRenderedPageBreak/>
        <w:t>N°</w:t>
      </w:r>
      <w:proofErr w:type="spellEnd"/>
      <w:r w:rsidR="00856CF1" w:rsidRPr="00935B0A">
        <w:rPr>
          <w:rFonts w:ascii="Arial Narrow" w:hAnsi="Arial Narrow"/>
          <w:sz w:val="20"/>
          <w:szCs w:val="20"/>
        </w:rPr>
        <w:t xml:space="preserve"> 2405 – 2019 del 30.05.2019 vigente a partir del 01 de junio del 2019.</w:t>
      </w:r>
      <w:r w:rsidR="004250EC">
        <w:rPr>
          <w:rFonts w:ascii="Arial Narrow" w:hAnsi="Arial Narrow"/>
          <w:sz w:val="20"/>
          <w:szCs w:val="20"/>
        </w:rPr>
        <w:t xml:space="preserve"> </w:t>
      </w:r>
      <w:r w:rsidR="004250EC" w:rsidRPr="004250EC">
        <w:rPr>
          <w:rFonts w:ascii="Arial Narrow" w:hAnsi="Arial Narrow"/>
          <w:sz w:val="20"/>
          <w:szCs w:val="20"/>
        </w:rPr>
        <w:t xml:space="preserve">Posteriormente modificado el plazo máximo para su remisión mediante la Res. SBS </w:t>
      </w:r>
      <w:proofErr w:type="spellStart"/>
      <w:r w:rsidR="004250EC" w:rsidRPr="004250EC">
        <w:rPr>
          <w:rFonts w:ascii="Arial Narrow" w:hAnsi="Arial Narrow"/>
          <w:sz w:val="20"/>
          <w:szCs w:val="20"/>
        </w:rPr>
        <w:t>N°</w:t>
      </w:r>
      <w:proofErr w:type="spellEnd"/>
      <w:r w:rsidR="004250EC" w:rsidRPr="004250EC">
        <w:rPr>
          <w:rFonts w:ascii="Arial Narrow" w:hAnsi="Arial Narrow"/>
          <w:sz w:val="20"/>
          <w:szCs w:val="20"/>
        </w:rPr>
        <w:t xml:space="preserve"> 4221-2023 publicada el 22.12.2023 vigente a partir del 01 de enero de 2024</w:t>
      </w:r>
    </w:p>
    <w:p w14:paraId="739FEAA8" w14:textId="57599714" w:rsidR="004250EC" w:rsidRPr="00935B0A" w:rsidRDefault="004250EC"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9</w:t>
      </w:r>
      <w:r>
        <w:rPr>
          <w:rFonts w:ascii="Arial Narrow" w:hAnsi="Arial Narrow"/>
          <w:sz w:val="20"/>
          <w:szCs w:val="20"/>
          <w:vertAlign w:val="superscript"/>
        </w:rPr>
        <w:t>.1</w:t>
      </w:r>
      <w:r w:rsidRPr="00935B0A">
        <w:rPr>
          <w:rFonts w:ascii="Arial Narrow" w:hAnsi="Arial Narrow"/>
          <w:sz w:val="20"/>
          <w:szCs w:val="20"/>
        </w:rPr>
        <w:t xml:space="preserve"> </w:t>
      </w:r>
      <w:r w:rsidRPr="004250EC">
        <w:rPr>
          <w:rFonts w:ascii="Arial Narrow" w:hAnsi="Arial Narrow"/>
          <w:sz w:val="20"/>
          <w:szCs w:val="20"/>
        </w:rPr>
        <w:t xml:space="preserve">Anexo incorporado por la Resolución SBS </w:t>
      </w:r>
      <w:proofErr w:type="spellStart"/>
      <w:r w:rsidRPr="004250EC">
        <w:rPr>
          <w:rFonts w:ascii="Arial Narrow" w:hAnsi="Arial Narrow"/>
          <w:sz w:val="20"/>
          <w:szCs w:val="20"/>
        </w:rPr>
        <w:t>N°</w:t>
      </w:r>
      <w:proofErr w:type="spellEnd"/>
      <w:r w:rsidRPr="004250EC">
        <w:rPr>
          <w:rFonts w:ascii="Arial Narrow" w:hAnsi="Arial Narrow"/>
          <w:sz w:val="20"/>
          <w:szCs w:val="20"/>
        </w:rPr>
        <w:t xml:space="preserve"> 4221-2023 publicada el 22.12.2023 vigente a partir de la información a diciembre 2024.</w:t>
      </w:r>
      <w:r w:rsidR="00887525" w:rsidRPr="00887525">
        <w:t xml:space="preserve"> </w:t>
      </w:r>
      <w:r w:rsidR="00887525" w:rsidRPr="00887525">
        <w:rPr>
          <w:rFonts w:ascii="Arial Narrow" w:hAnsi="Arial Narrow"/>
          <w:sz w:val="20"/>
          <w:szCs w:val="20"/>
        </w:rPr>
        <w:t xml:space="preserve">Posteriormente modificado por la Resol. SBS </w:t>
      </w:r>
      <w:proofErr w:type="spellStart"/>
      <w:r w:rsidR="00887525" w:rsidRPr="00887525">
        <w:rPr>
          <w:rFonts w:ascii="Arial Narrow" w:hAnsi="Arial Narrow"/>
          <w:sz w:val="20"/>
          <w:szCs w:val="20"/>
        </w:rPr>
        <w:t>N°</w:t>
      </w:r>
      <w:proofErr w:type="spellEnd"/>
      <w:r w:rsidR="00887525" w:rsidRPr="00887525">
        <w:rPr>
          <w:rFonts w:ascii="Arial Narrow" w:hAnsi="Arial Narrow"/>
          <w:sz w:val="20"/>
          <w:szCs w:val="20"/>
        </w:rPr>
        <w:t xml:space="preserve"> 4347-2024 en vigencia a partir de marzo de 2026.</w:t>
      </w:r>
    </w:p>
    <w:p w14:paraId="58FA268A" w14:textId="77777777" w:rsidR="005B1D87" w:rsidRPr="00935B0A" w:rsidRDefault="005B1D87"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10</w:t>
      </w:r>
      <w:r w:rsidRPr="00935B0A">
        <w:rPr>
          <w:rFonts w:ascii="Arial Narrow" w:hAnsi="Arial Narrow"/>
          <w:sz w:val="20"/>
          <w:szCs w:val="20"/>
        </w:rPr>
        <w:t xml:space="preserve"> </w:t>
      </w:r>
      <w:proofErr w:type="gramStart"/>
      <w:r w:rsidRPr="00935B0A">
        <w:rPr>
          <w:rFonts w:ascii="Arial Narrow" w:hAnsi="Arial Narrow"/>
          <w:sz w:val="20"/>
          <w:szCs w:val="20"/>
        </w:rPr>
        <w:t>Incorporado</w:t>
      </w:r>
      <w:proofErr w:type="gramEnd"/>
      <w:r w:rsidRPr="00935B0A">
        <w:rPr>
          <w:rFonts w:ascii="Arial Narrow" w:hAnsi="Arial Narrow"/>
          <w:sz w:val="20"/>
          <w:szCs w:val="20"/>
        </w:rPr>
        <w:t xml:space="preserve"> por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4595-2009 del 27.05.2009</w:t>
      </w:r>
      <w:r w:rsidR="007D7005" w:rsidRPr="00935B0A">
        <w:rPr>
          <w:rFonts w:ascii="Arial Narrow" w:hAnsi="Arial Narrow"/>
          <w:sz w:val="20"/>
          <w:szCs w:val="20"/>
        </w:rPr>
        <w:t xml:space="preserve"> a partir de la información de julio de 2009.</w:t>
      </w:r>
      <w:r w:rsidR="00DA0FF0" w:rsidRPr="00935B0A">
        <w:rPr>
          <w:rFonts w:ascii="Arial Narrow" w:hAnsi="Arial Narrow"/>
          <w:sz w:val="20"/>
          <w:szCs w:val="20"/>
        </w:rPr>
        <w:t xml:space="preserve"> Posteriormente sustituido el formato por la Res.</w:t>
      </w:r>
      <w:r w:rsidR="00F3460E">
        <w:rPr>
          <w:rFonts w:ascii="Arial Narrow" w:hAnsi="Arial Narrow"/>
          <w:sz w:val="20"/>
          <w:szCs w:val="20"/>
        </w:rPr>
        <w:t xml:space="preserve"> SBS </w:t>
      </w:r>
      <w:proofErr w:type="spellStart"/>
      <w:r w:rsidR="00F3460E">
        <w:rPr>
          <w:rFonts w:ascii="Arial Narrow" w:hAnsi="Arial Narrow"/>
          <w:sz w:val="20"/>
          <w:szCs w:val="20"/>
        </w:rPr>
        <w:t>N°</w:t>
      </w:r>
      <w:proofErr w:type="spellEnd"/>
      <w:r w:rsidR="00F3460E">
        <w:rPr>
          <w:rFonts w:ascii="Arial Narrow" w:hAnsi="Arial Narrow"/>
          <w:sz w:val="20"/>
          <w:szCs w:val="20"/>
        </w:rPr>
        <w:t xml:space="preserve"> 681-2018 del 21.02.2018. </w:t>
      </w:r>
      <w:r w:rsidR="00F3460E" w:rsidRPr="00935B0A">
        <w:rPr>
          <w:rFonts w:ascii="Arial Narrow" w:hAnsi="Arial Narrow"/>
          <w:sz w:val="20"/>
          <w:szCs w:val="20"/>
        </w:rPr>
        <w:t>Posteriormente sustituido e</w:t>
      </w:r>
      <w:r w:rsidR="00F3460E">
        <w:rPr>
          <w:rFonts w:ascii="Arial Narrow" w:hAnsi="Arial Narrow"/>
          <w:sz w:val="20"/>
          <w:szCs w:val="20"/>
        </w:rPr>
        <w:t xml:space="preserve">l formato por la Res. SBS </w:t>
      </w:r>
      <w:proofErr w:type="spellStart"/>
      <w:r w:rsidR="00F3460E">
        <w:rPr>
          <w:rFonts w:ascii="Arial Narrow" w:hAnsi="Arial Narrow"/>
          <w:sz w:val="20"/>
          <w:szCs w:val="20"/>
        </w:rPr>
        <w:t>N°</w:t>
      </w:r>
      <w:proofErr w:type="spellEnd"/>
      <w:r w:rsidR="00F3460E">
        <w:rPr>
          <w:rFonts w:ascii="Arial Narrow" w:hAnsi="Arial Narrow"/>
          <w:sz w:val="20"/>
          <w:szCs w:val="20"/>
        </w:rPr>
        <w:t xml:space="preserve"> 3951-2022 del 22.12.2022</w:t>
      </w:r>
      <w:r w:rsidR="00C37C21">
        <w:rPr>
          <w:rFonts w:ascii="Arial Narrow" w:hAnsi="Arial Narrow"/>
          <w:sz w:val="20"/>
          <w:szCs w:val="20"/>
        </w:rPr>
        <w:t>.</w:t>
      </w:r>
      <w:r w:rsidR="004D3BA7" w:rsidRPr="004D3BA7">
        <w:t xml:space="preserve"> </w:t>
      </w:r>
      <w:r w:rsidR="004D3BA7" w:rsidRPr="004D3BA7">
        <w:rPr>
          <w:rFonts w:ascii="Arial Narrow" w:hAnsi="Arial Narrow"/>
          <w:sz w:val="20"/>
          <w:szCs w:val="20"/>
        </w:rPr>
        <w:t xml:space="preserve">Notas modificadas por la Res. SBS </w:t>
      </w:r>
      <w:proofErr w:type="spellStart"/>
      <w:r w:rsidR="004D3BA7" w:rsidRPr="004D3BA7">
        <w:rPr>
          <w:rFonts w:ascii="Arial Narrow" w:hAnsi="Arial Narrow"/>
          <w:sz w:val="20"/>
          <w:szCs w:val="20"/>
        </w:rPr>
        <w:t>N°</w:t>
      </w:r>
      <w:proofErr w:type="spellEnd"/>
      <w:r w:rsidR="004D3BA7" w:rsidRPr="004D3BA7">
        <w:rPr>
          <w:rFonts w:ascii="Arial Narrow" w:hAnsi="Arial Narrow"/>
          <w:sz w:val="20"/>
          <w:szCs w:val="20"/>
        </w:rPr>
        <w:t xml:space="preserve"> 3212-2023 del 27.09.23</w:t>
      </w:r>
    </w:p>
    <w:p w14:paraId="0FA5718C" w14:textId="77777777" w:rsidR="007D7005" w:rsidRPr="00935B0A" w:rsidRDefault="005B1D87" w:rsidP="00935B0A">
      <w:pPr>
        <w:tabs>
          <w:tab w:val="left" w:pos="7685"/>
        </w:tabs>
        <w:spacing w:before="40"/>
        <w:jc w:val="both"/>
        <w:outlineLvl w:val="0"/>
        <w:rPr>
          <w:rFonts w:ascii="Arial Narrow" w:hAnsi="Arial Narrow"/>
          <w:sz w:val="20"/>
          <w:szCs w:val="20"/>
        </w:rPr>
      </w:pPr>
      <w:r w:rsidRPr="00935B0A">
        <w:rPr>
          <w:rFonts w:ascii="Arial Narrow" w:hAnsi="Arial Narrow"/>
          <w:sz w:val="20"/>
          <w:szCs w:val="20"/>
          <w:vertAlign w:val="superscript"/>
        </w:rPr>
        <w:t>10.</w:t>
      </w:r>
      <w:r w:rsidR="007271AF" w:rsidRPr="00935B0A">
        <w:rPr>
          <w:rFonts w:ascii="Arial Narrow" w:hAnsi="Arial Narrow"/>
          <w:sz w:val="20"/>
          <w:szCs w:val="20"/>
          <w:vertAlign w:val="superscript"/>
        </w:rPr>
        <w:t>1</w:t>
      </w:r>
      <w:r w:rsidRPr="00935B0A">
        <w:rPr>
          <w:rFonts w:ascii="Arial Narrow" w:hAnsi="Arial Narrow"/>
          <w:sz w:val="20"/>
          <w:szCs w:val="20"/>
        </w:rPr>
        <w:t xml:space="preserve"> Sustituido el formato y modificada la denominación por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w:t>
      </w:r>
      <w:r w:rsidR="00E90FB3" w:rsidRPr="00935B0A">
        <w:rPr>
          <w:rFonts w:ascii="Arial Narrow" w:hAnsi="Arial Narrow"/>
          <w:sz w:val="20"/>
          <w:szCs w:val="20"/>
        </w:rPr>
        <w:t>4727-2009 del 29.05.2009. El Anexo 12-III fue eliminado por la misma Resolución.</w:t>
      </w:r>
      <w:r w:rsidR="007D7005" w:rsidRPr="00935B0A">
        <w:rPr>
          <w:rFonts w:ascii="Arial Narrow" w:hAnsi="Arial Narrow"/>
          <w:sz w:val="20"/>
          <w:szCs w:val="20"/>
        </w:rPr>
        <w:t xml:space="preserve"> Dichas modificaciones </w:t>
      </w:r>
      <w:proofErr w:type="gramStart"/>
      <w:r w:rsidR="007D7005" w:rsidRPr="00935B0A">
        <w:rPr>
          <w:rFonts w:ascii="Arial Narrow" w:hAnsi="Arial Narrow"/>
          <w:sz w:val="20"/>
          <w:szCs w:val="20"/>
        </w:rPr>
        <w:t>entran en vigencia</w:t>
      </w:r>
      <w:proofErr w:type="gramEnd"/>
      <w:r w:rsidR="007D7005" w:rsidRPr="00935B0A">
        <w:rPr>
          <w:rFonts w:ascii="Arial Narrow" w:hAnsi="Arial Narrow"/>
          <w:sz w:val="20"/>
          <w:szCs w:val="20"/>
        </w:rPr>
        <w:t xml:space="preserve"> a partir de la información de julio de 2009.</w:t>
      </w:r>
      <w:r w:rsidR="004B6E2C" w:rsidRPr="00935B0A">
        <w:rPr>
          <w:rFonts w:ascii="Arial Narrow" w:hAnsi="Arial Narrow"/>
          <w:sz w:val="20"/>
          <w:szCs w:val="20"/>
        </w:rPr>
        <w:t xml:space="preserve"> Mediante la Resolución SBS </w:t>
      </w:r>
      <w:proofErr w:type="spellStart"/>
      <w:r w:rsidR="004B6E2C" w:rsidRPr="00935B0A">
        <w:rPr>
          <w:rFonts w:ascii="Arial Narrow" w:hAnsi="Arial Narrow"/>
          <w:sz w:val="20"/>
          <w:szCs w:val="20"/>
        </w:rPr>
        <w:t>N°</w:t>
      </w:r>
      <w:proofErr w:type="spellEnd"/>
      <w:r w:rsidR="004B6E2C" w:rsidRPr="00935B0A">
        <w:rPr>
          <w:rFonts w:ascii="Arial Narrow" w:hAnsi="Arial Narrow"/>
          <w:sz w:val="20"/>
          <w:szCs w:val="20"/>
        </w:rPr>
        <w:t xml:space="preserve"> 9075-2016 del 24.02.2016 se modifica el formato del Anexo 12-II vigente a partir de julio 2016.</w:t>
      </w:r>
      <w:r w:rsidR="00F3460E">
        <w:rPr>
          <w:rFonts w:ascii="Arial Narrow" w:hAnsi="Arial Narrow"/>
          <w:sz w:val="20"/>
          <w:szCs w:val="20"/>
        </w:rPr>
        <w:t xml:space="preserve"> </w:t>
      </w:r>
      <w:r w:rsidR="00F3460E" w:rsidRPr="00935B0A">
        <w:rPr>
          <w:rFonts w:ascii="Arial Narrow" w:hAnsi="Arial Narrow"/>
          <w:sz w:val="20"/>
          <w:szCs w:val="20"/>
        </w:rPr>
        <w:t>Posteriormente sustituido e</w:t>
      </w:r>
      <w:r w:rsidR="00F3460E">
        <w:rPr>
          <w:rFonts w:ascii="Arial Narrow" w:hAnsi="Arial Narrow"/>
          <w:sz w:val="20"/>
          <w:szCs w:val="20"/>
        </w:rPr>
        <w:t xml:space="preserve">l formato por la Res. SBS </w:t>
      </w:r>
      <w:proofErr w:type="spellStart"/>
      <w:r w:rsidR="00F3460E">
        <w:rPr>
          <w:rFonts w:ascii="Arial Narrow" w:hAnsi="Arial Narrow"/>
          <w:sz w:val="20"/>
          <w:szCs w:val="20"/>
        </w:rPr>
        <w:t>N°</w:t>
      </w:r>
      <w:proofErr w:type="spellEnd"/>
      <w:r w:rsidR="00F3460E">
        <w:rPr>
          <w:rFonts w:ascii="Arial Narrow" w:hAnsi="Arial Narrow"/>
          <w:sz w:val="20"/>
          <w:szCs w:val="20"/>
        </w:rPr>
        <w:t xml:space="preserve"> 3950-2022 del 22.12.2022</w:t>
      </w:r>
      <w:r w:rsidR="00C37C21">
        <w:rPr>
          <w:rFonts w:ascii="Arial Narrow" w:hAnsi="Arial Narrow"/>
          <w:sz w:val="20"/>
          <w:szCs w:val="20"/>
        </w:rPr>
        <w:t>.</w:t>
      </w:r>
      <w:r w:rsidR="004D3BA7" w:rsidRPr="004D3BA7">
        <w:t xml:space="preserve"> </w:t>
      </w:r>
      <w:r w:rsidR="004D3BA7" w:rsidRPr="004D3BA7">
        <w:rPr>
          <w:rFonts w:ascii="Arial Narrow" w:hAnsi="Arial Narrow"/>
          <w:sz w:val="20"/>
          <w:szCs w:val="20"/>
        </w:rPr>
        <w:t xml:space="preserve">Notas modificadas por la Res. SBS </w:t>
      </w:r>
      <w:proofErr w:type="spellStart"/>
      <w:r w:rsidR="004D3BA7" w:rsidRPr="004D3BA7">
        <w:rPr>
          <w:rFonts w:ascii="Arial Narrow" w:hAnsi="Arial Narrow"/>
          <w:sz w:val="20"/>
          <w:szCs w:val="20"/>
        </w:rPr>
        <w:t>N°</w:t>
      </w:r>
      <w:proofErr w:type="spellEnd"/>
      <w:r w:rsidR="004D3BA7" w:rsidRPr="004D3BA7">
        <w:rPr>
          <w:rFonts w:ascii="Arial Narrow" w:hAnsi="Arial Narrow"/>
          <w:sz w:val="20"/>
          <w:szCs w:val="20"/>
        </w:rPr>
        <w:t xml:space="preserve"> 3212-2023 del 27.09.23</w:t>
      </w:r>
    </w:p>
    <w:p w14:paraId="5901D389" w14:textId="77777777" w:rsidR="00F27D26" w:rsidRPr="00935B0A" w:rsidRDefault="00F27D26" w:rsidP="00935B0A">
      <w:pPr>
        <w:tabs>
          <w:tab w:val="left" w:pos="7685"/>
        </w:tabs>
        <w:spacing w:before="40"/>
        <w:jc w:val="both"/>
        <w:outlineLvl w:val="0"/>
        <w:rPr>
          <w:rFonts w:ascii="Arial Narrow" w:hAnsi="Arial Narrow"/>
          <w:sz w:val="20"/>
          <w:szCs w:val="20"/>
        </w:rPr>
      </w:pPr>
      <w:r w:rsidRPr="00935B0A">
        <w:rPr>
          <w:rFonts w:ascii="Arial Narrow" w:hAnsi="Arial Narrow"/>
          <w:sz w:val="20"/>
          <w:szCs w:val="20"/>
          <w:vertAlign w:val="superscript"/>
        </w:rPr>
        <w:t>10.</w:t>
      </w:r>
      <w:r w:rsidR="006023D0" w:rsidRPr="00935B0A">
        <w:rPr>
          <w:rFonts w:ascii="Arial Narrow" w:hAnsi="Arial Narrow"/>
          <w:sz w:val="20"/>
          <w:szCs w:val="20"/>
          <w:vertAlign w:val="superscript"/>
        </w:rPr>
        <w:t>2</w:t>
      </w:r>
      <w:r w:rsidRPr="00935B0A">
        <w:rPr>
          <w:rFonts w:ascii="Arial Narrow" w:hAnsi="Arial Narrow"/>
          <w:sz w:val="20"/>
          <w:szCs w:val="20"/>
        </w:rPr>
        <w:t xml:space="preserve">Modificado por la Resol.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2055-2013 del 25.03.2013, vigente a partir de la información de junio de 2013.</w:t>
      </w:r>
      <w:r w:rsidR="00747FD5">
        <w:rPr>
          <w:rFonts w:ascii="Arial Narrow" w:hAnsi="Arial Narrow"/>
          <w:sz w:val="20"/>
          <w:szCs w:val="20"/>
        </w:rPr>
        <w:t xml:space="preserve"> </w:t>
      </w:r>
      <w:r w:rsidR="00747FD5" w:rsidRPr="00667ECE">
        <w:rPr>
          <w:rFonts w:ascii="Arial Narrow" w:hAnsi="Arial Narrow"/>
          <w:sz w:val="20"/>
          <w:szCs w:val="20"/>
        </w:rPr>
        <w:t xml:space="preserve">Posteriormente modificado por la Resol. SBS </w:t>
      </w:r>
      <w:proofErr w:type="spellStart"/>
      <w:r w:rsidR="00747FD5" w:rsidRPr="00667ECE">
        <w:rPr>
          <w:rFonts w:ascii="Arial Narrow" w:hAnsi="Arial Narrow"/>
          <w:sz w:val="20"/>
          <w:szCs w:val="20"/>
        </w:rPr>
        <w:t>N°</w:t>
      </w:r>
      <w:proofErr w:type="spellEnd"/>
      <w:r w:rsidR="00747FD5" w:rsidRPr="00667ECE">
        <w:rPr>
          <w:rFonts w:ascii="Arial Narrow" w:hAnsi="Arial Narrow"/>
          <w:sz w:val="20"/>
          <w:szCs w:val="20"/>
        </w:rPr>
        <w:t xml:space="preserve"> 3178-2022 del 17.10.2022, vigente a partir de la información de octubre de 2022.</w:t>
      </w:r>
    </w:p>
    <w:p w14:paraId="361D1A25" w14:textId="77777777" w:rsidR="00965622"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11</w:t>
      </w:r>
      <w:r w:rsidRPr="00935B0A">
        <w:rPr>
          <w:rFonts w:ascii="Arial Narrow" w:hAnsi="Arial Narrow"/>
          <w:sz w:val="20"/>
          <w:szCs w:val="20"/>
        </w:rPr>
        <w:t xml:space="preserve"> </w:t>
      </w:r>
      <w:proofErr w:type="gramStart"/>
      <w:r w:rsidRPr="00935B0A">
        <w:rPr>
          <w:rFonts w:ascii="Arial Narrow" w:hAnsi="Arial Narrow"/>
          <w:sz w:val="20"/>
          <w:szCs w:val="20"/>
        </w:rPr>
        <w:t>Aprobado</w:t>
      </w:r>
      <w:proofErr w:type="gramEnd"/>
      <w:r w:rsidRPr="00935B0A">
        <w:rPr>
          <w:rFonts w:ascii="Arial Narrow" w:hAnsi="Arial Narrow"/>
          <w:sz w:val="20"/>
          <w:szCs w:val="20"/>
        </w:rPr>
        <w:t xml:space="preserve"> por Circular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B-2095-2001 del 24.07.2001.</w:t>
      </w:r>
    </w:p>
    <w:p w14:paraId="06BC45C7" w14:textId="5ED34D0F" w:rsidR="00965622" w:rsidRPr="00935B0A" w:rsidRDefault="00FC19E5"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11.1</w:t>
      </w:r>
      <w:r w:rsidRPr="00935B0A">
        <w:rPr>
          <w:rFonts w:ascii="Arial Narrow" w:hAnsi="Arial Narrow"/>
          <w:sz w:val="20"/>
          <w:szCs w:val="20"/>
        </w:rPr>
        <w:t xml:space="preserve"> Modificado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1314-2006 del 10.10.2006 y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775-2008 del 26.03.2008.</w:t>
      </w:r>
      <w:r w:rsidR="00AC4ABC" w:rsidRPr="00AC4ABC">
        <w:rPr>
          <w:rFonts w:ascii="Arial Narrow" w:hAnsi="Arial Narrow"/>
          <w:sz w:val="18"/>
          <w:szCs w:val="18"/>
        </w:rPr>
        <w:t xml:space="preserve"> </w:t>
      </w:r>
      <w:r w:rsidR="00AC4ABC" w:rsidRPr="00AC4ABC">
        <w:rPr>
          <w:rFonts w:ascii="Arial Narrow" w:hAnsi="Arial Narrow"/>
          <w:sz w:val="20"/>
          <w:szCs w:val="20"/>
        </w:rPr>
        <w:t>Modificado posteriormente por la Resol. SBS 1661-2025 del 08.05.2025</w:t>
      </w:r>
      <w:r w:rsidR="00AC4ABC">
        <w:rPr>
          <w:rFonts w:ascii="Arial Narrow" w:hAnsi="Arial Narrow"/>
          <w:sz w:val="20"/>
          <w:szCs w:val="20"/>
        </w:rPr>
        <w:t>.</w:t>
      </w:r>
      <w:r w:rsidR="00965622" w:rsidRPr="00935B0A">
        <w:rPr>
          <w:rFonts w:ascii="Arial Narrow" w:hAnsi="Arial Narrow"/>
          <w:sz w:val="20"/>
          <w:szCs w:val="20"/>
          <w:vertAlign w:val="superscript"/>
        </w:rPr>
        <w:t>12</w:t>
      </w:r>
      <w:r w:rsidR="00965622" w:rsidRPr="00935B0A">
        <w:rPr>
          <w:rFonts w:ascii="Arial Narrow" w:hAnsi="Arial Narrow"/>
          <w:sz w:val="20"/>
          <w:szCs w:val="20"/>
        </w:rPr>
        <w:t xml:space="preserve"> Modificado mediante Circular SBS </w:t>
      </w:r>
      <w:proofErr w:type="spellStart"/>
      <w:r w:rsidR="00965622" w:rsidRPr="00935B0A">
        <w:rPr>
          <w:rFonts w:ascii="Arial Narrow" w:hAnsi="Arial Narrow"/>
          <w:sz w:val="20"/>
          <w:szCs w:val="20"/>
        </w:rPr>
        <w:t>Nº</w:t>
      </w:r>
      <w:proofErr w:type="spellEnd"/>
      <w:r w:rsidR="00965622" w:rsidRPr="00935B0A">
        <w:rPr>
          <w:rFonts w:ascii="Arial Narrow" w:hAnsi="Arial Narrow"/>
          <w:sz w:val="20"/>
          <w:szCs w:val="20"/>
        </w:rPr>
        <w:t xml:space="preserve"> B- 2117-2003 del 14.04.2003.</w:t>
      </w:r>
      <w:r w:rsidR="001A677C" w:rsidRPr="00935B0A">
        <w:rPr>
          <w:rFonts w:ascii="Arial Narrow" w:hAnsi="Arial Narrow"/>
          <w:sz w:val="20"/>
          <w:szCs w:val="20"/>
        </w:rPr>
        <w:t xml:space="preserve"> </w:t>
      </w:r>
      <w:r w:rsidR="006F7971" w:rsidRPr="00935B0A">
        <w:rPr>
          <w:rFonts w:ascii="Arial Narrow" w:hAnsi="Arial Narrow"/>
          <w:sz w:val="20"/>
          <w:szCs w:val="20"/>
        </w:rPr>
        <w:t xml:space="preserve">Posteriormente sustituido por la Resolución SBS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9786-2009 del 22.07.2009, debido a la adecuación al nuevo Reglamento de Clasificación y Evaluación del Deudor y la Exigencia de Provisiones vigente a partir de julio 2010.</w:t>
      </w:r>
    </w:p>
    <w:p w14:paraId="7FCD9617" w14:textId="77777777" w:rsidR="006D07F1"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13</w:t>
      </w:r>
      <w:r w:rsidRPr="00935B0A">
        <w:rPr>
          <w:rFonts w:ascii="Arial Narrow" w:hAnsi="Arial Narrow"/>
          <w:sz w:val="20"/>
          <w:szCs w:val="20"/>
        </w:rPr>
        <w:t xml:space="preserve"> </w:t>
      </w:r>
      <w:proofErr w:type="gramStart"/>
      <w:r w:rsidRPr="00935B0A">
        <w:rPr>
          <w:rFonts w:ascii="Arial Narrow" w:hAnsi="Arial Narrow"/>
          <w:sz w:val="20"/>
          <w:szCs w:val="20"/>
        </w:rPr>
        <w:t>Formatos</w:t>
      </w:r>
      <w:proofErr w:type="gramEnd"/>
      <w:r w:rsidRPr="00935B0A">
        <w:rPr>
          <w:rFonts w:ascii="Arial Narrow" w:hAnsi="Arial Narrow"/>
          <w:sz w:val="20"/>
          <w:szCs w:val="20"/>
        </w:rPr>
        <w:t xml:space="preserve"> aprobados por Circular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B-2103-2001 del 15.11.2001.</w:t>
      </w:r>
      <w:r w:rsidR="006D07F1" w:rsidRPr="00935B0A">
        <w:rPr>
          <w:rFonts w:ascii="Arial Narrow" w:hAnsi="Arial Narrow"/>
          <w:sz w:val="20"/>
          <w:szCs w:val="20"/>
        </w:rPr>
        <w:t xml:space="preserve"> Posteriormente modificadas las notas metodológicas del Anexo 17-A por la Resol. SBS </w:t>
      </w:r>
      <w:proofErr w:type="spellStart"/>
      <w:r w:rsidR="006D07F1" w:rsidRPr="00935B0A">
        <w:rPr>
          <w:rFonts w:ascii="Arial Narrow" w:hAnsi="Arial Narrow"/>
          <w:sz w:val="20"/>
          <w:szCs w:val="20"/>
        </w:rPr>
        <w:t>Nº</w:t>
      </w:r>
      <w:proofErr w:type="spellEnd"/>
      <w:r w:rsidR="006D07F1" w:rsidRPr="00935B0A">
        <w:rPr>
          <w:rFonts w:ascii="Arial Narrow" w:hAnsi="Arial Narrow"/>
          <w:sz w:val="20"/>
          <w:szCs w:val="20"/>
        </w:rPr>
        <w:t xml:space="preserve"> 9785-2009 del 22.07.2009</w:t>
      </w:r>
      <w:r w:rsidR="007E6123" w:rsidRPr="00935B0A">
        <w:rPr>
          <w:rFonts w:ascii="Arial Narrow" w:hAnsi="Arial Narrow"/>
          <w:sz w:val="20"/>
          <w:szCs w:val="20"/>
        </w:rPr>
        <w:t xml:space="preserve"> y por la Resolución SBS </w:t>
      </w:r>
      <w:proofErr w:type="spellStart"/>
      <w:r w:rsidR="007E6123" w:rsidRPr="00935B0A">
        <w:rPr>
          <w:rFonts w:ascii="Arial Narrow" w:hAnsi="Arial Narrow"/>
          <w:sz w:val="20"/>
          <w:szCs w:val="20"/>
        </w:rPr>
        <w:t>N°</w:t>
      </w:r>
      <w:proofErr w:type="spellEnd"/>
      <w:r w:rsidR="007E6123" w:rsidRPr="00935B0A">
        <w:rPr>
          <w:rFonts w:ascii="Arial Narrow" w:hAnsi="Arial Narrow"/>
          <w:sz w:val="20"/>
          <w:szCs w:val="20"/>
        </w:rPr>
        <w:t xml:space="preserve"> 16053-2009 del 29.12.2009</w:t>
      </w:r>
      <w:r w:rsidR="006D07F1" w:rsidRPr="00935B0A">
        <w:rPr>
          <w:rFonts w:ascii="Arial Narrow" w:hAnsi="Arial Narrow"/>
          <w:sz w:val="20"/>
          <w:szCs w:val="20"/>
        </w:rPr>
        <w:t>.</w:t>
      </w:r>
      <w:r w:rsidR="00570B0B" w:rsidRPr="00935B0A">
        <w:rPr>
          <w:rFonts w:ascii="Arial Narrow" w:hAnsi="Arial Narrow"/>
          <w:sz w:val="20"/>
          <w:szCs w:val="20"/>
        </w:rPr>
        <w:t xml:space="preserve"> </w:t>
      </w:r>
      <w:bookmarkStart w:id="2" w:name="_Hlk53482264"/>
      <w:r w:rsidR="00570B0B" w:rsidRPr="00935B0A">
        <w:rPr>
          <w:rFonts w:ascii="Arial Narrow" w:hAnsi="Arial Narrow"/>
          <w:sz w:val="20"/>
          <w:szCs w:val="20"/>
        </w:rPr>
        <w:t xml:space="preserve">Posteriormente sustituidos los formatos por la Resol. SBS </w:t>
      </w:r>
      <w:proofErr w:type="spellStart"/>
      <w:r w:rsidR="00570B0B" w:rsidRPr="00935B0A">
        <w:rPr>
          <w:rFonts w:ascii="Arial Narrow" w:hAnsi="Arial Narrow"/>
          <w:sz w:val="20"/>
          <w:szCs w:val="20"/>
        </w:rPr>
        <w:t>N°</w:t>
      </w:r>
      <w:proofErr w:type="spellEnd"/>
      <w:r w:rsidR="00570B0B" w:rsidRPr="00935B0A">
        <w:rPr>
          <w:rFonts w:ascii="Arial Narrow" w:hAnsi="Arial Narrow"/>
          <w:sz w:val="20"/>
          <w:szCs w:val="20"/>
        </w:rPr>
        <w:t xml:space="preserve"> 2448-2020 del 08.10.2020, vigente a partir del 01.01.2022.</w:t>
      </w:r>
      <w:bookmarkEnd w:id="2"/>
    </w:p>
    <w:p w14:paraId="0D03F668" w14:textId="77777777" w:rsidR="00321263"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14</w:t>
      </w:r>
      <w:r w:rsidRPr="00935B0A">
        <w:rPr>
          <w:rFonts w:ascii="Arial Narrow" w:hAnsi="Arial Narrow"/>
          <w:sz w:val="20"/>
          <w:szCs w:val="20"/>
        </w:rPr>
        <w:t xml:space="preserve"> </w:t>
      </w:r>
      <w:proofErr w:type="gramStart"/>
      <w:r w:rsidR="00B25644" w:rsidRPr="00935B0A">
        <w:rPr>
          <w:rFonts w:ascii="Arial Narrow" w:hAnsi="Arial Narrow"/>
          <w:sz w:val="20"/>
          <w:szCs w:val="20"/>
        </w:rPr>
        <w:t>Anexo</w:t>
      </w:r>
      <w:proofErr w:type="gramEnd"/>
      <w:r w:rsidR="00B25644" w:rsidRPr="00935B0A">
        <w:rPr>
          <w:rFonts w:ascii="Arial Narrow" w:hAnsi="Arial Narrow"/>
          <w:sz w:val="20"/>
          <w:szCs w:val="20"/>
        </w:rPr>
        <w:t xml:space="preserve"> </w:t>
      </w:r>
      <w:proofErr w:type="spellStart"/>
      <w:r w:rsidR="00B25644" w:rsidRPr="00935B0A">
        <w:rPr>
          <w:rFonts w:ascii="Arial Narrow" w:hAnsi="Arial Narrow"/>
          <w:sz w:val="20"/>
          <w:szCs w:val="20"/>
        </w:rPr>
        <w:t>Nº</w:t>
      </w:r>
      <w:proofErr w:type="spellEnd"/>
      <w:r w:rsidR="00B25644" w:rsidRPr="00935B0A">
        <w:rPr>
          <w:rFonts w:ascii="Arial Narrow" w:hAnsi="Arial Narrow"/>
          <w:sz w:val="20"/>
          <w:szCs w:val="20"/>
        </w:rPr>
        <w:t xml:space="preserve"> 21 “Obligaciones sujetas a encaje en moneda nacional y moneda extranjera”: </w:t>
      </w:r>
      <w:r w:rsidRPr="00935B0A">
        <w:rPr>
          <w:rFonts w:ascii="Arial Narrow" w:hAnsi="Arial Narrow"/>
          <w:sz w:val="20"/>
          <w:szCs w:val="20"/>
        </w:rPr>
        <w:t xml:space="preserve">Aprobado por Circular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B-2083-2000 del 28.12.2000. Posteriormente modificado por Circular SB</w:t>
      </w:r>
      <w:r w:rsidR="002C3216" w:rsidRPr="00935B0A">
        <w:rPr>
          <w:rFonts w:ascii="Arial Narrow" w:hAnsi="Arial Narrow"/>
          <w:sz w:val="20"/>
          <w:szCs w:val="20"/>
        </w:rPr>
        <w:t xml:space="preserve">S </w:t>
      </w:r>
      <w:proofErr w:type="spellStart"/>
      <w:r w:rsidR="002C3216" w:rsidRPr="00935B0A">
        <w:rPr>
          <w:rFonts w:ascii="Arial Narrow" w:hAnsi="Arial Narrow"/>
          <w:sz w:val="20"/>
          <w:szCs w:val="20"/>
        </w:rPr>
        <w:t>Nº</w:t>
      </w:r>
      <w:proofErr w:type="spellEnd"/>
      <w:r w:rsidR="002C3216" w:rsidRPr="00935B0A">
        <w:rPr>
          <w:rFonts w:ascii="Arial Narrow" w:hAnsi="Arial Narrow"/>
          <w:sz w:val="20"/>
          <w:szCs w:val="20"/>
        </w:rPr>
        <w:t xml:space="preserve"> B-2133-2004 del </w:t>
      </w:r>
      <w:r w:rsidR="00935B0A" w:rsidRPr="00935B0A">
        <w:rPr>
          <w:rFonts w:ascii="Arial Narrow" w:hAnsi="Arial Narrow"/>
          <w:sz w:val="20"/>
          <w:szCs w:val="20"/>
        </w:rPr>
        <w:t>21.04.2004 y</w:t>
      </w:r>
      <w:r w:rsidR="002C3216" w:rsidRPr="00935B0A">
        <w:rPr>
          <w:rFonts w:ascii="Arial Narrow" w:hAnsi="Arial Narrow"/>
          <w:sz w:val="20"/>
          <w:szCs w:val="20"/>
        </w:rPr>
        <w:t xml:space="preserve"> por la Circular SBS </w:t>
      </w:r>
      <w:proofErr w:type="spellStart"/>
      <w:r w:rsidR="002C3216" w:rsidRPr="00935B0A">
        <w:rPr>
          <w:rFonts w:ascii="Arial Narrow" w:hAnsi="Arial Narrow"/>
          <w:sz w:val="20"/>
          <w:szCs w:val="20"/>
        </w:rPr>
        <w:t>N°</w:t>
      </w:r>
      <w:proofErr w:type="spellEnd"/>
      <w:r w:rsidR="002C3216" w:rsidRPr="00935B0A">
        <w:rPr>
          <w:rFonts w:ascii="Arial Narrow" w:hAnsi="Arial Narrow"/>
          <w:sz w:val="20"/>
          <w:szCs w:val="20"/>
        </w:rPr>
        <w:t xml:space="preserve"> B-2155-2006 del 28.03.2006.</w:t>
      </w:r>
      <w:r w:rsidR="00B25644" w:rsidRPr="00935B0A">
        <w:rPr>
          <w:rFonts w:ascii="Arial Narrow" w:hAnsi="Arial Narrow"/>
          <w:sz w:val="20"/>
          <w:szCs w:val="20"/>
        </w:rPr>
        <w:t xml:space="preserve"> Mediante Circular B-2172-2008 del 30.05.2008 se eliminó el Anexo </w:t>
      </w:r>
      <w:proofErr w:type="spellStart"/>
      <w:r w:rsidR="00B25644" w:rsidRPr="00935B0A">
        <w:rPr>
          <w:rFonts w:ascii="Arial Narrow" w:hAnsi="Arial Narrow"/>
          <w:sz w:val="20"/>
          <w:szCs w:val="20"/>
        </w:rPr>
        <w:t>Nº</w:t>
      </w:r>
      <w:proofErr w:type="spellEnd"/>
      <w:r w:rsidR="00B25644" w:rsidRPr="00935B0A">
        <w:rPr>
          <w:rFonts w:ascii="Arial Narrow" w:hAnsi="Arial Narrow"/>
          <w:sz w:val="20"/>
          <w:szCs w:val="20"/>
        </w:rPr>
        <w:t xml:space="preserve"> 21 “Obligaciones sujetas a encaje en moneda nacional y moneda extranjera”, </w:t>
      </w:r>
      <w:r w:rsidR="00F25813" w:rsidRPr="00935B0A">
        <w:rPr>
          <w:rFonts w:ascii="Arial Narrow" w:hAnsi="Arial Narrow"/>
          <w:sz w:val="20"/>
          <w:szCs w:val="20"/>
        </w:rPr>
        <w:t xml:space="preserve">y posteriormente mediante Circular SBS </w:t>
      </w:r>
      <w:proofErr w:type="spellStart"/>
      <w:r w:rsidR="00F25813" w:rsidRPr="00935B0A">
        <w:rPr>
          <w:rFonts w:ascii="Arial Narrow" w:hAnsi="Arial Narrow"/>
          <w:sz w:val="20"/>
          <w:szCs w:val="20"/>
        </w:rPr>
        <w:t>N°</w:t>
      </w:r>
      <w:proofErr w:type="spellEnd"/>
      <w:r w:rsidR="00F25813" w:rsidRPr="00935B0A">
        <w:rPr>
          <w:rFonts w:ascii="Arial Narrow" w:hAnsi="Arial Narrow"/>
          <w:sz w:val="20"/>
          <w:szCs w:val="20"/>
        </w:rPr>
        <w:t xml:space="preserve"> B- 2188-2010 del 11.05.2010 se estableció que </w:t>
      </w:r>
      <w:r w:rsidR="00B25644" w:rsidRPr="00935B0A">
        <w:rPr>
          <w:rFonts w:ascii="Arial Narrow" w:hAnsi="Arial Narrow"/>
          <w:sz w:val="20"/>
          <w:szCs w:val="20"/>
        </w:rPr>
        <w:t xml:space="preserve">los Anexos 1 “Obligaciones sujetas a encaje en moneda nacional “ y 2 “Obligaciones sujetas a encaje en moneda extranjera” </w:t>
      </w:r>
      <w:r w:rsidR="00F25813" w:rsidRPr="00935B0A">
        <w:rPr>
          <w:rFonts w:ascii="Arial Narrow" w:hAnsi="Arial Narrow"/>
          <w:sz w:val="20"/>
          <w:szCs w:val="20"/>
        </w:rPr>
        <w:t xml:space="preserve">se remitirán directamente al BCRP </w:t>
      </w:r>
      <w:r w:rsidR="00321263" w:rsidRPr="00935B0A">
        <w:rPr>
          <w:rFonts w:ascii="Arial Narrow" w:hAnsi="Arial Narrow"/>
          <w:sz w:val="20"/>
          <w:szCs w:val="20"/>
        </w:rPr>
        <w:t>conforme a la circulares que emita dicha institución, dejándose de remitir a esta SBS a partir de la información de marzo de 2010.</w:t>
      </w:r>
    </w:p>
    <w:p w14:paraId="6C10A59B" w14:textId="77777777" w:rsidR="00965622"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15</w:t>
      </w:r>
      <w:r w:rsidRPr="00935B0A">
        <w:rPr>
          <w:rFonts w:ascii="Arial Narrow" w:hAnsi="Arial Narrow"/>
          <w:sz w:val="20"/>
          <w:szCs w:val="20"/>
        </w:rPr>
        <w:t xml:space="preserve"> </w:t>
      </w:r>
      <w:proofErr w:type="gramStart"/>
      <w:r w:rsidRPr="00935B0A">
        <w:rPr>
          <w:rFonts w:ascii="Arial Narrow" w:hAnsi="Arial Narrow"/>
          <w:sz w:val="20"/>
          <w:szCs w:val="20"/>
        </w:rPr>
        <w:t>Aprobado</w:t>
      </w:r>
      <w:proofErr w:type="gramEnd"/>
      <w:r w:rsidRPr="00935B0A">
        <w:rPr>
          <w:rFonts w:ascii="Arial Narrow" w:hAnsi="Arial Narrow"/>
          <w:sz w:val="20"/>
          <w:szCs w:val="20"/>
        </w:rPr>
        <w:t xml:space="preserve"> por Circular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B-2084-2001 del 05.01.2001. </w:t>
      </w:r>
      <w:r w:rsidRPr="00935B0A">
        <w:rPr>
          <w:rFonts w:ascii="Arial Narrow" w:hAnsi="Arial Narrow"/>
          <w:sz w:val="20"/>
          <w:szCs w:val="20"/>
          <w:shd w:val="clear" w:color="auto" w:fill="FFFFFF"/>
        </w:rPr>
        <w:t xml:space="preserve">Modificado posteriormente por la Resolución SBS </w:t>
      </w:r>
      <w:proofErr w:type="spellStart"/>
      <w:r w:rsidRPr="00935B0A">
        <w:rPr>
          <w:rFonts w:ascii="Arial Narrow" w:hAnsi="Arial Narrow"/>
          <w:sz w:val="20"/>
          <w:szCs w:val="20"/>
          <w:shd w:val="clear" w:color="auto" w:fill="FFFFFF"/>
        </w:rPr>
        <w:t>Nº</w:t>
      </w:r>
      <w:proofErr w:type="spellEnd"/>
      <w:r w:rsidRPr="00935B0A">
        <w:rPr>
          <w:rFonts w:ascii="Arial Narrow" w:hAnsi="Arial Narrow"/>
          <w:sz w:val="20"/>
          <w:szCs w:val="20"/>
          <w:shd w:val="clear" w:color="auto" w:fill="FFFFFF"/>
        </w:rPr>
        <w:t xml:space="preserve"> 468-2001 del 19.06.2001 y por la Resolución SBS </w:t>
      </w:r>
      <w:proofErr w:type="spellStart"/>
      <w:r w:rsidRPr="00935B0A">
        <w:rPr>
          <w:rFonts w:ascii="Arial Narrow" w:hAnsi="Arial Narrow"/>
          <w:sz w:val="20"/>
          <w:szCs w:val="20"/>
          <w:shd w:val="clear" w:color="auto" w:fill="FFFFFF"/>
        </w:rPr>
        <w:t>N°</w:t>
      </w:r>
      <w:proofErr w:type="spellEnd"/>
      <w:r w:rsidRPr="00935B0A">
        <w:rPr>
          <w:rFonts w:ascii="Arial Narrow" w:hAnsi="Arial Narrow"/>
          <w:sz w:val="20"/>
          <w:szCs w:val="20"/>
          <w:shd w:val="clear" w:color="auto" w:fill="FFFFFF"/>
        </w:rPr>
        <w:t xml:space="preserve"> 1343-2003 del 24.09.2003. Conforme la Resolución SBS </w:t>
      </w:r>
      <w:proofErr w:type="spellStart"/>
      <w:r w:rsidRPr="00935B0A">
        <w:rPr>
          <w:rFonts w:ascii="Arial Narrow" w:hAnsi="Arial Narrow"/>
          <w:sz w:val="20"/>
          <w:szCs w:val="20"/>
          <w:shd w:val="clear" w:color="auto" w:fill="FFFFFF"/>
        </w:rPr>
        <w:t>Nº</w:t>
      </w:r>
      <w:proofErr w:type="spellEnd"/>
      <w:r w:rsidRPr="00935B0A">
        <w:rPr>
          <w:rFonts w:ascii="Arial Narrow" w:hAnsi="Arial Narrow"/>
          <w:sz w:val="20"/>
          <w:szCs w:val="20"/>
          <w:shd w:val="clear" w:color="auto" w:fill="FFFFFF"/>
        </w:rPr>
        <w:t xml:space="preserve"> 123-2005 del 29.05.2005, se elimina el Anexo </w:t>
      </w:r>
      <w:proofErr w:type="spellStart"/>
      <w:r w:rsidRPr="00935B0A">
        <w:rPr>
          <w:rFonts w:ascii="Arial Narrow" w:hAnsi="Arial Narrow"/>
          <w:sz w:val="20"/>
          <w:szCs w:val="20"/>
          <w:shd w:val="clear" w:color="auto" w:fill="FFFFFF"/>
        </w:rPr>
        <w:t>N°</w:t>
      </w:r>
      <w:proofErr w:type="spellEnd"/>
      <w:r w:rsidRPr="00935B0A">
        <w:rPr>
          <w:rFonts w:ascii="Arial Narrow" w:hAnsi="Arial Narrow"/>
          <w:sz w:val="20"/>
          <w:szCs w:val="20"/>
          <w:shd w:val="clear" w:color="auto" w:fill="FFFFFF"/>
        </w:rPr>
        <w:t xml:space="preserve"> 6 y sólo la Información Adelantada del Balance General será remitido a la SBS y al BCRP, mientras que los anexos 1 y 4 serán remitidos directamente al BCRP.</w:t>
      </w:r>
      <w:r w:rsidR="00CC70AA" w:rsidRPr="00935B0A">
        <w:rPr>
          <w:rFonts w:ascii="Arial Narrow" w:hAnsi="Arial Narrow"/>
          <w:sz w:val="20"/>
          <w:szCs w:val="20"/>
          <w:shd w:val="clear" w:color="auto" w:fill="FFFFFF"/>
        </w:rPr>
        <w:t xml:space="preserve"> Posteriormente modificado por la Resolución SBS </w:t>
      </w:r>
      <w:proofErr w:type="spellStart"/>
      <w:r w:rsidR="00CC70AA" w:rsidRPr="00935B0A">
        <w:rPr>
          <w:rFonts w:ascii="Arial Narrow" w:hAnsi="Arial Narrow"/>
          <w:sz w:val="20"/>
          <w:szCs w:val="20"/>
          <w:shd w:val="clear" w:color="auto" w:fill="FFFFFF"/>
        </w:rPr>
        <w:t>Nº</w:t>
      </w:r>
      <w:proofErr w:type="spellEnd"/>
      <w:r w:rsidR="00CC70AA" w:rsidRPr="00935B0A">
        <w:rPr>
          <w:rFonts w:ascii="Arial Narrow" w:hAnsi="Arial Narrow"/>
          <w:sz w:val="20"/>
          <w:szCs w:val="20"/>
          <w:shd w:val="clear" w:color="auto" w:fill="FFFFFF"/>
        </w:rPr>
        <w:t xml:space="preserve"> 1349-2008 del 06.05.2008</w:t>
      </w:r>
      <w:r w:rsidR="00BE626D" w:rsidRPr="00935B0A">
        <w:rPr>
          <w:rFonts w:ascii="Arial Narrow" w:hAnsi="Arial Narrow"/>
          <w:sz w:val="20"/>
          <w:szCs w:val="20"/>
          <w:shd w:val="clear" w:color="auto" w:fill="FFFFFF"/>
        </w:rPr>
        <w:t xml:space="preserve">. Posteriormente adecuado a la Resol. SBS </w:t>
      </w:r>
      <w:proofErr w:type="spellStart"/>
      <w:r w:rsidR="00BE626D" w:rsidRPr="00935B0A">
        <w:rPr>
          <w:rFonts w:ascii="Arial Narrow" w:hAnsi="Arial Narrow"/>
          <w:sz w:val="20"/>
          <w:szCs w:val="20"/>
          <w:shd w:val="clear" w:color="auto" w:fill="FFFFFF"/>
        </w:rPr>
        <w:t>Nº</w:t>
      </w:r>
      <w:proofErr w:type="spellEnd"/>
      <w:r w:rsidR="00BE626D" w:rsidRPr="00935B0A">
        <w:rPr>
          <w:rFonts w:ascii="Arial Narrow" w:hAnsi="Arial Narrow"/>
          <w:sz w:val="20"/>
          <w:szCs w:val="20"/>
          <w:shd w:val="clear" w:color="auto" w:fill="FFFFFF"/>
        </w:rPr>
        <w:t xml:space="preserve"> 10639-2008 del 31.10.2008.</w:t>
      </w:r>
      <w:r w:rsidR="004A4479" w:rsidRPr="00935B0A">
        <w:rPr>
          <w:rFonts w:ascii="Arial Narrow" w:hAnsi="Arial Narrow"/>
          <w:sz w:val="20"/>
          <w:szCs w:val="20"/>
          <w:shd w:val="clear" w:color="auto" w:fill="FFFFFF"/>
        </w:rPr>
        <w:t xml:space="preserve"> Posteriormente el Anexo 4 fue eliminado por la Resol. SBS </w:t>
      </w:r>
      <w:proofErr w:type="spellStart"/>
      <w:r w:rsidR="004A4479" w:rsidRPr="00935B0A">
        <w:rPr>
          <w:rFonts w:ascii="Arial Narrow" w:hAnsi="Arial Narrow"/>
          <w:sz w:val="20"/>
          <w:szCs w:val="20"/>
          <w:shd w:val="clear" w:color="auto" w:fill="FFFFFF"/>
        </w:rPr>
        <w:t>Nº</w:t>
      </w:r>
      <w:proofErr w:type="spellEnd"/>
      <w:r w:rsidR="004A4479" w:rsidRPr="00935B0A">
        <w:rPr>
          <w:rFonts w:ascii="Arial Narrow" w:hAnsi="Arial Narrow"/>
          <w:sz w:val="20"/>
          <w:szCs w:val="20"/>
          <w:shd w:val="clear" w:color="auto" w:fill="FFFFFF"/>
        </w:rPr>
        <w:t xml:space="preserve"> 1272-2007 del 21.09.2007 y la Información Adelantada del Balance fue modificada mediante la misma Resol</w:t>
      </w:r>
      <w:r w:rsidR="00F25813" w:rsidRPr="00935B0A">
        <w:rPr>
          <w:rFonts w:ascii="Arial Narrow" w:hAnsi="Arial Narrow"/>
          <w:sz w:val="20"/>
          <w:szCs w:val="20"/>
          <w:shd w:val="clear" w:color="auto" w:fill="FFFFFF"/>
        </w:rPr>
        <w:t>ución.</w:t>
      </w:r>
      <w:r w:rsidR="001A677C" w:rsidRPr="00935B0A">
        <w:rPr>
          <w:rFonts w:ascii="Arial Narrow" w:hAnsi="Arial Narrow"/>
          <w:sz w:val="20"/>
          <w:szCs w:val="20"/>
          <w:shd w:val="clear" w:color="auto" w:fill="FFFFFF"/>
        </w:rPr>
        <w:t xml:space="preserve"> </w:t>
      </w:r>
      <w:r w:rsidR="006F7971" w:rsidRPr="00935B0A">
        <w:rPr>
          <w:rFonts w:ascii="Arial Narrow" w:hAnsi="Arial Narrow"/>
          <w:sz w:val="20"/>
          <w:szCs w:val="20"/>
          <w:shd w:val="clear" w:color="auto" w:fill="FFFFFF"/>
        </w:rPr>
        <w:t>Posteriormente sustituido</w:t>
      </w:r>
      <w:r w:rsidR="006F7971" w:rsidRPr="00935B0A">
        <w:rPr>
          <w:rFonts w:ascii="Arial Narrow" w:hAnsi="Arial Narrow"/>
          <w:sz w:val="20"/>
          <w:szCs w:val="20"/>
        </w:rPr>
        <w:t xml:space="preserve"> por la Resolución SBS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14353-2009 del 30.10.2009 vigente a partir de julio 2010.</w:t>
      </w:r>
      <w:r w:rsidR="009439B4" w:rsidRPr="00935B0A">
        <w:rPr>
          <w:rFonts w:ascii="Arial Narrow" w:hAnsi="Arial Narrow"/>
          <w:sz w:val="20"/>
          <w:szCs w:val="20"/>
        </w:rPr>
        <w:t xml:space="preserve"> Posteriormente modificado por la Resol. SBS </w:t>
      </w:r>
      <w:proofErr w:type="spellStart"/>
      <w:r w:rsidR="009439B4" w:rsidRPr="00935B0A">
        <w:rPr>
          <w:rFonts w:ascii="Arial Narrow" w:hAnsi="Arial Narrow"/>
          <w:sz w:val="20"/>
          <w:szCs w:val="20"/>
        </w:rPr>
        <w:t>N°</w:t>
      </w:r>
      <w:proofErr w:type="spellEnd"/>
      <w:r w:rsidR="009439B4" w:rsidRPr="00935B0A">
        <w:rPr>
          <w:rFonts w:ascii="Arial Narrow" w:hAnsi="Arial Narrow"/>
          <w:sz w:val="20"/>
          <w:szCs w:val="20"/>
        </w:rPr>
        <w:t xml:space="preserve"> 7036-2012 del 19.09.2012.</w:t>
      </w:r>
    </w:p>
    <w:p w14:paraId="55AE237E" w14:textId="77777777" w:rsidR="00642831"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16</w:t>
      </w:r>
      <w:r w:rsidRPr="00935B0A">
        <w:rPr>
          <w:rFonts w:ascii="Arial Narrow" w:hAnsi="Arial Narrow"/>
          <w:sz w:val="20"/>
          <w:szCs w:val="20"/>
        </w:rPr>
        <w:t xml:space="preserve"> </w:t>
      </w:r>
      <w:proofErr w:type="gramStart"/>
      <w:r w:rsidRPr="00935B0A">
        <w:rPr>
          <w:rFonts w:ascii="Arial Narrow" w:hAnsi="Arial Narrow"/>
          <w:sz w:val="20"/>
          <w:szCs w:val="20"/>
        </w:rPr>
        <w:t>Modificado</w:t>
      </w:r>
      <w:proofErr w:type="gramEnd"/>
      <w:r w:rsidRPr="00935B0A">
        <w:rPr>
          <w:rFonts w:ascii="Arial Narrow" w:hAnsi="Arial Narrow"/>
          <w:sz w:val="20"/>
          <w:szCs w:val="20"/>
        </w:rPr>
        <w:t xml:space="preserve"> por las Resoluciones SBS </w:t>
      </w:r>
      <w:proofErr w:type="spellStart"/>
      <w:r w:rsidRPr="00935B0A">
        <w:rPr>
          <w:rFonts w:ascii="Arial Narrow" w:hAnsi="Arial Narrow"/>
          <w:sz w:val="20"/>
          <w:szCs w:val="20"/>
        </w:rPr>
        <w:t>Nºs</w:t>
      </w:r>
      <w:proofErr w:type="spellEnd"/>
      <w:r w:rsidRPr="00935B0A">
        <w:rPr>
          <w:rFonts w:ascii="Arial Narrow" w:hAnsi="Arial Narrow"/>
          <w:sz w:val="20"/>
          <w:szCs w:val="20"/>
        </w:rPr>
        <w:t xml:space="preserve"> 663-2000, 664-2000 del 27.09.2000 y la Circular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B-2081-2000 del 30.10.2000. Posteriormente, modificado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468-2001 del 20.06.2001, Circular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B-2094-2001 del 13.07.2001, Circular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B- 2102-2001 del 22.10.2001,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1027-2001 del 27.12.2001,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1227-2002 del 29.11.2002,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118-2003 del 29.01.2003, Circular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2122-2003 del 18.08.2003,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1343-2003 del 24.09.2003</w:t>
      </w:r>
      <w:r w:rsidR="0000104D" w:rsidRPr="00935B0A">
        <w:rPr>
          <w:rFonts w:ascii="Arial Narrow" w:hAnsi="Arial Narrow"/>
          <w:sz w:val="20"/>
          <w:szCs w:val="20"/>
        </w:rPr>
        <w:t xml:space="preserve">, Resolución SBS </w:t>
      </w:r>
      <w:proofErr w:type="spellStart"/>
      <w:r w:rsidR="0000104D" w:rsidRPr="00935B0A">
        <w:rPr>
          <w:rFonts w:ascii="Arial Narrow" w:hAnsi="Arial Narrow"/>
          <w:sz w:val="20"/>
          <w:szCs w:val="20"/>
        </w:rPr>
        <w:t>N°</w:t>
      </w:r>
      <w:proofErr w:type="spellEnd"/>
      <w:r w:rsidRPr="00935B0A">
        <w:rPr>
          <w:rFonts w:ascii="Arial Narrow" w:hAnsi="Arial Narrow"/>
          <w:sz w:val="20"/>
          <w:szCs w:val="20"/>
        </w:rPr>
        <w:t xml:space="preserve"> 257-2005 del 10.02.2005</w:t>
      </w:r>
      <w:r w:rsidR="00647838" w:rsidRPr="00935B0A">
        <w:rPr>
          <w:rFonts w:ascii="Arial Narrow" w:hAnsi="Arial Narrow"/>
          <w:sz w:val="20"/>
          <w:szCs w:val="20"/>
        </w:rPr>
        <w:t xml:space="preserve">, </w:t>
      </w:r>
      <w:r w:rsidR="0000104D" w:rsidRPr="00935B0A">
        <w:rPr>
          <w:rFonts w:ascii="Arial Narrow" w:hAnsi="Arial Narrow"/>
          <w:sz w:val="20"/>
          <w:szCs w:val="20"/>
        </w:rPr>
        <w:t xml:space="preserve">Resolución SBS </w:t>
      </w:r>
      <w:proofErr w:type="spellStart"/>
      <w:r w:rsidR="0000104D" w:rsidRPr="00935B0A">
        <w:rPr>
          <w:rFonts w:ascii="Arial Narrow" w:hAnsi="Arial Narrow"/>
          <w:sz w:val="20"/>
          <w:szCs w:val="20"/>
        </w:rPr>
        <w:t>N°</w:t>
      </w:r>
      <w:proofErr w:type="spellEnd"/>
      <w:r w:rsidR="0000104D" w:rsidRPr="00935B0A">
        <w:rPr>
          <w:rFonts w:ascii="Arial Narrow" w:hAnsi="Arial Narrow"/>
          <w:sz w:val="20"/>
          <w:szCs w:val="20"/>
        </w:rPr>
        <w:t xml:space="preserve"> 1535-2005 del 06.10.2005</w:t>
      </w:r>
      <w:r w:rsidR="005C6287" w:rsidRPr="00935B0A">
        <w:rPr>
          <w:rFonts w:ascii="Arial Narrow" w:hAnsi="Arial Narrow"/>
          <w:sz w:val="20"/>
          <w:szCs w:val="20"/>
        </w:rPr>
        <w:t xml:space="preserve">, </w:t>
      </w:r>
      <w:r w:rsidR="00647838" w:rsidRPr="00935B0A">
        <w:rPr>
          <w:rFonts w:ascii="Arial Narrow" w:hAnsi="Arial Narrow"/>
          <w:sz w:val="20"/>
          <w:szCs w:val="20"/>
        </w:rPr>
        <w:t xml:space="preserve">Resolución SBS </w:t>
      </w:r>
      <w:proofErr w:type="spellStart"/>
      <w:r w:rsidR="00647838" w:rsidRPr="00935B0A">
        <w:rPr>
          <w:rFonts w:ascii="Arial Narrow" w:hAnsi="Arial Narrow"/>
          <w:sz w:val="20"/>
          <w:szCs w:val="20"/>
        </w:rPr>
        <w:t>N°</w:t>
      </w:r>
      <w:proofErr w:type="spellEnd"/>
      <w:r w:rsidR="00647838" w:rsidRPr="00935B0A">
        <w:rPr>
          <w:rFonts w:ascii="Arial Narrow" w:hAnsi="Arial Narrow"/>
          <w:sz w:val="20"/>
          <w:szCs w:val="20"/>
        </w:rPr>
        <w:t xml:space="preserve"> 79-2006 del 27.01.2006</w:t>
      </w:r>
      <w:r w:rsidR="005C6287" w:rsidRPr="00935B0A">
        <w:rPr>
          <w:rFonts w:ascii="Arial Narrow" w:hAnsi="Arial Narrow"/>
          <w:sz w:val="20"/>
          <w:szCs w:val="20"/>
        </w:rPr>
        <w:t xml:space="preserve"> </w:t>
      </w:r>
      <w:r w:rsidR="00642831" w:rsidRPr="00935B0A">
        <w:rPr>
          <w:rFonts w:ascii="Arial Narrow" w:hAnsi="Arial Narrow"/>
          <w:sz w:val="20"/>
          <w:szCs w:val="20"/>
        </w:rPr>
        <w:t xml:space="preserve">, </w:t>
      </w:r>
      <w:r w:rsidR="005C6287" w:rsidRPr="00935B0A">
        <w:rPr>
          <w:rFonts w:ascii="Arial Narrow" w:hAnsi="Arial Narrow"/>
          <w:sz w:val="20"/>
          <w:szCs w:val="20"/>
        </w:rPr>
        <w:t xml:space="preserve">Resolución SBS </w:t>
      </w:r>
      <w:proofErr w:type="spellStart"/>
      <w:r w:rsidR="005C6287" w:rsidRPr="00935B0A">
        <w:rPr>
          <w:rFonts w:ascii="Arial Narrow" w:hAnsi="Arial Narrow"/>
          <w:sz w:val="20"/>
          <w:szCs w:val="20"/>
        </w:rPr>
        <w:t>N°</w:t>
      </w:r>
      <w:proofErr w:type="spellEnd"/>
      <w:r w:rsidR="005C6287" w:rsidRPr="00935B0A">
        <w:rPr>
          <w:rFonts w:ascii="Arial Narrow" w:hAnsi="Arial Narrow"/>
          <w:sz w:val="20"/>
          <w:szCs w:val="20"/>
        </w:rPr>
        <w:t xml:space="preserve"> 980-2006 del 04.08.2006</w:t>
      </w:r>
      <w:r w:rsidR="00CC70AA" w:rsidRPr="00935B0A">
        <w:rPr>
          <w:rFonts w:ascii="Arial Narrow" w:hAnsi="Arial Narrow"/>
          <w:sz w:val="20"/>
          <w:szCs w:val="20"/>
        </w:rPr>
        <w:t xml:space="preserve">, </w:t>
      </w:r>
      <w:r w:rsidR="00642831" w:rsidRPr="00935B0A">
        <w:rPr>
          <w:rFonts w:ascii="Arial Narrow" w:hAnsi="Arial Narrow"/>
          <w:sz w:val="20"/>
          <w:szCs w:val="20"/>
        </w:rPr>
        <w:t xml:space="preserve">Resolución SBS </w:t>
      </w:r>
      <w:proofErr w:type="spellStart"/>
      <w:r w:rsidR="00642831" w:rsidRPr="00935B0A">
        <w:rPr>
          <w:rFonts w:ascii="Arial Narrow" w:hAnsi="Arial Narrow"/>
          <w:sz w:val="20"/>
          <w:szCs w:val="20"/>
        </w:rPr>
        <w:t>N°</w:t>
      </w:r>
      <w:proofErr w:type="spellEnd"/>
      <w:r w:rsidR="00642831" w:rsidRPr="00935B0A">
        <w:rPr>
          <w:rFonts w:ascii="Arial Narrow" w:hAnsi="Arial Narrow"/>
          <w:sz w:val="20"/>
          <w:szCs w:val="20"/>
        </w:rPr>
        <w:t xml:space="preserve"> 1430-2006 del 2.11.2006</w:t>
      </w:r>
      <w:r w:rsidR="00683619" w:rsidRPr="00935B0A">
        <w:rPr>
          <w:rFonts w:ascii="Arial Narrow" w:hAnsi="Arial Narrow"/>
          <w:sz w:val="20"/>
          <w:szCs w:val="20"/>
        </w:rPr>
        <w:t xml:space="preserve">, </w:t>
      </w:r>
      <w:r w:rsidR="00CC70AA" w:rsidRPr="00935B0A">
        <w:rPr>
          <w:rFonts w:ascii="Arial Narrow" w:hAnsi="Arial Narrow"/>
          <w:sz w:val="20"/>
          <w:szCs w:val="20"/>
        </w:rPr>
        <w:t xml:space="preserve">Resolución SBS </w:t>
      </w:r>
      <w:proofErr w:type="spellStart"/>
      <w:r w:rsidR="00CC70AA" w:rsidRPr="00935B0A">
        <w:rPr>
          <w:rFonts w:ascii="Arial Narrow" w:hAnsi="Arial Narrow"/>
          <w:sz w:val="20"/>
          <w:szCs w:val="20"/>
        </w:rPr>
        <w:t>Nº</w:t>
      </w:r>
      <w:proofErr w:type="spellEnd"/>
      <w:r w:rsidR="00CC70AA" w:rsidRPr="00935B0A">
        <w:rPr>
          <w:rFonts w:ascii="Arial Narrow" w:hAnsi="Arial Narrow"/>
          <w:sz w:val="20"/>
          <w:szCs w:val="20"/>
        </w:rPr>
        <w:t xml:space="preserve"> 1349-2008 del 06.05.2008</w:t>
      </w:r>
      <w:r w:rsidR="00683619" w:rsidRPr="00935B0A">
        <w:rPr>
          <w:rFonts w:ascii="Arial Narrow" w:hAnsi="Arial Narrow"/>
          <w:sz w:val="20"/>
          <w:szCs w:val="20"/>
        </w:rPr>
        <w:t xml:space="preserve"> y Resolución SBS </w:t>
      </w:r>
      <w:proofErr w:type="spellStart"/>
      <w:r w:rsidR="00683619" w:rsidRPr="00935B0A">
        <w:rPr>
          <w:rFonts w:ascii="Arial Narrow" w:hAnsi="Arial Narrow"/>
          <w:sz w:val="20"/>
          <w:szCs w:val="20"/>
        </w:rPr>
        <w:t>Nº</w:t>
      </w:r>
      <w:proofErr w:type="spellEnd"/>
      <w:r w:rsidR="00683619" w:rsidRPr="00935B0A">
        <w:rPr>
          <w:rFonts w:ascii="Arial Narrow" w:hAnsi="Arial Narrow"/>
          <w:sz w:val="20"/>
          <w:szCs w:val="20"/>
        </w:rPr>
        <w:t xml:space="preserve"> 6941-2008 del 25.08.2008</w:t>
      </w:r>
      <w:r w:rsidR="00642831" w:rsidRPr="00935B0A">
        <w:rPr>
          <w:rFonts w:ascii="Arial Narrow" w:hAnsi="Arial Narrow"/>
          <w:sz w:val="20"/>
          <w:szCs w:val="20"/>
        </w:rPr>
        <w:t>.</w:t>
      </w:r>
      <w:r w:rsidR="00BE626D" w:rsidRPr="00935B0A">
        <w:rPr>
          <w:rFonts w:ascii="Arial Narrow" w:hAnsi="Arial Narrow"/>
          <w:sz w:val="20"/>
          <w:szCs w:val="20"/>
        </w:rPr>
        <w:t xml:space="preserve"> Modificado posteriormente por la Resol. SBS </w:t>
      </w:r>
      <w:proofErr w:type="spellStart"/>
      <w:r w:rsidR="00BE626D" w:rsidRPr="00935B0A">
        <w:rPr>
          <w:rFonts w:ascii="Arial Narrow" w:hAnsi="Arial Narrow"/>
          <w:sz w:val="20"/>
          <w:szCs w:val="20"/>
        </w:rPr>
        <w:t>Nº</w:t>
      </w:r>
      <w:proofErr w:type="spellEnd"/>
      <w:r w:rsidR="00BE626D" w:rsidRPr="00935B0A">
        <w:rPr>
          <w:rFonts w:ascii="Arial Narrow" w:hAnsi="Arial Narrow"/>
          <w:sz w:val="20"/>
          <w:szCs w:val="20"/>
        </w:rPr>
        <w:t xml:space="preserve"> 10639-2008 del 31.10.2008.</w:t>
      </w:r>
      <w:r w:rsidR="00DC3FFF" w:rsidRPr="00935B0A">
        <w:rPr>
          <w:rFonts w:ascii="Arial Narrow" w:hAnsi="Arial Narrow"/>
          <w:sz w:val="20"/>
          <w:szCs w:val="20"/>
        </w:rPr>
        <w:t xml:space="preserve"> El Reporte 2 (Anexo B) “Resumen de Activos y Créditos Contingentes Ponderados por Riesgo Crediticio y Requerimientos Patrimoniales por Riesgo de Mercado” ha sido sustituido por los Reportes 2-B y el Reporte 2-D</w:t>
      </w:r>
      <w:r w:rsidR="007D7005" w:rsidRPr="00935B0A">
        <w:rPr>
          <w:rFonts w:ascii="Arial Narrow" w:hAnsi="Arial Narrow"/>
          <w:sz w:val="20"/>
          <w:szCs w:val="20"/>
        </w:rPr>
        <w:t xml:space="preserve"> a partir de la información de julio de 2009</w:t>
      </w:r>
      <w:r w:rsidR="00DC3FFF" w:rsidRPr="00935B0A">
        <w:rPr>
          <w:rFonts w:ascii="Arial Narrow" w:hAnsi="Arial Narrow"/>
          <w:sz w:val="20"/>
          <w:szCs w:val="20"/>
        </w:rPr>
        <w:t>.</w:t>
      </w:r>
      <w:r w:rsidR="00B9148B" w:rsidRPr="00935B0A">
        <w:rPr>
          <w:rFonts w:ascii="Arial Narrow" w:hAnsi="Arial Narrow"/>
          <w:sz w:val="20"/>
          <w:szCs w:val="20"/>
        </w:rPr>
        <w:t xml:space="preserve"> </w:t>
      </w:r>
      <w:r w:rsidR="006F7971" w:rsidRPr="00935B0A">
        <w:rPr>
          <w:rFonts w:ascii="Arial Narrow" w:hAnsi="Arial Narrow"/>
          <w:sz w:val="20"/>
          <w:szCs w:val="20"/>
        </w:rPr>
        <w:t xml:space="preserve">Posteriormente eliminado por la Resolución SBS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14354-2009 del 30.10.2009, vigente a partir de julio 2010.</w:t>
      </w:r>
    </w:p>
    <w:p w14:paraId="1494801A" w14:textId="77777777" w:rsidR="004B6E2C" w:rsidRPr="00935B0A" w:rsidRDefault="007F708E"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16.1</w:t>
      </w:r>
      <w:r w:rsidR="00DC3FFF" w:rsidRPr="00935B0A">
        <w:rPr>
          <w:rFonts w:ascii="Arial Narrow" w:hAnsi="Arial Narrow"/>
          <w:sz w:val="20"/>
          <w:szCs w:val="20"/>
        </w:rPr>
        <w:t xml:space="preserve"> Los Reportes 2-B han sido </w:t>
      </w:r>
      <w:r w:rsidRPr="00935B0A">
        <w:rPr>
          <w:rFonts w:ascii="Arial Narrow" w:hAnsi="Arial Narrow"/>
          <w:sz w:val="20"/>
          <w:szCs w:val="20"/>
        </w:rPr>
        <w:t xml:space="preserve">incorporados mediante la Resol.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6328-2009 del 18.06.2009</w:t>
      </w:r>
      <w:r w:rsidR="007D7005" w:rsidRPr="00935B0A">
        <w:rPr>
          <w:rFonts w:ascii="Arial Narrow" w:hAnsi="Arial Narrow"/>
          <w:sz w:val="20"/>
          <w:szCs w:val="20"/>
        </w:rPr>
        <w:t xml:space="preserve"> a partir de la información de julio de 2009.</w:t>
      </w:r>
      <w:r w:rsidR="006F7971" w:rsidRPr="00935B0A">
        <w:rPr>
          <w:rFonts w:ascii="Arial Narrow" w:hAnsi="Arial Narrow"/>
          <w:sz w:val="20"/>
          <w:szCs w:val="20"/>
        </w:rPr>
        <w:t xml:space="preserve"> Posteriormente el Reporte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2-A1 y notas metodológicas y el Reporte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2-A2 y notas metodológicas fueron incorporados por la Resolución SBS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14354-2009 del 30.10.2009, vigente a partir de julio 2010 y posteriormente modificado por la Resolución SBS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1445-2010 del 30.10.2009 vigente a partir de julio 2010.</w:t>
      </w:r>
      <w:r w:rsidR="00351CDB" w:rsidRPr="00935B0A">
        <w:rPr>
          <w:rFonts w:ascii="Arial Narrow" w:hAnsi="Arial Narrow"/>
          <w:sz w:val="20"/>
          <w:szCs w:val="20"/>
        </w:rPr>
        <w:t xml:space="preserve"> Posteriormente el formato </w:t>
      </w:r>
      <w:r w:rsidR="00F711A0" w:rsidRPr="00935B0A">
        <w:rPr>
          <w:rFonts w:ascii="Arial Narrow" w:hAnsi="Arial Narrow"/>
          <w:sz w:val="20"/>
          <w:szCs w:val="20"/>
        </w:rPr>
        <w:t xml:space="preserve">del Reporte 2-A1 </w:t>
      </w:r>
      <w:r w:rsidR="00351CDB" w:rsidRPr="00935B0A">
        <w:rPr>
          <w:rFonts w:ascii="Arial Narrow" w:hAnsi="Arial Narrow"/>
          <w:sz w:val="20"/>
          <w:szCs w:val="20"/>
        </w:rPr>
        <w:t xml:space="preserve">fue sustituido mediante la Resolución SBS </w:t>
      </w:r>
      <w:proofErr w:type="spellStart"/>
      <w:r w:rsidR="00351CDB" w:rsidRPr="00935B0A">
        <w:rPr>
          <w:rFonts w:ascii="Arial Narrow" w:hAnsi="Arial Narrow"/>
          <w:sz w:val="20"/>
          <w:szCs w:val="20"/>
        </w:rPr>
        <w:t>N°</w:t>
      </w:r>
      <w:proofErr w:type="spellEnd"/>
      <w:r w:rsidR="00351CDB" w:rsidRPr="00935B0A">
        <w:rPr>
          <w:rFonts w:ascii="Arial Narrow" w:hAnsi="Arial Narrow"/>
          <w:sz w:val="20"/>
          <w:szCs w:val="20"/>
        </w:rPr>
        <w:t xml:space="preserve"> 1309-2013 del 15.02.2013 a partir de la información del mes de setiembre 2013</w:t>
      </w:r>
      <w:r w:rsidR="00F711A0" w:rsidRPr="00935B0A">
        <w:rPr>
          <w:rFonts w:ascii="Arial Narrow" w:hAnsi="Arial Narrow"/>
          <w:sz w:val="20"/>
          <w:szCs w:val="20"/>
        </w:rPr>
        <w:t xml:space="preserve">, y </w:t>
      </w:r>
      <w:r w:rsidR="00351CDB" w:rsidRPr="00935B0A">
        <w:rPr>
          <w:rFonts w:ascii="Arial Narrow" w:hAnsi="Arial Narrow"/>
          <w:sz w:val="20"/>
          <w:szCs w:val="20"/>
        </w:rPr>
        <w:t xml:space="preserve">se </w:t>
      </w:r>
      <w:r w:rsidR="00F711A0" w:rsidRPr="00935B0A">
        <w:rPr>
          <w:rFonts w:ascii="Arial Narrow" w:hAnsi="Arial Narrow"/>
          <w:sz w:val="20"/>
          <w:szCs w:val="20"/>
        </w:rPr>
        <w:t>modificaron sus</w:t>
      </w:r>
      <w:r w:rsidR="00351CDB" w:rsidRPr="00935B0A">
        <w:rPr>
          <w:rFonts w:ascii="Arial Narrow" w:hAnsi="Arial Narrow"/>
          <w:sz w:val="20"/>
          <w:szCs w:val="20"/>
        </w:rPr>
        <w:t xml:space="preserve"> notas mediante la citada resolución.</w:t>
      </w:r>
      <w:r w:rsidR="00873BE8" w:rsidRPr="00935B0A">
        <w:rPr>
          <w:rFonts w:ascii="Arial Narrow" w:hAnsi="Arial Narrow"/>
          <w:sz w:val="20"/>
          <w:szCs w:val="20"/>
        </w:rPr>
        <w:t xml:space="preserve"> Posteriormente, modificado </w:t>
      </w:r>
      <w:r w:rsidR="004B6E2C" w:rsidRPr="00935B0A">
        <w:rPr>
          <w:rFonts w:ascii="Arial Narrow" w:hAnsi="Arial Narrow"/>
          <w:sz w:val="20"/>
          <w:szCs w:val="20"/>
        </w:rPr>
        <w:t xml:space="preserve">el Reporte 2-B1 </w:t>
      </w:r>
      <w:r w:rsidR="00873BE8" w:rsidRPr="00935B0A">
        <w:rPr>
          <w:rFonts w:ascii="Arial Narrow" w:hAnsi="Arial Narrow"/>
          <w:sz w:val="20"/>
          <w:szCs w:val="20"/>
        </w:rPr>
        <w:t xml:space="preserve">mediante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6231-2015 del 14.10.2015, vigente a partir de la información de enero de 2016.</w:t>
      </w:r>
      <w:r w:rsidR="004B6E2C" w:rsidRPr="00935B0A">
        <w:rPr>
          <w:rFonts w:ascii="Arial Narrow" w:hAnsi="Arial Narrow"/>
          <w:sz w:val="20"/>
          <w:szCs w:val="20"/>
        </w:rPr>
        <w:t xml:space="preserve"> </w:t>
      </w:r>
      <w:r w:rsidR="00E87E62" w:rsidRPr="00935B0A">
        <w:rPr>
          <w:rFonts w:ascii="Arial Narrow" w:hAnsi="Arial Narrow"/>
          <w:sz w:val="20"/>
          <w:szCs w:val="20"/>
        </w:rPr>
        <w:t>Posteriormente, m</w:t>
      </w:r>
      <w:r w:rsidR="004B6E2C" w:rsidRPr="00935B0A">
        <w:rPr>
          <w:rFonts w:ascii="Arial Narrow" w:hAnsi="Arial Narrow"/>
          <w:sz w:val="20"/>
          <w:szCs w:val="20"/>
        </w:rPr>
        <w:t xml:space="preserve">ediante la Resolución SBS </w:t>
      </w:r>
      <w:proofErr w:type="spellStart"/>
      <w:r w:rsidR="004B6E2C" w:rsidRPr="00935B0A">
        <w:rPr>
          <w:rFonts w:ascii="Arial Narrow" w:hAnsi="Arial Narrow"/>
          <w:sz w:val="20"/>
          <w:szCs w:val="20"/>
        </w:rPr>
        <w:t>N°</w:t>
      </w:r>
      <w:proofErr w:type="spellEnd"/>
      <w:r w:rsidR="004B6E2C" w:rsidRPr="00935B0A">
        <w:rPr>
          <w:rFonts w:ascii="Arial Narrow" w:hAnsi="Arial Narrow"/>
          <w:sz w:val="20"/>
          <w:szCs w:val="20"/>
        </w:rPr>
        <w:t xml:space="preserve"> 9075-2016 del 24.02.2016 se modifica el Reporte 2-A1 vigente a partir de julio 2016.</w:t>
      </w:r>
      <w:r w:rsidR="00E87E62" w:rsidRPr="00935B0A">
        <w:rPr>
          <w:rFonts w:ascii="Arial Narrow" w:hAnsi="Arial Narrow"/>
          <w:sz w:val="20"/>
          <w:szCs w:val="20"/>
        </w:rPr>
        <w:t xml:space="preserve"> Posteriormente, mediante la Resolución SBS </w:t>
      </w:r>
      <w:proofErr w:type="spellStart"/>
      <w:r w:rsidR="00E87E62" w:rsidRPr="00935B0A">
        <w:rPr>
          <w:rFonts w:ascii="Arial Narrow" w:hAnsi="Arial Narrow"/>
          <w:sz w:val="20"/>
          <w:szCs w:val="20"/>
        </w:rPr>
        <w:t>N°</w:t>
      </w:r>
      <w:proofErr w:type="spellEnd"/>
      <w:r w:rsidR="00E87E62" w:rsidRPr="00935B0A">
        <w:rPr>
          <w:rFonts w:ascii="Arial Narrow" w:hAnsi="Arial Narrow"/>
          <w:sz w:val="20"/>
          <w:szCs w:val="20"/>
        </w:rPr>
        <w:t xml:space="preserve"> 9075-2016 del 24.02.2016 se modifica el Reporte 2-A1 vigente a partir de julio 2016. Posteriormente, mediante la Resolución SBS </w:t>
      </w:r>
      <w:proofErr w:type="spellStart"/>
      <w:r w:rsidR="00E87E62" w:rsidRPr="00935B0A">
        <w:rPr>
          <w:rFonts w:ascii="Arial Narrow" w:hAnsi="Arial Narrow"/>
          <w:sz w:val="20"/>
          <w:szCs w:val="20"/>
        </w:rPr>
        <w:t>N°</w:t>
      </w:r>
      <w:proofErr w:type="spellEnd"/>
      <w:r w:rsidR="00E87E62" w:rsidRPr="00935B0A">
        <w:rPr>
          <w:rFonts w:ascii="Arial Narrow" w:hAnsi="Arial Narrow"/>
          <w:sz w:val="20"/>
          <w:szCs w:val="20"/>
        </w:rPr>
        <w:t xml:space="preserve"> 3593-2017-2016 del 13.09.2017 se modifica el Reporte 2-A1 y sus notas </w:t>
      </w:r>
      <w:r w:rsidR="00E87E62" w:rsidRPr="00935B0A">
        <w:rPr>
          <w:rFonts w:ascii="Arial Narrow" w:hAnsi="Arial Narrow"/>
          <w:sz w:val="20"/>
          <w:szCs w:val="20"/>
        </w:rPr>
        <w:lastRenderedPageBreak/>
        <w:t>metodológicas, vigente a partir de octubre 2017.</w:t>
      </w:r>
      <w:r w:rsidR="00596B50" w:rsidRPr="00935B0A">
        <w:rPr>
          <w:rFonts w:ascii="Arial Narrow" w:hAnsi="Arial Narrow"/>
          <w:sz w:val="20"/>
          <w:szCs w:val="20"/>
        </w:rPr>
        <w:t xml:space="preserve"> Posteriormente, modificado a través de la Resolución SBS </w:t>
      </w:r>
      <w:proofErr w:type="spellStart"/>
      <w:r w:rsidR="00596B50" w:rsidRPr="00935B0A">
        <w:rPr>
          <w:rFonts w:ascii="Arial Narrow" w:hAnsi="Arial Narrow"/>
          <w:sz w:val="20"/>
          <w:szCs w:val="20"/>
        </w:rPr>
        <w:t>N°</w:t>
      </w:r>
      <w:proofErr w:type="spellEnd"/>
      <w:r w:rsidR="00596B50" w:rsidRPr="00935B0A">
        <w:rPr>
          <w:rFonts w:ascii="Arial Narrow" w:hAnsi="Arial Narrow"/>
          <w:sz w:val="20"/>
          <w:szCs w:val="20"/>
        </w:rPr>
        <w:t xml:space="preserve"> 4838 – 2019 del 17.10.2019 vigente a partir de la remisión de la información de noviembre del 2019.</w:t>
      </w:r>
      <w:r w:rsidR="000979F9" w:rsidRPr="00935B0A">
        <w:rPr>
          <w:rFonts w:ascii="Arial Narrow" w:hAnsi="Arial Narrow"/>
          <w:sz w:val="20"/>
          <w:szCs w:val="20"/>
        </w:rPr>
        <w:t xml:space="preserve"> Posteriormente, modificado mediante la Resol. </w:t>
      </w:r>
      <w:r w:rsidR="00935B0A" w:rsidRPr="00935B0A">
        <w:rPr>
          <w:rFonts w:ascii="Arial Narrow" w:hAnsi="Arial Narrow"/>
          <w:sz w:val="20"/>
          <w:szCs w:val="20"/>
        </w:rPr>
        <w:t xml:space="preserve">SBS </w:t>
      </w:r>
      <w:proofErr w:type="spellStart"/>
      <w:r w:rsidR="00935B0A" w:rsidRPr="00935B0A">
        <w:rPr>
          <w:rFonts w:ascii="Arial Narrow" w:hAnsi="Arial Narrow"/>
          <w:sz w:val="20"/>
          <w:szCs w:val="20"/>
        </w:rPr>
        <w:t>N</w:t>
      </w:r>
      <w:r w:rsidR="000979F9" w:rsidRPr="00935B0A">
        <w:rPr>
          <w:rFonts w:ascii="Arial Narrow" w:hAnsi="Arial Narrow"/>
          <w:sz w:val="20"/>
          <w:szCs w:val="20"/>
        </w:rPr>
        <w:t>°</w:t>
      </w:r>
      <w:proofErr w:type="spellEnd"/>
      <w:r w:rsidR="000979F9" w:rsidRPr="00935B0A">
        <w:rPr>
          <w:rFonts w:ascii="Arial Narrow" w:hAnsi="Arial Narrow"/>
          <w:sz w:val="20"/>
          <w:szCs w:val="20"/>
        </w:rPr>
        <w:t xml:space="preserve"> 1546-2020 del 8.06.2020 vigente a partir de la remisión de la información de mayo 2020.</w:t>
      </w:r>
      <w:r w:rsidR="000E797A" w:rsidRPr="00935B0A">
        <w:rPr>
          <w:rFonts w:ascii="Arial Narrow" w:hAnsi="Arial Narrow"/>
          <w:sz w:val="20"/>
          <w:szCs w:val="20"/>
        </w:rPr>
        <w:t xml:space="preserve"> Posteriormente, modificado las notas mediante la Resol. SBS </w:t>
      </w:r>
      <w:proofErr w:type="spellStart"/>
      <w:r w:rsidR="000E797A" w:rsidRPr="00935B0A">
        <w:rPr>
          <w:rFonts w:ascii="Arial Narrow" w:hAnsi="Arial Narrow"/>
          <w:sz w:val="20"/>
          <w:szCs w:val="20"/>
        </w:rPr>
        <w:t>N°</w:t>
      </w:r>
      <w:proofErr w:type="spellEnd"/>
      <w:r w:rsidR="000E797A" w:rsidRPr="00935B0A">
        <w:rPr>
          <w:rFonts w:ascii="Arial Narrow" w:hAnsi="Arial Narrow"/>
          <w:sz w:val="20"/>
          <w:szCs w:val="20"/>
        </w:rPr>
        <w:t xml:space="preserve"> 2154-2020 del 04.09.2020.</w:t>
      </w:r>
      <w:r w:rsidR="006D5BD5">
        <w:rPr>
          <w:rFonts w:ascii="Arial Narrow" w:hAnsi="Arial Narrow"/>
          <w:sz w:val="20"/>
          <w:szCs w:val="20"/>
        </w:rPr>
        <w:t xml:space="preserve"> </w:t>
      </w:r>
      <w:r w:rsidR="006D5BD5" w:rsidRPr="00935B0A">
        <w:rPr>
          <w:rFonts w:ascii="Arial Narrow" w:hAnsi="Arial Narrow"/>
          <w:sz w:val="20"/>
          <w:szCs w:val="20"/>
        </w:rPr>
        <w:t xml:space="preserve">Posteriormente, modificado las notas mediante la Resol. SBS </w:t>
      </w:r>
      <w:proofErr w:type="spellStart"/>
      <w:r w:rsidR="006D5BD5" w:rsidRPr="00935B0A">
        <w:rPr>
          <w:rFonts w:ascii="Arial Narrow" w:hAnsi="Arial Narrow"/>
          <w:sz w:val="20"/>
          <w:szCs w:val="20"/>
        </w:rPr>
        <w:t>N°</w:t>
      </w:r>
      <w:proofErr w:type="spellEnd"/>
      <w:r w:rsidR="006D5BD5" w:rsidRPr="00935B0A">
        <w:rPr>
          <w:rFonts w:ascii="Arial Narrow" w:hAnsi="Arial Narrow"/>
          <w:sz w:val="20"/>
          <w:szCs w:val="20"/>
        </w:rPr>
        <w:t xml:space="preserve"> </w:t>
      </w:r>
      <w:r w:rsidR="006D5BD5">
        <w:rPr>
          <w:rFonts w:ascii="Arial Narrow" w:hAnsi="Arial Narrow"/>
          <w:sz w:val="20"/>
          <w:szCs w:val="20"/>
        </w:rPr>
        <w:t>01944</w:t>
      </w:r>
      <w:r w:rsidR="006D5BD5" w:rsidRPr="00935B0A">
        <w:rPr>
          <w:rFonts w:ascii="Arial Narrow" w:hAnsi="Arial Narrow"/>
          <w:sz w:val="20"/>
          <w:szCs w:val="20"/>
        </w:rPr>
        <w:t>-202</w:t>
      </w:r>
      <w:r w:rsidR="006D5BD5">
        <w:rPr>
          <w:rFonts w:ascii="Arial Narrow" w:hAnsi="Arial Narrow"/>
          <w:sz w:val="20"/>
          <w:szCs w:val="20"/>
        </w:rPr>
        <w:t>2 del 16.06.2022.</w:t>
      </w:r>
      <w:r w:rsidR="00747FD5">
        <w:rPr>
          <w:rFonts w:ascii="Arial Narrow" w:hAnsi="Arial Narrow"/>
          <w:sz w:val="20"/>
          <w:szCs w:val="20"/>
        </w:rPr>
        <w:t xml:space="preserve"> </w:t>
      </w:r>
      <w:r w:rsidR="00747FD5" w:rsidRPr="00667ECE">
        <w:rPr>
          <w:rFonts w:ascii="Arial Narrow" w:hAnsi="Arial Narrow"/>
          <w:sz w:val="20"/>
          <w:szCs w:val="20"/>
        </w:rPr>
        <w:t xml:space="preserve">Posteriormente, modificado las notas mediante la Resol. SBS </w:t>
      </w:r>
      <w:proofErr w:type="spellStart"/>
      <w:r w:rsidR="00747FD5" w:rsidRPr="00667ECE">
        <w:rPr>
          <w:rFonts w:ascii="Arial Narrow" w:hAnsi="Arial Narrow"/>
          <w:sz w:val="20"/>
          <w:szCs w:val="20"/>
        </w:rPr>
        <w:t>N°</w:t>
      </w:r>
      <w:proofErr w:type="spellEnd"/>
      <w:r w:rsidR="00747FD5" w:rsidRPr="00667ECE">
        <w:rPr>
          <w:rFonts w:ascii="Arial Narrow" w:hAnsi="Arial Narrow"/>
          <w:sz w:val="20"/>
          <w:szCs w:val="20"/>
        </w:rPr>
        <w:t xml:space="preserve"> 3178-2022 del 17.10.2022.</w:t>
      </w:r>
      <w:r w:rsidR="00BA0F9D">
        <w:rPr>
          <w:rFonts w:ascii="Arial Narrow" w:hAnsi="Arial Narrow"/>
          <w:sz w:val="20"/>
          <w:szCs w:val="20"/>
        </w:rPr>
        <w:t xml:space="preserve"> </w:t>
      </w:r>
      <w:r w:rsidR="00BA0F9D" w:rsidRPr="00BA0F9D">
        <w:rPr>
          <w:rFonts w:ascii="Arial Narrow" w:hAnsi="Arial Narrow"/>
          <w:sz w:val="20"/>
          <w:szCs w:val="20"/>
        </w:rPr>
        <w:t xml:space="preserve">Posteriormente, mediante la Resolución SBS </w:t>
      </w:r>
      <w:proofErr w:type="spellStart"/>
      <w:r w:rsidR="00BA0F9D" w:rsidRPr="00BA0F9D">
        <w:rPr>
          <w:rFonts w:ascii="Arial Narrow" w:hAnsi="Arial Narrow"/>
          <w:sz w:val="20"/>
          <w:szCs w:val="20"/>
        </w:rPr>
        <w:t>N°</w:t>
      </w:r>
      <w:proofErr w:type="spellEnd"/>
      <w:r w:rsidR="00BA0F9D" w:rsidRPr="00BA0F9D">
        <w:rPr>
          <w:rFonts w:ascii="Arial Narrow" w:hAnsi="Arial Narrow"/>
          <w:sz w:val="20"/>
          <w:szCs w:val="20"/>
        </w:rPr>
        <w:t xml:space="preserve"> 3952-2022 del 22.12.2022 se modifica el Reporte 2-A1 y sus notas metodológicas</w:t>
      </w:r>
      <w:r w:rsidR="00D96F09">
        <w:rPr>
          <w:rFonts w:ascii="Arial Narrow" w:hAnsi="Arial Narrow"/>
          <w:sz w:val="20"/>
          <w:szCs w:val="20"/>
        </w:rPr>
        <w:t xml:space="preserve"> </w:t>
      </w:r>
      <w:r w:rsidR="00D96F09" w:rsidRPr="00D96F09">
        <w:rPr>
          <w:rFonts w:ascii="Arial Narrow" w:hAnsi="Arial Narrow"/>
          <w:sz w:val="20"/>
          <w:szCs w:val="20"/>
        </w:rPr>
        <w:t>y las notas metodológicas del Reporte 2-A2</w:t>
      </w:r>
      <w:r w:rsidR="00C37C21">
        <w:rPr>
          <w:rFonts w:ascii="Arial Narrow" w:hAnsi="Arial Narrow"/>
          <w:sz w:val="20"/>
          <w:szCs w:val="20"/>
        </w:rPr>
        <w:t>.</w:t>
      </w:r>
      <w:r w:rsidR="006152FB">
        <w:rPr>
          <w:rFonts w:ascii="Arial Narrow" w:hAnsi="Arial Narrow"/>
          <w:sz w:val="20"/>
          <w:szCs w:val="20"/>
        </w:rPr>
        <w:t xml:space="preserve"> </w:t>
      </w:r>
      <w:bookmarkStart w:id="3" w:name="_Hlk136337981"/>
      <w:r w:rsidR="006152FB" w:rsidRPr="00BA0F9D">
        <w:rPr>
          <w:rFonts w:ascii="Arial Narrow" w:hAnsi="Arial Narrow"/>
          <w:sz w:val="20"/>
          <w:szCs w:val="20"/>
        </w:rPr>
        <w:t xml:space="preserve">Posteriormente, mediante la Resolución SBS </w:t>
      </w:r>
      <w:proofErr w:type="spellStart"/>
      <w:r w:rsidR="006152FB" w:rsidRPr="00BA0F9D">
        <w:rPr>
          <w:rFonts w:ascii="Arial Narrow" w:hAnsi="Arial Narrow"/>
          <w:sz w:val="20"/>
          <w:szCs w:val="20"/>
        </w:rPr>
        <w:t>N°</w:t>
      </w:r>
      <w:proofErr w:type="spellEnd"/>
      <w:r w:rsidR="006152FB" w:rsidRPr="00BA0F9D">
        <w:rPr>
          <w:rFonts w:ascii="Arial Narrow" w:hAnsi="Arial Narrow"/>
          <w:sz w:val="20"/>
          <w:szCs w:val="20"/>
        </w:rPr>
        <w:t xml:space="preserve"> </w:t>
      </w:r>
      <w:r w:rsidR="006152FB">
        <w:rPr>
          <w:rFonts w:ascii="Arial Narrow" w:hAnsi="Arial Narrow"/>
          <w:sz w:val="20"/>
          <w:szCs w:val="20"/>
        </w:rPr>
        <w:t>01829</w:t>
      </w:r>
      <w:r w:rsidR="006152FB" w:rsidRPr="00BA0F9D">
        <w:rPr>
          <w:rFonts w:ascii="Arial Narrow" w:hAnsi="Arial Narrow"/>
          <w:sz w:val="20"/>
          <w:szCs w:val="20"/>
        </w:rPr>
        <w:t>-202</w:t>
      </w:r>
      <w:r w:rsidR="006152FB">
        <w:rPr>
          <w:rFonts w:ascii="Arial Narrow" w:hAnsi="Arial Narrow"/>
          <w:sz w:val="20"/>
          <w:szCs w:val="20"/>
        </w:rPr>
        <w:t>3</w:t>
      </w:r>
      <w:r w:rsidR="006152FB" w:rsidRPr="00BA0F9D">
        <w:rPr>
          <w:rFonts w:ascii="Arial Narrow" w:hAnsi="Arial Narrow"/>
          <w:sz w:val="20"/>
          <w:szCs w:val="20"/>
        </w:rPr>
        <w:t xml:space="preserve"> </w:t>
      </w:r>
      <w:r w:rsidR="005141B4">
        <w:rPr>
          <w:rFonts w:ascii="Arial Narrow" w:hAnsi="Arial Narrow"/>
          <w:sz w:val="20"/>
          <w:szCs w:val="20"/>
        </w:rPr>
        <w:t xml:space="preserve">publicada </w:t>
      </w:r>
      <w:r w:rsidR="006152FB" w:rsidRPr="00BA0F9D">
        <w:rPr>
          <w:rFonts w:ascii="Arial Narrow" w:hAnsi="Arial Narrow"/>
          <w:sz w:val="20"/>
          <w:szCs w:val="20"/>
        </w:rPr>
        <w:t>el 2</w:t>
      </w:r>
      <w:r w:rsidR="005141B4">
        <w:rPr>
          <w:rFonts w:ascii="Arial Narrow" w:hAnsi="Arial Narrow"/>
          <w:sz w:val="20"/>
          <w:szCs w:val="20"/>
        </w:rPr>
        <w:t>9</w:t>
      </w:r>
      <w:r w:rsidR="006152FB" w:rsidRPr="00BA0F9D">
        <w:rPr>
          <w:rFonts w:ascii="Arial Narrow" w:hAnsi="Arial Narrow"/>
          <w:sz w:val="20"/>
          <w:szCs w:val="20"/>
        </w:rPr>
        <w:t>.</w:t>
      </w:r>
      <w:r w:rsidR="006152FB">
        <w:rPr>
          <w:rFonts w:ascii="Arial Narrow" w:hAnsi="Arial Narrow"/>
          <w:sz w:val="20"/>
          <w:szCs w:val="20"/>
        </w:rPr>
        <w:t>05</w:t>
      </w:r>
      <w:r w:rsidR="006152FB" w:rsidRPr="00BA0F9D">
        <w:rPr>
          <w:rFonts w:ascii="Arial Narrow" w:hAnsi="Arial Narrow"/>
          <w:sz w:val="20"/>
          <w:szCs w:val="20"/>
        </w:rPr>
        <w:t>.202</w:t>
      </w:r>
      <w:r w:rsidR="006152FB">
        <w:rPr>
          <w:rFonts w:ascii="Arial Narrow" w:hAnsi="Arial Narrow"/>
          <w:sz w:val="20"/>
          <w:szCs w:val="20"/>
        </w:rPr>
        <w:t>3</w:t>
      </w:r>
      <w:r w:rsidR="006152FB" w:rsidRPr="00BA0F9D">
        <w:rPr>
          <w:rFonts w:ascii="Arial Narrow" w:hAnsi="Arial Narrow"/>
          <w:sz w:val="20"/>
          <w:szCs w:val="20"/>
        </w:rPr>
        <w:t xml:space="preserve"> se modifica </w:t>
      </w:r>
      <w:r w:rsidR="006152FB">
        <w:rPr>
          <w:rFonts w:ascii="Arial Narrow" w:hAnsi="Arial Narrow"/>
          <w:sz w:val="20"/>
          <w:szCs w:val="20"/>
        </w:rPr>
        <w:t xml:space="preserve">las </w:t>
      </w:r>
      <w:r w:rsidR="006152FB" w:rsidRPr="00BA0F9D">
        <w:rPr>
          <w:rFonts w:ascii="Arial Narrow" w:hAnsi="Arial Narrow"/>
          <w:sz w:val="20"/>
          <w:szCs w:val="20"/>
        </w:rPr>
        <w:t>notas metodológicas</w:t>
      </w:r>
      <w:r w:rsidR="006152FB">
        <w:rPr>
          <w:rFonts w:ascii="Arial Narrow" w:hAnsi="Arial Narrow"/>
          <w:sz w:val="20"/>
          <w:szCs w:val="20"/>
        </w:rPr>
        <w:t xml:space="preserve"> d</w:t>
      </w:r>
      <w:r w:rsidR="006152FB" w:rsidRPr="00BA0F9D">
        <w:rPr>
          <w:rFonts w:ascii="Arial Narrow" w:hAnsi="Arial Narrow"/>
          <w:sz w:val="20"/>
          <w:szCs w:val="20"/>
        </w:rPr>
        <w:t>el Reporte 2-A1</w:t>
      </w:r>
      <w:r w:rsidR="006152FB">
        <w:rPr>
          <w:rFonts w:ascii="Arial Narrow" w:hAnsi="Arial Narrow"/>
          <w:sz w:val="20"/>
          <w:szCs w:val="20"/>
        </w:rPr>
        <w:t>.</w:t>
      </w:r>
      <w:bookmarkEnd w:id="3"/>
      <w:r w:rsidR="00944618">
        <w:rPr>
          <w:rFonts w:ascii="Arial Narrow" w:hAnsi="Arial Narrow"/>
          <w:sz w:val="20"/>
          <w:szCs w:val="20"/>
        </w:rPr>
        <w:t xml:space="preserve"> Posteriormente, mediante la Resolución SBS </w:t>
      </w:r>
      <w:proofErr w:type="spellStart"/>
      <w:r w:rsidR="00944618">
        <w:rPr>
          <w:rFonts w:ascii="Arial Narrow" w:hAnsi="Arial Narrow"/>
          <w:sz w:val="20"/>
          <w:szCs w:val="20"/>
        </w:rPr>
        <w:t>N°</w:t>
      </w:r>
      <w:proofErr w:type="spellEnd"/>
      <w:r w:rsidR="00944618">
        <w:rPr>
          <w:rFonts w:ascii="Arial Narrow" w:hAnsi="Arial Narrow"/>
          <w:sz w:val="20"/>
          <w:szCs w:val="20"/>
        </w:rPr>
        <w:t xml:space="preserve"> 1088-2024 publicada el 27.03.2024 se modifica las notas metodológicas del Reporte 2-A1. </w:t>
      </w:r>
    </w:p>
    <w:p w14:paraId="20032B6E" w14:textId="77777777" w:rsidR="0060710D" w:rsidRPr="00935B0A" w:rsidRDefault="007F708E" w:rsidP="00935B0A">
      <w:pPr>
        <w:tabs>
          <w:tab w:val="left" w:pos="7685"/>
        </w:tabs>
        <w:spacing w:before="40"/>
        <w:jc w:val="both"/>
        <w:outlineLvl w:val="0"/>
        <w:rPr>
          <w:rFonts w:ascii="Arial Narrow" w:hAnsi="Arial Narrow"/>
          <w:sz w:val="20"/>
          <w:szCs w:val="20"/>
        </w:rPr>
      </w:pPr>
      <w:r w:rsidRPr="00935B0A">
        <w:rPr>
          <w:rFonts w:ascii="Arial Narrow" w:hAnsi="Arial Narrow"/>
          <w:sz w:val="20"/>
          <w:szCs w:val="20"/>
          <w:vertAlign w:val="superscript"/>
        </w:rPr>
        <w:t>16.2</w:t>
      </w:r>
      <w:r w:rsidRPr="00935B0A">
        <w:rPr>
          <w:rFonts w:ascii="Arial Narrow" w:hAnsi="Arial Narrow"/>
          <w:sz w:val="20"/>
          <w:szCs w:val="20"/>
        </w:rPr>
        <w:t xml:space="preserve"> Reportes incorporados mediante la Resol.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2115-2009 del 02.04.2009</w:t>
      </w:r>
      <w:r w:rsidR="007D7005" w:rsidRPr="00935B0A">
        <w:rPr>
          <w:rFonts w:ascii="Arial Narrow" w:hAnsi="Arial Narrow"/>
          <w:sz w:val="20"/>
          <w:szCs w:val="20"/>
        </w:rPr>
        <w:t xml:space="preserve"> a partir de la información de julio de 2009.</w:t>
      </w:r>
      <w:r w:rsidR="0060710D" w:rsidRPr="00935B0A">
        <w:rPr>
          <w:rFonts w:ascii="Arial Narrow" w:hAnsi="Arial Narrow"/>
          <w:sz w:val="20"/>
          <w:szCs w:val="20"/>
        </w:rPr>
        <w:t xml:space="preserve"> Posteriormente modificados los Reportes 2-C1 y 2-C2 mediante la Resol. SBS </w:t>
      </w:r>
      <w:proofErr w:type="spellStart"/>
      <w:r w:rsidR="0060710D" w:rsidRPr="00935B0A">
        <w:rPr>
          <w:rFonts w:ascii="Arial Narrow" w:hAnsi="Arial Narrow"/>
          <w:sz w:val="20"/>
          <w:szCs w:val="20"/>
        </w:rPr>
        <w:t>N°</w:t>
      </w:r>
      <w:proofErr w:type="spellEnd"/>
      <w:r w:rsidR="0060710D" w:rsidRPr="00935B0A">
        <w:rPr>
          <w:rFonts w:ascii="Arial Narrow" w:hAnsi="Arial Narrow"/>
          <w:sz w:val="20"/>
          <w:szCs w:val="20"/>
        </w:rPr>
        <w:t xml:space="preserve"> 18441-2010 del 30.12.2010.</w:t>
      </w:r>
    </w:p>
    <w:p w14:paraId="34A5E777" w14:textId="77777777" w:rsidR="003A2617" w:rsidRPr="00935B0A" w:rsidRDefault="007F708E"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16.3</w:t>
      </w:r>
      <w:r w:rsidRPr="00935B0A">
        <w:rPr>
          <w:rFonts w:ascii="Arial Narrow" w:hAnsi="Arial Narrow"/>
          <w:sz w:val="20"/>
          <w:szCs w:val="20"/>
        </w:rPr>
        <w:t xml:space="preserve"> Reporte incorporado mediante la Resol.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4729-2009 del 29.05.2009</w:t>
      </w:r>
      <w:r w:rsidR="007D7005" w:rsidRPr="00935B0A">
        <w:rPr>
          <w:rFonts w:ascii="Arial Narrow" w:hAnsi="Arial Narrow"/>
          <w:sz w:val="20"/>
          <w:szCs w:val="20"/>
        </w:rPr>
        <w:t xml:space="preserve"> a partir de la información de julio de 2009</w:t>
      </w:r>
      <w:r w:rsidRPr="00935B0A">
        <w:rPr>
          <w:rFonts w:ascii="Arial Narrow" w:hAnsi="Arial Narrow"/>
          <w:sz w:val="20"/>
          <w:szCs w:val="20"/>
        </w:rPr>
        <w:t>.</w:t>
      </w:r>
      <w:r w:rsidR="003A2617" w:rsidRPr="00935B0A">
        <w:rPr>
          <w:rFonts w:ascii="Arial Narrow" w:hAnsi="Arial Narrow"/>
          <w:sz w:val="20"/>
          <w:szCs w:val="20"/>
        </w:rPr>
        <w:t xml:space="preserve"> Modificado posteriormente la nota 1 de dicho reporte por la Resol. SBS </w:t>
      </w:r>
      <w:proofErr w:type="spellStart"/>
      <w:r w:rsidR="003A2617" w:rsidRPr="00935B0A">
        <w:rPr>
          <w:rFonts w:ascii="Arial Narrow" w:hAnsi="Arial Narrow"/>
          <w:sz w:val="20"/>
          <w:szCs w:val="20"/>
        </w:rPr>
        <w:t>Nº</w:t>
      </w:r>
      <w:proofErr w:type="spellEnd"/>
      <w:r w:rsidR="003A2617" w:rsidRPr="00935B0A">
        <w:rPr>
          <w:rFonts w:ascii="Arial Narrow" w:hAnsi="Arial Narrow"/>
          <w:sz w:val="20"/>
          <w:szCs w:val="20"/>
        </w:rPr>
        <w:t xml:space="preserve"> 9816-2009 del 30 de julio de 2009.</w:t>
      </w:r>
      <w:r w:rsidR="006F7971" w:rsidRPr="00935B0A">
        <w:rPr>
          <w:rFonts w:ascii="Arial Narrow" w:hAnsi="Arial Narrow"/>
          <w:sz w:val="20"/>
          <w:szCs w:val="20"/>
        </w:rPr>
        <w:t xml:space="preserve"> Posteriormente sustituido por la Resolución SBS </w:t>
      </w:r>
      <w:proofErr w:type="spellStart"/>
      <w:r w:rsidR="006F7971" w:rsidRPr="00935B0A">
        <w:rPr>
          <w:rFonts w:ascii="Arial Narrow" w:hAnsi="Arial Narrow"/>
          <w:sz w:val="20"/>
          <w:szCs w:val="20"/>
        </w:rPr>
        <w:t>Nº</w:t>
      </w:r>
      <w:proofErr w:type="spellEnd"/>
      <w:r w:rsidR="006F7971" w:rsidRPr="00935B0A">
        <w:rPr>
          <w:rFonts w:ascii="Arial Narrow" w:hAnsi="Arial Narrow"/>
          <w:sz w:val="20"/>
          <w:szCs w:val="20"/>
        </w:rPr>
        <w:t xml:space="preserve"> 14354-2009 del 30.10.2009, vigente a partir de julio 2010.</w:t>
      </w:r>
      <w:r w:rsidR="00D33CE7">
        <w:rPr>
          <w:rFonts w:ascii="Arial Narrow" w:hAnsi="Arial Narrow"/>
          <w:sz w:val="20"/>
          <w:szCs w:val="20"/>
        </w:rPr>
        <w:t xml:space="preserve"> </w:t>
      </w:r>
      <w:r w:rsidR="00D33CE7" w:rsidRPr="00D33CE7">
        <w:rPr>
          <w:rFonts w:ascii="Arial Narrow" w:hAnsi="Arial Narrow"/>
          <w:sz w:val="20"/>
          <w:szCs w:val="20"/>
        </w:rPr>
        <w:t xml:space="preserve">Posteriormente, eliminado por la Resolución SBS </w:t>
      </w:r>
      <w:proofErr w:type="spellStart"/>
      <w:r w:rsidR="00D33CE7" w:rsidRPr="00D33CE7">
        <w:rPr>
          <w:rFonts w:ascii="Arial Narrow" w:hAnsi="Arial Narrow"/>
          <w:sz w:val="20"/>
          <w:szCs w:val="20"/>
        </w:rPr>
        <w:t>Nº</w:t>
      </w:r>
      <w:proofErr w:type="spellEnd"/>
      <w:r w:rsidR="00D33CE7" w:rsidRPr="00D33CE7">
        <w:rPr>
          <w:rFonts w:ascii="Arial Narrow" w:hAnsi="Arial Narrow"/>
          <w:sz w:val="20"/>
          <w:szCs w:val="20"/>
        </w:rPr>
        <w:t xml:space="preserve"> 3953-2022 del 22.12.2022</w:t>
      </w:r>
      <w:r w:rsidR="00C37C21">
        <w:rPr>
          <w:rFonts w:ascii="Arial Narrow" w:hAnsi="Arial Narrow"/>
          <w:sz w:val="20"/>
          <w:szCs w:val="20"/>
        </w:rPr>
        <w:t>.</w:t>
      </w:r>
    </w:p>
    <w:p w14:paraId="5BAD852A" w14:textId="77777777" w:rsidR="007F708E"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17</w:t>
      </w:r>
      <w:r w:rsidRPr="00935B0A">
        <w:rPr>
          <w:rFonts w:ascii="Arial Narrow" w:hAnsi="Arial Narrow"/>
          <w:sz w:val="20"/>
          <w:szCs w:val="20"/>
        </w:rPr>
        <w:t xml:space="preserve"> </w:t>
      </w:r>
      <w:proofErr w:type="gramStart"/>
      <w:r w:rsidR="00F40896" w:rsidRPr="00935B0A">
        <w:rPr>
          <w:rFonts w:ascii="Arial Narrow" w:hAnsi="Arial Narrow"/>
          <w:sz w:val="20"/>
          <w:szCs w:val="20"/>
        </w:rPr>
        <w:t>Nuevo</w:t>
      </w:r>
      <w:proofErr w:type="gramEnd"/>
      <w:r w:rsidR="00F40896" w:rsidRPr="00935B0A">
        <w:rPr>
          <w:rFonts w:ascii="Arial Narrow" w:hAnsi="Arial Narrow"/>
          <w:sz w:val="20"/>
          <w:szCs w:val="20"/>
        </w:rPr>
        <w:t xml:space="preserve"> formato del Reporte </w:t>
      </w:r>
      <w:proofErr w:type="spellStart"/>
      <w:r w:rsidR="00F40896" w:rsidRPr="00935B0A">
        <w:rPr>
          <w:rFonts w:ascii="Arial Narrow" w:hAnsi="Arial Narrow"/>
          <w:sz w:val="20"/>
          <w:szCs w:val="20"/>
        </w:rPr>
        <w:t>Nº</w:t>
      </w:r>
      <w:proofErr w:type="spellEnd"/>
      <w:r w:rsidR="00F40896" w:rsidRPr="00935B0A">
        <w:rPr>
          <w:rFonts w:ascii="Arial Narrow" w:hAnsi="Arial Narrow"/>
          <w:sz w:val="20"/>
          <w:szCs w:val="20"/>
        </w:rPr>
        <w:t xml:space="preserve"> 3 aprobado</w:t>
      </w:r>
      <w:r w:rsidR="007F708E" w:rsidRPr="00935B0A">
        <w:rPr>
          <w:rFonts w:ascii="Arial Narrow" w:hAnsi="Arial Narrow"/>
          <w:sz w:val="20"/>
          <w:szCs w:val="20"/>
        </w:rPr>
        <w:t xml:space="preserve"> por la Resol. SBS </w:t>
      </w:r>
      <w:proofErr w:type="spellStart"/>
      <w:r w:rsidR="007F708E" w:rsidRPr="00935B0A">
        <w:rPr>
          <w:rFonts w:ascii="Arial Narrow" w:hAnsi="Arial Narrow"/>
          <w:sz w:val="20"/>
          <w:szCs w:val="20"/>
        </w:rPr>
        <w:t>Nº</w:t>
      </w:r>
      <w:proofErr w:type="spellEnd"/>
      <w:r w:rsidR="007F708E" w:rsidRPr="00935B0A">
        <w:rPr>
          <w:rFonts w:ascii="Arial Narrow" w:hAnsi="Arial Narrow"/>
          <w:sz w:val="20"/>
          <w:szCs w:val="20"/>
        </w:rPr>
        <w:t xml:space="preserve"> 4729-2009 del 29.05.2009</w:t>
      </w:r>
      <w:r w:rsidR="007D7005" w:rsidRPr="00935B0A">
        <w:rPr>
          <w:rFonts w:ascii="Arial Narrow" w:hAnsi="Arial Narrow"/>
          <w:sz w:val="20"/>
          <w:szCs w:val="20"/>
        </w:rPr>
        <w:t xml:space="preserve"> vigente a partir de la información de julio de 2009.</w:t>
      </w:r>
      <w:r w:rsidR="001A677C" w:rsidRPr="00935B0A">
        <w:rPr>
          <w:rFonts w:ascii="Arial Narrow" w:hAnsi="Arial Narrow"/>
          <w:sz w:val="20"/>
          <w:szCs w:val="20"/>
        </w:rPr>
        <w:t xml:space="preserve"> </w:t>
      </w:r>
      <w:r w:rsidR="005524E0" w:rsidRPr="00935B0A">
        <w:rPr>
          <w:rFonts w:ascii="Arial Narrow" w:hAnsi="Arial Narrow"/>
          <w:sz w:val="20"/>
          <w:szCs w:val="20"/>
        </w:rPr>
        <w:t>Posteriormente</w:t>
      </w:r>
      <w:r w:rsidR="00F25813" w:rsidRPr="00935B0A">
        <w:rPr>
          <w:rFonts w:ascii="Arial Narrow" w:hAnsi="Arial Narrow"/>
          <w:sz w:val="20"/>
          <w:szCs w:val="20"/>
        </w:rPr>
        <w:t xml:space="preserve">, el </w:t>
      </w:r>
      <w:r w:rsidR="005524E0" w:rsidRPr="00935B0A">
        <w:rPr>
          <w:rFonts w:ascii="Arial Narrow" w:hAnsi="Arial Narrow"/>
          <w:sz w:val="20"/>
          <w:szCs w:val="20"/>
        </w:rPr>
        <w:t xml:space="preserve">formato </w:t>
      </w:r>
      <w:r w:rsidR="00F25813" w:rsidRPr="00935B0A">
        <w:rPr>
          <w:rFonts w:ascii="Arial Narrow" w:hAnsi="Arial Narrow"/>
          <w:sz w:val="20"/>
          <w:szCs w:val="20"/>
        </w:rPr>
        <w:t xml:space="preserve">fue </w:t>
      </w:r>
      <w:r w:rsidR="005524E0" w:rsidRPr="00935B0A">
        <w:rPr>
          <w:rFonts w:ascii="Arial Narrow" w:hAnsi="Arial Narrow"/>
          <w:sz w:val="20"/>
          <w:szCs w:val="20"/>
        </w:rPr>
        <w:t xml:space="preserve">modificado por la Resolución SBS </w:t>
      </w:r>
      <w:proofErr w:type="spellStart"/>
      <w:r w:rsidR="005524E0" w:rsidRPr="00935B0A">
        <w:rPr>
          <w:rFonts w:ascii="Arial Narrow" w:hAnsi="Arial Narrow"/>
          <w:sz w:val="20"/>
          <w:szCs w:val="20"/>
        </w:rPr>
        <w:t>Nº</w:t>
      </w:r>
      <w:proofErr w:type="spellEnd"/>
      <w:r w:rsidR="005524E0" w:rsidRPr="00935B0A">
        <w:rPr>
          <w:rFonts w:ascii="Arial Narrow" w:hAnsi="Arial Narrow"/>
          <w:sz w:val="20"/>
          <w:szCs w:val="20"/>
        </w:rPr>
        <w:t xml:space="preserve"> 14354-2009 del 30.10.2009 vigente a partir de julio 2010</w:t>
      </w:r>
      <w:r w:rsidR="00F25813" w:rsidRPr="00935B0A">
        <w:rPr>
          <w:rFonts w:ascii="Arial Narrow" w:hAnsi="Arial Narrow"/>
          <w:sz w:val="20"/>
          <w:szCs w:val="20"/>
        </w:rPr>
        <w:t>.</w:t>
      </w:r>
      <w:r w:rsidR="00E44BC6" w:rsidRPr="00935B0A">
        <w:rPr>
          <w:rFonts w:ascii="Arial Narrow" w:hAnsi="Arial Narrow"/>
          <w:sz w:val="20"/>
          <w:szCs w:val="20"/>
        </w:rPr>
        <w:t xml:space="preserve"> Posteriormente modificado por la adecuación establecida mediante la Resol. SBS </w:t>
      </w:r>
      <w:proofErr w:type="spellStart"/>
      <w:r w:rsidR="00E44BC6" w:rsidRPr="00935B0A">
        <w:rPr>
          <w:rFonts w:ascii="Arial Narrow" w:hAnsi="Arial Narrow"/>
          <w:sz w:val="20"/>
          <w:szCs w:val="20"/>
        </w:rPr>
        <w:t>N°</w:t>
      </w:r>
      <w:proofErr w:type="spellEnd"/>
      <w:r w:rsidR="00E44BC6" w:rsidRPr="00935B0A">
        <w:rPr>
          <w:rFonts w:ascii="Arial Narrow" w:hAnsi="Arial Narrow"/>
          <w:sz w:val="20"/>
          <w:szCs w:val="20"/>
        </w:rPr>
        <w:t xml:space="preserve"> 7036-2012 del 19.09.2012.</w:t>
      </w:r>
      <w:r w:rsidR="00873BE8" w:rsidRPr="00935B0A">
        <w:rPr>
          <w:rFonts w:ascii="Arial Narrow" w:hAnsi="Arial Narrow"/>
          <w:sz w:val="20"/>
          <w:szCs w:val="20"/>
        </w:rPr>
        <w:t xml:space="preserve"> Posteriormente, modificado mediante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6231-2015 del 14.10.2015, vigente a partir de la información de enero de 2016.</w:t>
      </w:r>
      <w:r w:rsidR="004B6E2C" w:rsidRPr="00935B0A">
        <w:rPr>
          <w:rFonts w:ascii="Arial Narrow" w:hAnsi="Arial Narrow"/>
          <w:sz w:val="20"/>
          <w:szCs w:val="20"/>
        </w:rPr>
        <w:t xml:space="preserve"> Posteriormente modificado por la Resolución SBS </w:t>
      </w:r>
      <w:proofErr w:type="spellStart"/>
      <w:r w:rsidR="004B6E2C" w:rsidRPr="00935B0A">
        <w:rPr>
          <w:rFonts w:ascii="Arial Narrow" w:hAnsi="Arial Narrow"/>
          <w:sz w:val="20"/>
          <w:szCs w:val="20"/>
        </w:rPr>
        <w:t>N°</w:t>
      </w:r>
      <w:proofErr w:type="spellEnd"/>
      <w:r w:rsidR="004B6E2C" w:rsidRPr="00935B0A">
        <w:rPr>
          <w:rFonts w:ascii="Arial Narrow" w:hAnsi="Arial Narrow"/>
          <w:sz w:val="20"/>
          <w:szCs w:val="20"/>
        </w:rPr>
        <w:t xml:space="preserve"> 603-2016 del 03.02.2016 vigente a partir de julio 2016.</w:t>
      </w:r>
      <w:r w:rsidR="003D0696" w:rsidRPr="00935B0A">
        <w:rPr>
          <w:rFonts w:ascii="Arial Narrow" w:hAnsi="Arial Narrow"/>
          <w:sz w:val="20"/>
          <w:szCs w:val="20"/>
        </w:rPr>
        <w:t xml:space="preserve"> Posteriormente, modificado por la Resol. SBS </w:t>
      </w:r>
      <w:proofErr w:type="spellStart"/>
      <w:r w:rsidR="003D0696" w:rsidRPr="00935B0A">
        <w:rPr>
          <w:rFonts w:ascii="Arial Narrow" w:hAnsi="Arial Narrow"/>
          <w:sz w:val="20"/>
          <w:szCs w:val="20"/>
        </w:rPr>
        <w:t>N°</w:t>
      </w:r>
      <w:proofErr w:type="spellEnd"/>
      <w:r w:rsidR="003D0696" w:rsidRPr="00935B0A">
        <w:rPr>
          <w:rFonts w:ascii="Arial Narrow" w:hAnsi="Arial Narrow"/>
          <w:sz w:val="20"/>
          <w:szCs w:val="20"/>
        </w:rPr>
        <w:t xml:space="preserve"> 3716-2016 del 06.07.2016 vigente a partir de setiembre 2016.</w:t>
      </w:r>
      <w:r w:rsidR="00DA0FF0" w:rsidRPr="00935B0A">
        <w:rPr>
          <w:rFonts w:ascii="Arial Narrow" w:hAnsi="Arial Narrow"/>
          <w:sz w:val="20"/>
          <w:szCs w:val="20"/>
        </w:rPr>
        <w:t xml:space="preserve"> Posteriormente modificado por la Res. SBS </w:t>
      </w:r>
      <w:proofErr w:type="spellStart"/>
      <w:r w:rsidR="00DA0FF0" w:rsidRPr="00935B0A">
        <w:rPr>
          <w:rFonts w:ascii="Arial Narrow" w:hAnsi="Arial Narrow"/>
          <w:sz w:val="20"/>
          <w:szCs w:val="20"/>
        </w:rPr>
        <w:t>N°</w:t>
      </w:r>
      <w:proofErr w:type="spellEnd"/>
      <w:r w:rsidR="00DA0FF0" w:rsidRPr="00935B0A">
        <w:rPr>
          <w:rFonts w:ascii="Arial Narrow" w:hAnsi="Arial Narrow"/>
          <w:sz w:val="20"/>
          <w:szCs w:val="20"/>
        </w:rPr>
        <w:t xml:space="preserve"> 681-2018 del 21.02.2018.</w:t>
      </w:r>
      <w:r w:rsidR="00D96F09">
        <w:rPr>
          <w:rFonts w:ascii="Arial Narrow" w:hAnsi="Arial Narrow"/>
          <w:sz w:val="20"/>
          <w:szCs w:val="20"/>
        </w:rPr>
        <w:t xml:space="preserve"> </w:t>
      </w:r>
      <w:r w:rsidR="00D96F09" w:rsidRPr="00D96F09">
        <w:rPr>
          <w:rFonts w:ascii="Arial Narrow" w:hAnsi="Arial Narrow"/>
          <w:sz w:val="20"/>
          <w:szCs w:val="20"/>
        </w:rPr>
        <w:t xml:space="preserve">Posteriormente sustituido el formato por la Res. SBS </w:t>
      </w:r>
      <w:proofErr w:type="spellStart"/>
      <w:r w:rsidR="00D96F09" w:rsidRPr="00D96F09">
        <w:rPr>
          <w:rFonts w:ascii="Arial Narrow" w:hAnsi="Arial Narrow"/>
          <w:sz w:val="20"/>
          <w:szCs w:val="20"/>
        </w:rPr>
        <w:t>N°</w:t>
      </w:r>
      <w:proofErr w:type="spellEnd"/>
      <w:r w:rsidR="00D96F09" w:rsidRPr="00D96F09">
        <w:rPr>
          <w:rFonts w:ascii="Arial Narrow" w:hAnsi="Arial Narrow"/>
          <w:sz w:val="20"/>
          <w:szCs w:val="20"/>
        </w:rPr>
        <w:t xml:space="preserve"> 3952-2022 del 22.12.2022</w:t>
      </w:r>
      <w:r w:rsidR="0039293F">
        <w:rPr>
          <w:rFonts w:ascii="Arial Narrow" w:hAnsi="Arial Narrow"/>
          <w:sz w:val="20"/>
          <w:szCs w:val="20"/>
        </w:rPr>
        <w:t>.</w:t>
      </w:r>
      <w:r w:rsidR="004D3BA7" w:rsidRPr="004D3BA7">
        <w:t xml:space="preserve"> </w:t>
      </w:r>
      <w:r w:rsidR="004D3BA7" w:rsidRPr="004D3BA7">
        <w:rPr>
          <w:rFonts w:ascii="Arial Narrow" w:hAnsi="Arial Narrow"/>
          <w:sz w:val="20"/>
          <w:szCs w:val="20"/>
        </w:rPr>
        <w:t xml:space="preserve">Comentarios u observaciones modificados por Res. SBS </w:t>
      </w:r>
      <w:proofErr w:type="spellStart"/>
      <w:r w:rsidR="004D3BA7" w:rsidRPr="004D3BA7">
        <w:rPr>
          <w:rFonts w:ascii="Arial Narrow" w:hAnsi="Arial Narrow"/>
          <w:sz w:val="20"/>
          <w:szCs w:val="20"/>
        </w:rPr>
        <w:t>N°</w:t>
      </w:r>
      <w:proofErr w:type="spellEnd"/>
      <w:r w:rsidR="004D3BA7" w:rsidRPr="004D3BA7">
        <w:rPr>
          <w:rFonts w:ascii="Arial Narrow" w:hAnsi="Arial Narrow"/>
          <w:sz w:val="20"/>
          <w:szCs w:val="20"/>
        </w:rPr>
        <w:t xml:space="preserve"> 3212-2023.</w:t>
      </w:r>
      <w:r w:rsidR="006C06F4" w:rsidRPr="006C06F4">
        <w:rPr>
          <w:rFonts w:ascii="Arial Narrow" w:hAnsi="Arial Narrow"/>
          <w:sz w:val="20"/>
          <w:szCs w:val="20"/>
        </w:rPr>
        <w:t xml:space="preserve"> </w:t>
      </w:r>
      <w:r w:rsidR="006C06F4">
        <w:rPr>
          <w:rFonts w:ascii="Arial Narrow" w:hAnsi="Arial Narrow"/>
          <w:sz w:val="20"/>
          <w:szCs w:val="20"/>
        </w:rPr>
        <w:t xml:space="preserve">Posteriormente, modificado por la Resol. 1088-2024 del 25.03.2024 a partir de marzo 2024. </w:t>
      </w:r>
      <w:r w:rsidR="00944618">
        <w:rPr>
          <w:rFonts w:ascii="Arial Narrow" w:hAnsi="Arial Narrow"/>
          <w:sz w:val="20"/>
          <w:szCs w:val="20"/>
        </w:rPr>
        <w:t xml:space="preserve"> </w:t>
      </w:r>
      <w:r w:rsidR="00160546">
        <w:rPr>
          <w:rFonts w:ascii="Arial Narrow" w:hAnsi="Arial Narrow"/>
          <w:sz w:val="20"/>
          <w:szCs w:val="20"/>
        </w:rPr>
        <w:t xml:space="preserve">Posteriormente, modificado por la Resol. SBS </w:t>
      </w:r>
      <w:proofErr w:type="spellStart"/>
      <w:r w:rsidR="00160546">
        <w:rPr>
          <w:rFonts w:ascii="Arial Narrow" w:hAnsi="Arial Narrow"/>
          <w:sz w:val="20"/>
          <w:szCs w:val="20"/>
        </w:rPr>
        <w:t>N°</w:t>
      </w:r>
      <w:proofErr w:type="spellEnd"/>
      <w:r w:rsidR="00160546">
        <w:rPr>
          <w:rFonts w:ascii="Arial Narrow" w:hAnsi="Arial Narrow"/>
          <w:sz w:val="20"/>
          <w:szCs w:val="20"/>
        </w:rPr>
        <w:t xml:space="preserve"> </w:t>
      </w:r>
      <w:r w:rsidR="009E378E">
        <w:rPr>
          <w:rFonts w:ascii="Arial Narrow" w:hAnsi="Arial Narrow"/>
          <w:sz w:val="20"/>
          <w:szCs w:val="20"/>
        </w:rPr>
        <w:t>0</w:t>
      </w:r>
      <w:r w:rsidR="00160546">
        <w:rPr>
          <w:rFonts w:ascii="Arial Narrow" w:hAnsi="Arial Narrow"/>
          <w:sz w:val="20"/>
          <w:szCs w:val="20"/>
        </w:rPr>
        <w:t xml:space="preserve">2110-2024 </w:t>
      </w:r>
      <w:r w:rsidR="00217D93">
        <w:rPr>
          <w:rFonts w:ascii="Arial Narrow" w:hAnsi="Arial Narrow"/>
          <w:sz w:val="20"/>
          <w:szCs w:val="20"/>
        </w:rPr>
        <w:t>publicada e</w:t>
      </w:r>
      <w:r w:rsidR="00160546">
        <w:rPr>
          <w:rFonts w:ascii="Arial Narrow" w:hAnsi="Arial Narrow"/>
          <w:sz w:val="20"/>
          <w:szCs w:val="20"/>
        </w:rPr>
        <w:t xml:space="preserve">l </w:t>
      </w:r>
      <w:r w:rsidR="00217D93">
        <w:rPr>
          <w:rFonts w:ascii="Arial Narrow" w:hAnsi="Arial Narrow"/>
          <w:sz w:val="20"/>
          <w:szCs w:val="20"/>
        </w:rPr>
        <w:t>11</w:t>
      </w:r>
      <w:r w:rsidR="00160546">
        <w:rPr>
          <w:rFonts w:ascii="Arial Narrow" w:hAnsi="Arial Narrow"/>
          <w:sz w:val="20"/>
          <w:szCs w:val="20"/>
        </w:rPr>
        <w:t xml:space="preserve">.06.2024 </w:t>
      </w:r>
      <w:r w:rsidR="00217D93">
        <w:rPr>
          <w:rFonts w:ascii="Arial Narrow" w:hAnsi="Arial Narrow"/>
          <w:sz w:val="20"/>
          <w:szCs w:val="20"/>
        </w:rPr>
        <w:t>de vigencia</w:t>
      </w:r>
      <w:r w:rsidR="00160546">
        <w:rPr>
          <w:rFonts w:ascii="Arial Narrow" w:hAnsi="Arial Narrow"/>
          <w:sz w:val="20"/>
          <w:szCs w:val="20"/>
        </w:rPr>
        <w:t xml:space="preserve"> </w:t>
      </w:r>
      <w:r w:rsidR="005A2CD3">
        <w:rPr>
          <w:rFonts w:ascii="Arial Narrow" w:hAnsi="Arial Narrow"/>
          <w:sz w:val="20"/>
          <w:szCs w:val="20"/>
        </w:rPr>
        <w:t xml:space="preserve">a partir de la información de </w:t>
      </w:r>
      <w:r w:rsidR="00160546">
        <w:rPr>
          <w:rFonts w:ascii="Arial Narrow" w:hAnsi="Arial Narrow"/>
          <w:sz w:val="20"/>
          <w:szCs w:val="20"/>
        </w:rPr>
        <w:t>junio 2024.</w:t>
      </w:r>
    </w:p>
    <w:p w14:paraId="2ADA7A4B" w14:textId="7A96EB42" w:rsidR="00145F2E" w:rsidRPr="00935B0A" w:rsidRDefault="0001599D"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17.1</w:t>
      </w:r>
      <w:r w:rsidRPr="00935B0A">
        <w:rPr>
          <w:rFonts w:ascii="Arial Narrow" w:hAnsi="Arial Narrow"/>
          <w:b/>
          <w:sz w:val="20"/>
          <w:szCs w:val="20"/>
          <w:vertAlign w:val="superscript"/>
        </w:rPr>
        <w:t xml:space="preserve"> </w:t>
      </w:r>
      <w:r w:rsidRPr="00935B0A">
        <w:rPr>
          <w:rFonts w:ascii="Arial Narrow" w:hAnsi="Arial Narrow"/>
          <w:sz w:val="20"/>
          <w:szCs w:val="20"/>
        </w:rPr>
        <w:t xml:space="preserve">Reportes y notas metodológicas incorporados por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8425-2011: Reporte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4-A1 – Requerimiento de Patrimonio Efectivo Adicional por el Ciclo Económico – Empresas que aplican Método Estándar, Reporte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4-A2– Requerimiento de Patrimonio Efectivo Adicional por el Ciclo Económico– Empresas que aplican Método IRB, Reporte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4-B1 – Requerimiento de Patrimonio Efectivo por Riesgo por Concentración Crediticia - Riesgo por Concentración Individual, Reporte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4-B2 – Requerimiento de Patrimonio Efectivo por Riesgo por Concentración Crediticia -  Riesgo por Concentración Sectorial, Reporte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4-B3 – Requerimiento de Patrimonio Efectivo por Riesgo por Concentración Crediticia -  Riesgo por Concentración Regional, Reporte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4-C - Requerimiento de Patrimonio Efectivo por Riesgo de Tasa de Interés en el Libro Bancario (</w:t>
      </w:r>
      <w:proofErr w:type="spellStart"/>
      <w:r w:rsidRPr="00935B0A">
        <w:rPr>
          <w:rFonts w:ascii="Arial Narrow" w:hAnsi="Arial Narrow"/>
          <w:sz w:val="20"/>
          <w:szCs w:val="20"/>
        </w:rPr>
        <w:t>Banking</w:t>
      </w:r>
      <w:proofErr w:type="spellEnd"/>
      <w:r w:rsidRPr="00935B0A">
        <w:rPr>
          <w:rFonts w:ascii="Arial Narrow" w:hAnsi="Arial Narrow"/>
          <w:sz w:val="20"/>
          <w:szCs w:val="20"/>
        </w:rPr>
        <w:t xml:space="preserve"> Book), Reporte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4-D - Resumen Requerimiento de Patrimonio Efectivo Adicional.</w:t>
      </w:r>
      <w:r w:rsidR="00393450" w:rsidRPr="00935B0A">
        <w:rPr>
          <w:rFonts w:ascii="Arial Narrow" w:hAnsi="Arial Narrow"/>
          <w:sz w:val="20"/>
          <w:szCs w:val="20"/>
        </w:rPr>
        <w:t xml:space="preserve"> Posteriormente, fue modificado mediante la Resol. SBS </w:t>
      </w:r>
      <w:proofErr w:type="spellStart"/>
      <w:r w:rsidR="00393450" w:rsidRPr="00935B0A">
        <w:rPr>
          <w:rFonts w:ascii="Arial Narrow" w:hAnsi="Arial Narrow"/>
          <w:sz w:val="20"/>
          <w:szCs w:val="20"/>
        </w:rPr>
        <w:t>N°</w:t>
      </w:r>
      <w:proofErr w:type="spellEnd"/>
      <w:r w:rsidR="00393450" w:rsidRPr="00935B0A">
        <w:rPr>
          <w:rFonts w:ascii="Arial Narrow" w:hAnsi="Arial Narrow"/>
          <w:sz w:val="20"/>
          <w:szCs w:val="20"/>
        </w:rPr>
        <w:t xml:space="preserve"> 11665-2011 del 23.11.2011.</w:t>
      </w:r>
      <w:r w:rsidR="00172CAF" w:rsidRPr="00935B0A">
        <w:rPr>
          <w:rFonts w:ascii="Arial Narrow" w:hAnsi="Arial Narrow"/>
          <w:sz w:val="20"/>
          <w:szCs w:val="20"/>
        </w:rPr>
        <w:t xml:space="preserve"> </w:t>
      </w:r>
      <w:r w:rsidR="00F711A0" w:rsidRPr="00935B0A">
        <w:rPr>
          <w:rFonts w:ascii="Arial Narrow" w:hAnsi="Arial Narrow"/>
          <w:sz w:val="20"/>
          <w:szCs w:val="20"/>
        </w:rPr>
        <w:t xml:space="preserve">Posteriormente modificado las notas del Reporte </w:t>
      </w:r>
      <w:proofErr w:type="spellStart"/>
      <w:r w:rsidR="00F711A0" w:rsidRPr="00935B0A">
        <w:rPr>
          <w:rFonts w:ascii="Arial Narrow" w:hAnsi="Arial Narrow"/>
          <w:sz w:val="20"/>
          <w:szCs w:val="20"/>
        </w:rPr>
        <w:t>N°</w:t>
      </w:r>
      <w:proofErr w:type="spellEnd"/>
      <w:r w:rsidR="00F711A0" w:rsidRPr="00935B0A">
        <w:rPr>
          <w:rFonts w:ascii="Arial Narrow" w:hAnsi="Arial Narrow"/>
          <w:sz w:val="20"/>
          <w:szCs w:val="20"/>
        </w:rPr>
        <w:t xml:space="preserve"> 4-A1 por la Resol. SBS </w:t>
      </w:r>
      <w:proofErr w:type="spellStart"/>
      <w:r w:rsidR="00F711A0" w:rsidRPr="00935B0A">
        <w:rPr>
          <w:rFonts w:ascii="Arial Narrow" w:hAnsi="Arial Narrow"/>
          <w:sz w:val="20"/>
          <w:szCs w:val="20"/>
        </w:rPr>
        <w:t>N°</w:t>
      </w:r>
      <w:proofErr w:type="spellEnd"/>
      <w:r w:rsidR="00F711A0" w:rsidRPr="00935B0A">
        <w:rPr>
          <w:rFonts w:ascii="Arial Narrow" w:hAnsi="Arial Narrow"/>
          <w:sz w:val="20"/>
          <w:szCs w:val="20"/>
        </w:rPr>
        <w:t xml:space="preserve"> 7036-2012 del 19.09.2012.</w:t>
      </w:r>
      <w:r w:rsidR="0053184D" w:rsidRPr="00935B0A">
        <w:rPr>
          <w:rFonts w:ascii="Arial Narrow" w:hAnsi="Arial Narrow"/>
          <w:sz w:val="20"/>
          <w:szCs w:val="20"/>
        </w:rPr>
        <w:t xml:space="preserve"> Posteriormente modificado las notas del Reporte </w:t>
      </w:r>
      <w:proofErr w:type="spellStart"/>
      <w:r w:rsidR="0053184D" w:rsidRPr="00935B0A">
        <w:rPr>
          <w:rFonts w:ascii="Arial Narrow" w:hAnsi="Arial Narrow"/>
          <w:sz w:val="20"/>
          <w:szCs w:val="20"/>
        </w:rPr>
        <w:t>N°</w:t>
      </w:r>
      <w:proofErr w:type="spellEnd"/>
      <w:r w:rsidR="0053184D" w:rsidRPr="00935B0A">
        <w:rPr>
          <w:rFonts w:ascii="Arial Narrow" w:hAnsi="Arial Narrow"/>
          <w:sz w:val="20"/>
          <w:szCs w:val="20"/>
        </w:rPr>
        <w:t xml:space="preserve"> 4-A1 por la Resol. SBS </w:t>
      </w:r>
      <w:proofErr w:type="spellStart"/>
      <w:r w:rsidR="0053184D" w:rsidRPr="00935B0A">
        <w:rPr>
          <w:rFonts w:ascii="Arial Narrow" w:hAnsi="Arial Narrow"/>
          <w:sz w:val="20"/>
          <w:szCs w:val="20"/>
        </w:rPr>
        <w:t>N°</w:t>
      </w:r>
      <w:proofErr w:type="spellEnd"/>
      <w:r w:rsidR="0053184D" w:rsidRPr="00935B0A">
        <w:rPr>
          <w:rFonts w:ascii="Arial Narrow" w:hAnsi="Arial Narrow"/>
          <w:sz w:val="20"/>
          <w:szCs w:val="20"/>
        </w:rPr>
        <w:t xml:space="preserve"> 5570-2019 del 27.11.2019 </w:t>
      </w:r>
      <w:r w:rsidR="00C6103D" w:rsidRPr="00935B0A">
        <w:rPr>
          <w:rFonts w:ascii="Arial Narrow" w:hAnsi="Arial Narrow"/>
          <w:sz w:val="20"/>
          <w:szCs w:val="20"/>
        </w:rPr>
        <w:t xml:space="preserve">y modificatoria </w:t>
      </w:r>
      <w:r w:rsidR="0053184D" w:rsidRPr="00935B0A">
        <w:rPr>
          <w:rFonts w:ascii="Arial Narrow" w:hAnsi="Arial Narrow"/>
          <w:sz w:val="20"/>
          <w:szCs w:val="20"/>
        </w:rPr>
        <w:t xml:space="preserve">de vigencia </w:t>
      </w:r>
      <w:r w:rsidR="00C6103D" w:rsidRPr="00935B0A">
        <w:rPr>
          <w:rFonts w:ascii="Arial Narrow" w:hAnsi="Arial Narrow"/>
          <w:sz w:val="20"/>
          <w:szCs w:val="20"/>
        </w:rPr>
        <w:t xml:space="preserve">enero </w:t>
      </w:r>
      <w:r w:rsidR="0053184D" w:rsidRPr="00935B0A">
        <w:rPr>
          <w:rFonts w:ascii="Arial Narrow" w:hAnsi="Arial Narrow"/>
          <w:sz w:val="20"/>
          <w:szCs w:val="20"/>
        </w:rPr>
        <w:t>202</w:t>
      </w:r>
      <w:r w:rsidR="00C6103D" w:rsidRPr="00935B0A">
        <w:rPr>
          <w:rFonts w:ascii="Arial Narrow" w:hAnsi="Arial Narrow"/>
          <w:sz w:val="20"/>
          <w:szCs w:val="20"/>
        </w:rPr>
        <w:t>1</w:t>
      </w:r>
      <w:r w:rsidR="0053184D" w:rsidRPr="00935B0A">
        <w:rPr>
          <w:rFonts w:ascii="Arial Narrow" w:hAnsi="Arial Narrow"/>
          <w:sz w:val="20"/>
          <w:szCs w:val="20"/>
        </w:rPr>
        <w:t>.</w:t>
      </w:r>
      <w:r w:rsidR="0087244A">
        <w:rPr>
          <w:rFonts w:ascii="Arial Narrow" w:hAnsi="Arial Narrow"/>
          <w:sz w:val="20"/>
          <w:szCs w:val="20"/>
        </w:rPr>
        <w:t xml:space="preserve"> </w:t>
      </w:r>
      <w:r w:rsidR="0087244A" w:rsidRPr="0087244A">
        <w:rPr>
          <w:rFonts w:ascii="Arial Narrow" w:hAnsi="Arial Narrow"/>
          <w:sz w:val="20"/>
          <w:szCs w:val="20"/>
        </w:rPr>
        <w:t xml:space="preserve">Posteriormente modificado los reportes </w:t>
      </w:r>
      <w:proofErr w:type="spellStart"/>
      <w:r w:rsidR="0087244A" w:rsidRPr="0087244A">
        <w:rPr>
          <w:rFonts w:ascii="Arial Narrow" w:hAnsi="Arial Narrow"/>
          <w:sz w:val="20"/>
          <w:szCs w:val="20"/>
        </w:rPr>
        <w:t>N°</w:t>
      </w:r>
      <w:proofErr w:type="spellEnd"/>
      <w:r w:rsidR="0087244A" w:rsidRPr="0087244A">
        <w:rPr>
          <w:rFonts w:ascii="Arial Narrow" w:hAnsi="Arial Narrow"/>
          <w:sz w:val="20"/>
          <w:szCs w:val="20"/>
        </w:rPr>
        <w:t xml:space="preserve"> 4-B1, 4-B2, 4-B3, 4-C y 4-D y sus respectivas notas metodológicas por la Resol. SBS </w:t>
      </w:r>
      <w:proofErr w:type="spellStart"/>
      <w:r w:rsidR="0087244A" w:rsidRPr="0087244A">
        <w:rPr>
          <w:rFonts w:ascii="Arial Narrow" w:hAnsi="Arial Narrow"/>
          <w:sz w:val="20"/>
          <w:szCs w:val="20"/>
        </w:rPr>
        <w:t>N°</w:t>
      </w:r>
      <w:proofErr w:type="spellEnd"/>
      <w:r w:rsidR="0087244A" w:rsidRPr="0087244A">
        <w:rPr>
          <w:rFonts w:ascii="Arial Narrow" w:hAnsi="Arial Narrow"/>
          <w:sz w:val="20"/>
          <w:szCs w:val="20"/>
        </w:rPr>
        <w:t xml:space="preserve"> 3953-2022 del 22.12.2022</w:t>
      </w:r>
      <w:r w:rsidR="00711E7D">
        <w:rPr>
          <w:rFonts w:ascii="Arial Narrow" w:hAnsi="Arial Narrow"/>
          <w:sz w:val="20"/>
          <w:szCs w:val="20"/>
        </w:rPr>
        <w:t xml:space="preserve">. </w:t>
      </w:r>
      <w:r w:rsidR="00711E7D" w:rsidRPr="00711E7D">
        <w:rPr>
          <w:rFonts w:ascii="Arial Narrow" w:hAnsi="Arial Narrow"/>
          <w:sz w:val="20"/>
          <w:szCs w:val="20"/>
        </w:rPr>
        <w:t xml:space="preserve">Posteriormente modificado el Reporte </w:t>
      </w:r>
      <w:proofErr w:type="spellStart"/>
      <w:r w:rsidR="00711E7D" w:rsidRPr="00711E7D">
        <w:rPr>
          <w:rFonts w:ascii="Arial Narrow" w:hAnsi="Arial Narrow"/>
          <w:sz w:val="20"/>
          <w:szCs w:val="20"/>
        </w:rPr>
        <w:t>N°</w:t>
      </w:r>
      <w:proofErr w:type="spellEnd"/>
      <w:r w:rsidR="00711E7D" w:rsidRPr="00711E7D">
        <w:rPr>
          <w:rFonts w:ascii="Arial Narrow" w:hAnsi="Arial Narrow"/>
          <w:sz w:val="20"/>
          <w:szCs w:val="20"/>
        </w:rPr>
        <w:t xml:space="preserve"> 4-A1 y sus notas metodológicas, y las notas metodológicas del Reporte </w:t>
      </w:r>
      <w:proofErr w:type="spellStart"/>
      <w:r w:rsidR="00711E7D" w:rsidRPr="00711E7D">
        <w:rPr>
          <w:rFonts w:ascii="Arial Narrow" w:hAnsi="Arial Narrow"/>
          <w:sz w:val="20"/>
          <w:szCs w:val="20"/>
        </w:rPr>
        <w:t>N°</w:t>
      </w:r>
      <w:proofErr w:type="spellEnd"/>
      <w:r w:rsidR="00711E7D" w:rsidRPr="00711E7D">
        <w:rPr>
          <w:rFonts w:ascii="Arial Narrow" w:hAnsi="Arial Narrow"/>
          <w:sz w:val="20"/>
          <w:szCs w:val="20"/>
        </w:rPr>
        <w:t xml:space="preserve"> 4-A2 por la Resol. SBS </w:t>
      </w:r>
      <w:proofErr w:type="spellStart"/>
      <w:r w:rsidR="00711E7D" w:rsidRPr="00711E7D">
        <w:rPr>
          <w:rFonts w:ascii="Arial Narrow" w:hAnsi="Arial Narrow"/>
          <w:sz w:val="20"/>
          <w:szCs w:val="20"/>
        </w:rPr>
        <w:t>N°</w:t>
      </w:r>
      <w:proofErr w:type="spellEnd"/>
      <w:r w:rsidR="00711E7D" w:rsidRPr="00711E7D">
        <w:rPr>
          <w:rFonts w:ascii="Arial Narrow" w:hAnsi="Arial Narrow"/>
          <w:sz w:val="20"/>
          <w:szCs w:val="20"/>
        </w:rPr>
        <w:t xml:space="preserve"> 3954-2022 del 22.12.2022</w:t>
      </w:r>
      <w:r w:rsidR="00287546">
        <w:rPr>
          <w:rFonts w:ascii="Arial Narrow" w:hAnsi="Arial Narrow"/>
          <w:sz w:val="20"/>
          <w:szCs w:val="20"/>
        </w:rPr>
        <w:t xml:space="preserve">. Posteriormente, modificado el reporte </w:t>
      </w:r>
      <w:proofErr w:type="spellStart"/>
      <w:r w:rsidR="00287546">
        <w:rPr>
          <w:rFonts w:ascii="Arial Narrow" w:hAnsi="Arial Narrow"/>
          <w:sz w:val="20"/>
          <w:szCs w:val="20"/>
        </w:rPr>
        <w:t>N°</w:t>
      </w:r>
      <w:proofErr w:type="spellEnd"/>
      <w:r w:rsidR="00287546">
        <w:rPr>
          <w:rFonts w:ascii="Arial Narrow" w:hAnsi="Arial Narrow"/>
          <w:sz w:val="20"/>
          <w:szCs w:val="20"/>
        </w:rPr>
        <w:t xml:space="preserve"> 4-B2 y sus respectivas notas metodológicas por la Resol. SBS </w:t>
      </w:r>
      <w:proofErr w:type="spellStart"/>
      <w:r w:rsidR="00287546">
        <w:rPr>
          <w:rFonts w:ascii="Arial Narrow" w:hAnsi="Arial Narrow"/>
          <w:sz w:val="20"/>
          <w:szCs w:val="20"/>
        </w:rPr>
        <w:t>N°</w:t>
      </w:r>
      <w:proofErr w:type="spellEnd"/>
      <w:r w:rsidR="00287546">
        <w:rPr>
          <w:rFonts w:ascii="Arial Narrow" w:hAnsi="Arial Narrow"/>
          <w:sz w:val="20"/>
          <w:szCs w:val="20"/>
        </w:rPr>
        <w:t xml:space="preserve"> 4218-2023 </w:t>
      </w:r>
      <w:r w:rsidR="00A37BEA">
        <w:rPr>
          <w:rFonts w:ascii="Arial Narrow" w:hAnsi="Arial Narrow"/>
          <w:sz w:val="20"/>
          <w:szCs w:val="20"/>
        </w:rPr>
        <w:t>publicada el 21.12.2023 de vigencia julio 2024</w:t>
      </w:r>
      <w:r w:rsidR="00287546">
        <w:rPr>
          <w:rFonts w:ascii="Arial Narrow" w:hAnsi="Arial Narrow"/>
          <w:sz w:val="20"/>
          <w:szCs w:val="20"/>
        </w:rPr>
        <w:t xml:space="preserve">. </w:t>
      </w:r>
      <w:r w:rsidR="00D40B00">
        <w:rPr>
          <w:rFonts w:ascii="Arial Narrow" w:hAnsi="Arial Narrow"/>
          <w:sz w:val="20"/>
          <w:szCs w:val="20"/>
        </w:rPr>
        <w:t xml:space="preserve">Posteriormente, modificado las notas del Reporte </w:t>
      </w:r>
      <w:proofErr w:type="spellStart"/>
      <w:r w:rsidR="00D40B00">
        <w:rPr>
          <w:rFonts w:ascii="Arial Narrow" w:hAnsi="Arial Narrow"/>
          <w:sz w:val="20"/>
          <w:szCs w:val="20"/>
        </w:rPr>
        <w:t>N°</w:t>
      </w:r>
      <w:proofErr w:type="spellEnd"/>
      <w:r w:rsidR="00D40B00">
        <w:rPr>
          <w:rFonts w:ascii="Arial Narrow" w:hAnsi="Arial Narrow"/>
          <w:sz w:val="20"/>
          <w:szCs w:val="20"/>
        </w:rPr>
        <w:t xml:space="preserve"> 4-A1 por la Resol. </w:t>
      </w:r>
      <w:proofErr w:type="spellStart"/>
      <w:r w:rsidR="00D40B00">
        <w:rPr>
          <w:rFonts w:ascii="Arial Narrow" w:hAnsi="Arial Narrow"/>
          <w:sz w:val="20"/>
          <w:szCs w:val="20"/>
        </w:rPr>
        <w:t>N°</w:t>
      </w:r>
      <w:proofErr w:type="spellEnd"/>
      <w:r w:rsidR="00D40B00">
        <w:rPr>
          <w:rFonts w:ascii="Arial Narrow" w:hAnsi="Arial Narrow"/>
          <w:sz w:val="20"/>
          <w:szCs w:val="20"/>
        </w:rPr>
        <w:t xml:space="preserve"> 04345-2023 del 29.12.2023, vigente a partir de julio 2025</w:t>
      </w:r>
      <w:r w:rsidR="00F869E9" w:rsidRPr="00F869E9">
        <w:rPr>
          <w:rFonts w:ascii="Arial Narrow" w:hAnsi="Arial Narrow"/>
          <w:sz w:val="20"/>
          <w:szCs w:val="20"/>
        </w:rPr>
        <w:t xml:space="preserve">, posteriormente se amplió su vigencia a marzo de 2026 por la Resolución SBS </w:t>
      </w:r>
      <w:proofErr w:type="spellStart"/>
      <w:r w:rsidR="00F869E9" w:rsidRPr="00F869E9">
        <w:rPr>
          <w:rFonts w:ascii="Arial Narrow" w:hAnsi="Arial Narrow"/>
          <w:sz w:val="20"/>
          <w:szCs w:val="20"/>
        </w:rPr>
        <w:t>N°</w:t>
      </w:r>
      <w:proofErr w:type="spellEnd"/>
      <w:r w:rsidR="00F869E9" w:rsidRPr="00F869E9">
        <w:rPr>
          <w:rFonts w:ascii="Arial Narrow" w:hAnsi="Arial Narrow"/>
          <w:sz w:val="20"/>
          <w:szCs w:val="20"/>
        </w:rPr>
        <w:t xml:space="preserve"> 4347-2024 </w:t>
      </w:r>
      <w:r w:rsidR="00F869E9" w:rsidRPr="0005558C">
        <w:rPr>
          <w:rFonts w:ascii="Arial Narrow" w:hAnsi="Arial Narrow"/>
          <w:sz w:val="20"/>
          <w:szCs w:val="20"/>
        </w:rPr>
        <w:t>del 20</w:t>
      </w:r>
      <w:r w:rsidR="00F869E9" w:rsidRPr="00F869E9">
        <w:rPr>
          <w:rFonts w:ascii="Arial Narrow" w:hAnsi="Arial Narrow"/>
          <w:sz w:val="20"/>
          <w:szCs w:val="20"/>
        </w:rPr>
        <w:t>.12.2024</w:t>
      </w:r>
      <w:r w:rsidR="00D40B00">
        <w:rPr>
          <w:rFonts w:ascii="Arial Narrow" w:hAnsi="Arial Narrow"/>
          <w:sz w:val="20"/>
          <w:szCs w:val="20"/>
        </w:rPr>
        <w:t>.</w:t>
      </w:r>
      <w:r w:rsidR="00CE7C76" w:rsidRPr="00CE7C76">
        <w:t xml:space="preserve"> </w:t>
      </w:r>
      <w:r w:rsidR="00CE7C76" w:rsidRPr="00CE7C76">
        <w:rPr>
          <w:rFonts w:ascii="Arial Narrow" w:hAnsi="Arial Narrow"/>
          <w:sz w:val="20"/>
          <w:szCs w:val="20"/>
        </w:rPr>
        <w:t xml:space="preserve">Posteriormente modificado mediante las Resol. SBS </w:t>
      </w:r>
      <w:proofErr w:type="spellStart"/>
      <w:r w:rsidR="00CE7C76" w:rsidRPr="00CE7C76">
        <w:rPr>
          <w:rFonts w:ascii="Arial Narrow" w:hAnsi="Arial Narrow"/>
          <w:sz w:val="20"/>
          <w:szCs w:val="20"/>
        </w:rPr>
        <w:t>N°</w:t>
      </w:r>
      <w:proofErr w:type="spellEnd"/>
      <w:r w:rsidR="00CE7C76" w:rsidRPr="00CE7C76">
        <w:rPr>
          <w:rFonts w:ascii="Arial Narrow" w:hAnsi="Arial Narrow"/>
          <w:sz w:val="20"/>
          <w:szCs w:val="20"/>
        </w:rPr>
        <w:t xml:space="preserve"> 4345-2023 y 4347-2024, la cuales </w:t>
      </w:r>
      <w:proofErr w:type="gramStart"/>
      <w:r w:rsidR="00CE7C76" w:rsidRPr="00CE7C76">
        <w:rPr>
          <w:rFonts w:ascii="Arial Narrow" w:hAnsi="Arial Narrow"/>
          <w:sz w:val="20"/>
          <w:szCs w:val="20"/>
        </w:rPr>
        <w:t>entran en vigencia</w:t>
      </w:r>
      <w:proofErr w:type="gramEnd"/>
      <w:r w:rsidR="00CE7C76" w:rsidRPr="00CE7C76">
        <w:rPr>
          <w:rFonts w:ascii="Arial Narrow" w:hAnsi="Arial Narrow"/>
          <w:sz w:val="20"/>
          <w:szCs w:val="20"/>
        </w:rPr>
        <w:t xml:space="preserve"> a partir de marzo de 2026.</w:t>
      </w:r>
    </w:p>
    <w:p w14:paraId="1A926784" w14:textId="77777777" w:rsidR="000F2FF3" w:rsidRPr="00935B0A" w:rsidRDefault="000F2FF3" w:rsidP="00935B0A">
      <w:pPr>
        <w:tabs>
          <w:tab w:val="left" w:pos="7685"/>
        </w:tabs>
        <w:spacing w:before="40"/>
        <w:jc w:val="both"/>
        <w:rPr>
          <w:rFonts w:ascii="Arial Narrow" w:hAnsi="Arial Narrow"/>
          <w:sz w:val="20"/>
          <w:szCs w:val="20"/>
          <w:vertAlign w:val="superscript"/>
        </w:rPr>
      </w:pPr>
      <w:r w:rsidRPr="00935B0A">
        <w:rPr>
          <w:rFonts w:ascii="Arial Narrow" w:hAnsi="Arial Narrow"/>
          <w:sz w:val="20"/>
          <w:szCs w:val="20"/>
          <w:vertAlign w:val="superscript"/>
        </w:rPr>
        <w:t>17.2</w:t>
      </w:r>
      <w:r w:rsidRPr="00935B0A">
        <w:rPr>
          <w:rFonts w:ascii="Arial Narrow" w:hAnsi="Arial Narrow"/>
          <w:b/>
          <w:sz w:val="20"/>
          <w:szCs w:val="20"/>
          <w:vertAlign w:val="superscript"/>
        </w:rPr>
        <w:t xml:space="preserve"> </w:t>
      </w:r>
      <w:r w:rsidRPr="00935B0A">
        <w:rPr>
          <w:rFonts w:ascii="Arial Narrow" w:hAnsi="Arial Narrow"/>
          <w:sz w:val="20"/>
          <w:szCs w:val="20"/>
        </w:rPr>
        <w:t xml:space="preserve">Aprobado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975-2016 del 24.02.2016 vigente a partir de la información de julio 2016.</w:t>
      </w:r>
      <w:r w:rsidR="005132D7" w:rsidRPr="00935B0A">
        <w:rPr>
          <w:rFonts w:ascii="Arial Narrow" w:hAnsi="Arial Narrow"/>
          <w:sz w:val="20"/>
          <w:szCs w:val="20"/>
        </w:rPr>
        <w:t xml:space="preserve"> Posteriormente, modificado por la Resol. SBS </w:t>
      </w:r>
      <w:proofErr w:type="spellStart"/>
      <w:r w:rsidR="005132D7" w:rsidRPr="00935B0A">
        <w:rPr>
          <w:rFonts w:ascii="Arial Narrow" w:hAnsi="Arial Narrow"/>
          <w:sz w:val="20"/>
          <w:szCs w:val="20"/>
        </w:rPr>
        <w:t>N°</w:t>
      </w:r>
      <w:proofErr w:type="spellEnd"/>
      <w:r w:rsidR="005132D7" w:rsidRPr="00935B0A">
        <w:rPr>
          <w:rFonts w:ascii="Arial Narrow" w:hAnsi="Arial Narrow"/>
          <w:sz w:val="20"/>
          <w:szCs w:val="20"/>
        </w:rPr>
        <w:t xml:space="preserve"> 3716-2016 del 06.07.2016 vigente a partir de setiembre 2016.</w:t>
      </w:r>
      <w:r w:rsidR="00983F91">
        <w:rPr>
          <w:rFonts w:ascii="Arial Narrow" w:hAnsi="Arial Narrow"/>
          <w:sz w:val="20"/>
          <w:szCs w:val="20"/>
        </w:rPr>
        <w:t xml:space="preserve"> </w:t>
      </w:r>
      <w:r w:rsidR="00983F91" w:rsidRPr="00983F91">
        <w:rPr>
          <w:rFonts w:ascii="Arial Narrow" w:hAnsi="Arial Narrow"/>
          <w:sz w:val="20"/>
          <w:szCs w:val="20"/>
        </w:rPr>
        <w:t>Posteriormente eliminad</w:t>
      </w:r>
      <w:r w:rsidR="00983F91">
        <w:rPr>
          <w:rFonts w:ascii="Arial Narrow" w:hAnsi="Arial Narrow"/>
          <w:sz w:val="20"/>
          <w:szCs w:val="20"/>
        </w:rPr>
        <w:t xml:space="preserve">o por la Resolución SBS </w:t>
      </w:r>
      <w:proofErr w:type="spellStart"/>
      <w:r w:rsidR="00983F91">
        <w:rPr>
          <w:rFonts w:ascii="Arial Narrow" w:hAnsi="Arial Narrow"/>
          <w:sz w:val="20"/>
          <w:szCs w:val="20"/>
        </w:rPr>
        <w:t>Nº</w:t>
      </w:r>
      <w:proofErr w:type="spellEnd"/>
      <w:r w:rsidR="00983F91">
        <w:rPr>
          <w:rFonts w:ascii="Arial Narrow" w:hAnsi="Arial Narrow"/>
          <w:sz w:val="20"/>
          <w:szCs w:val="20"/>
        </w:rPr>
        <w:t xml:space="preserve"> 3955-2022 del 22.12.2022</w:t>
      </w:r>
      <w:r w:rsidR="00C37C21">
        <w:rPr>
          <w:rFonts w:ascii="Arial Narrow" w:hAnsi="Arial Narrow"/>
          <w:sz w:val="20"/>
          <w:szCs w:val="20"/>
        </w:rPr>
        <w:t>.</w:t>
      </w:r>
      <w:r w:rsidR="00983F91">
        <w:rPr>
          <w:rFonts w:ascii="Arial Narrow" w:hAnsi="Arial Narrow"/>
          <w:sz w:val="20"/>
          <w:szCs w:val="20"/>
        </w:rPr>
        <w:t xml:space="preserve"> </w:t>
      </w:r>
    </w:p>
    <w:p w14:paraId="7D99E560" w14:textId="77777777" w:rsidR="00965622"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18</w:t>
      </w:r>
      <w:r w:rsidRPr="00935B0A">
        <w:rPr>
          <w:rFonts w:ascii="Arial Narrow" w:hAnsi="Arial Narrow"/>
          <w:sz w:val="20"/>
          <w:szCs w:val="20"/>
        </w:rPr>
        <w:t xml:space="preserve"> </w:t>
      </w:r>
      <w:proofErr w:type="gramStart"/>
      <w:r w:rsidRPr="00935B0A">
        <w:rPr>
          <w:rFonts w:ascii="Arial Narrow" w:hAnsi="Arial Narrow"/>
          <w:sz w:val="20"/>
          <w:szCs w:val="20"/>
        </w:rPr>
        <w:t>Modificado</w:t>
      </w:r>
      <w:proofErr w:type="gramEnd"/>
      <w:r w:rsidRPr="00935B0A">
        <w:rPr>
          <w:rFonts w:ascii="Arial Narrow" w:hAnsi="Arial Narrow"/>
          <w:sz w:val="20"/>
          <w:szCs w:val="20"/>
        </w:rPr>
        <w:t xml:space="preserve"> por Circular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B-2118-2003 del 08.05.2003</w:t>
      </w:r>
      <w:r w:rsidR="00B12C9F" w:rsidRPr="00935B0A">
        <w:rPr>
          <w:rFonts w:ascii="Arial Narrow" w:hAnsi="Arial Narrow"/>
          <w:sz w:val="20"/>
          <w:szCs w:val="20"/>
        </w:rPr>
        <w:t xml:space="preserve"> y por la Circular SBS </w:t>
      </w:r>
      <w:proofErr w:type="spellStart"/>
      <w:r w:rsidR="00B12C9F" w:rsidRPr="00935B0A">
        <w:rPr>
          <w:rFonts w:ascii="Arial Narrow" w:hAnsi="Arial Narrow"/>
          <w:sz w:val="20"/>
          <w:szCs w:val="20"/>
        </w:rPr>
        <w:t>Nº</w:t>
      </w:r>
      <w:proofErr w:type="spellEnd"/>
      <w:r w:rsidR="00B12C9F" w:rsidRPr="00935B0A">
        <w:rPr>
          <w:rFonts w:ascii="Arial Narrow" w:hAnsi="Arial Narrow"/>
          <w:sz w:val="20"/>
          <w:szCs w:val="20"/>
        </w:rPr>
        <w:t xml:space="preserve"> B-2165-2007 del 20.07.2007</w:t>
      </w:r>
      <w:r w:rsidR="003F42FD" w:rsidRPr="00935B0A">
        <w:rPr>
          <w:rFonts w:ascii="Arial Narrow" w:hAnsi="Arial Narrow"/>
          <w:sz w:val="20"/>
          <w:szCs w:val="20"/>
        </w:rPr>
        <w:t xml:space="preserve">. </w:t>
      </w:r>
      <w:r w:rsidR="00AB52B6" w:rsidRPr="00935B0A">
        <w:rPr>
          <w:rFonts w:ascii="Arial Narrow" w:hAnsi="Arial Narrow"/>
          <w:sz w:val="20"/>
          <w:szCs w:val="20"/>
        </w:rPr>
        <w:t xml:space="preserve">Posteriormente, los formatos de los Reportes 6-A y 6-D fueron </w:t>
      </w:r>
      <w:r w:rsidR="005524E0" w:rsidRPr="00935B0A">
        <w:rPr>
          <w:rFonts w:ascii="Arial Narrow" w:hAnsi="Arial Narrow"/>
          <w:sz w:val="20"/>
          <w:szCs w:val="20"/>
        </w:rPr>
        <w:t>sustituido</w:t>
      </w:r>
      <w:r w:rsidR="00AB52B6" w:rsidRPr="00935B0A">
        <w:rPr>
          <w:rFonts w:ascii="Arial Narrow" w:hAnsi="Arial Narrow"/>
          <w:sz w:val="20"/>
          <w:szCs w:val="20"/>
        </w:rPr>
        <w:t>s</w:t>
      </w:r>
      <w:r w:rsidR="005524E0" w:rsidRPr="00935B0A">
        <w:rPr>
          <w:rFonts w:ascii="Arial Narrow" w:hAnsi="Arial Narrow"/>
          <w:sz w:val="20"/>
          <w:szCs w:val="20"/>
        </w:rPr>
        <w:t xml:space="preserve"> por la Resolución </w:t>
      </w:r>
      <w:r w:rsidR="00AB52B6" w:rsidRPr="00935B0A">
        <w:rPr>
          <w:rFonts w:ascii="Arial Narrow" w:hAnsi="Arial Narrow"/>
          <w:sz w:val="20"/>
          <w:szCs w:val="20"/>
        </w:rPr>
        <w:t xml:space="preserve">SBS </w:t>
      </w:r>
      <w:proofErr w:type="spellStart"/>
      <w:r w:rsidR="00AB52B6" w:rsidRPr="00935B0A">
        <w:rPr>
          <w:rFonts w:ascii="Arial Narrow" w:hAnsi="Arial Narrow"/>
          <w:sz w:val="20"/>
          <w:szCs w:val="20"/>
        </w:rPr>
        <w:t>Nº</w:t>
      </w:r>
      <w:proofErr w:type="spellEnd"/>
      <w:r w:rsidR="00AB52B6" w:rsidRPr="00935B0A">
        <w:rPr>
          <w:rFonts w:ascii="Arial Narrow" w:hAnsi="Arial Narrow"/>
          <w:sz w:val="20"/>
          <w:szCs w:val="20"/>
        </w:rPr>
        <w:t xml:space="preserve"> 9786-2009 del 22.07.2009</w:t>
      </w:r>
      <w:r w:rsidR="005524E0" w:rsidRPr="00935B0A">
        <w:rPr>
          <w:rFonts w:ascii="Arial Narrow" w:hAnsi="Arial Narrow"/>
          <w:sz w:val="20"/>
          <w:szCs w:val="20"/>
        </w:rPr>
        <w:t xml:space="preserve"> vigente a partir de julio 2010.</w:t>
      </w:r>
      <w:r w:rsidR="00160986" w:rsidRPr="00935B0A">
        <w:rPr>
          <w:rFonts w:ascii="Arial Narrow" w:hAnsi="Arial Narrow"/>
          <w:sz w:val="20"/>
          <w:szCs w:val="20"/>
        </w:rPr>
        <w:t xml:space="preserve"> Posteriormente, mediante la Res. SBS </w:t>
      </w:r>
      <w:proofErr w:type="spellStart"/>
      <w:r w:rsidR="00160986" w:rsidRPr="00935B0A">
        <w:rPr>
          <w:rFonts w:ascii="Arial Narrow" w:hAnsi="Arial Narrow"/>
          <w:sz w:val="20"/>
          <w:szCs w:val="20"/>
        </w:rPr>
        <w:t>N°</w:t>
      </w:r>
      <w:proofErr w:type="spellEnd"/>
      <w:r w:rsidR="00160986" w:rsidRPr="00935B0A">
        <w:rPr>
          <w:rFonts w:ascii="Arial Narrow" w:hAnsi="Arial Narrow"/>
          <w:sz w:val="20"/>
          <w:szCs w:val="20"/>
        </w:rPr>
        <w:t xml:space="preserve"> 3225-2014 del 29.05.2014 se modifica la referencia a la cuenta de certificados de depósitos negociable.</w:t>
      </w:r>
      <w:r w:rsidR="00DA0FF0" w:rsidRPr="00935B0A">
        <w:rPr>
          <w:rFonts w:ascii="Arial Narrow" w:hAnsi="Arial Narrow"/>
          <w:sz w:val="20"/>
          <w:szCs w:val="20"/>
        </w:rPr>
        <w:t xml:space="preserve"> Posteriormente modificado por la Res. SBS </w:t>
      </w:r>
      <w:proofErr w:type="spellStart"/>
      <w:r w:rsidR="00DA0FF0" w:rsidRPr="00935B0A">
        <w:rPr>
          <w:rFonts w:ascii="Arial Narrow" w:hAnsi="Arial Narrow"/>
          <w:sz w:val="20"/>
          <w:szCs w:val="20"/>
        </w:rPr>
        <w:t>N°</w:t>
      </w:r>
      <w:proofErr w:type="spellEnd"/>
      <w:r w:rsidR="00DA0FF0" w:rsidRPr="00935B0A">
        <w:rPr>
          <w:rFonts w:ascii="Arial Narrow" w:hAnsi="Arial Narrow"/>
          <w:sz w:val="20"/>
          <w:szCs w:val="20"/>
        </w:rPr>
        <w:t xml:space="preserve"> 681-2018 del 21.02.2018.</w:t>
      </w:r>
      <w:r w:rsidR="0053184D" w:rsidRPr="00935B0A">
        <w:rPr>
          <w:rFonts w:ascii="Arial Narrow" w:hAnsi="Arial Narrow"/>
          <w:sz w:val="20"/>
          <w:szCs w:val="20"/>
        </w:rPr>
        <w:t xml:space="preserve"> </w:t>
      </w:r>
      <w:r w:rsidRPr="00935B0A">
        <w:rPr>
          <w:rFonts w:ascii="Arial Narrow" w:hAnsi="Arial Narrow"/>
          <w:sz w:val="20"/>
          <w:szCs w:val="20"/>
          <w:vertAlign w:val="superscript"/>
        </w:rPr>
        <w:t>19</w:t>
      </w:r>
      <w:r w:rsidRPr="00935B0A">
        <w:rPr>
          <w:rFonts w:ascii="Arial Narrow" w:hAnsi="Arial Narrow"/>
          <w:sz w:val="20"/>
          <w:szCs w:val="20"/>
        </w:rPr>
        <w:t xml:space="preserve"> </w:t>
      </w:r>
      <w:proofErr w:type="gramStart"/>
      <w:r w:rsidRPr="00935B0A">
        <w:rPr>
          <w:rFonts w:ascii="Arial Narrow" w:hAnsi="Arial Narrow"/>
          <w:sz w:val="20"/>
          <w:szCs w:val="20"/>
        </w:rPr>
        <w:t>Modificado</w:t>
      </w:r>
      <w:proofErr w:type="gramEnd"/>
      <w:r w:rsidRPr="00935B0A">
        <w:rPr>
          <w:rFonts w:ascii="Arial Narrow" w:hAnsi="Arial Narrow"/>
          <w:sz w:val="20"/>
          <w:szCs w:val="20"/>
        </w:rPr>
        <w:t xml:space="preserve"> por Resol.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1145-2005 del 03.08.2005</w:t>
      </w:r>
      <w:r w:rsidR="005524E0" w:rsidRPr="00935B0A">
        <w:rPr>
          <w:rFonts w:ascii="Arial Narrow" w:hAnsi="Arial Narrow"/>
          <w:sz w:val="20"/>
          <w:szCs w:val="20"/>
        </w:rPr>
        <w:t xml:space="preserve"> Posteriormente sustituido por la Resolución SBS </w:t>
      </w:r>
      <w:proofErr w:type="spellStart"/>
      <w:r w:rsidR="005524E0" w:rsidRPr="00935B0A">
        <w:rPr>
          <w:rFonts w:ascii="Arial Narrow" w:hAnsi="Arial Narrow"/>
          <w:sz w:val="20"/>
          <w:szCs w:val="20"/>
        </w:rPr>
        <w:t>Nº</w:t>
      </w:r>
      <w:proofErr w:type="spellEnd"/>
      <w:r w:rsidR="005524E0" w:rsidRPr="00935B0A">
        <w:rPr>
          <w:rFonts w:ascii="Arial Narrow" w:hAnsi="Arial Narrow"/>
          <w:sz w:val="20"/>
          <w:szCs w:val="20"/>
        </w:rPr>
        <w:t xml:space="preserve"> 9786-2009 del 22.07.2009 y posteriormente las notas (1) y (5) fueron sustituidos mediante Resolución SBS </w:t>
      </w:r>
      <w:proofErr w:type="spellStart"/>
      <w:r w:rsidR="005524E0" w:rsidRPr="00935B0A">
        <w:rPr>
          <w:rFonts w:ascii="Arial Narrow" w:hAnsi="Arial Narrow"/>
          <w:sz w:val="20"/>
          <w:szCs w:val="20"/>
        </w:rPr>
        <w:t>Nº</w:t>
      </w:r>
      <w:proofErr w:type="spellEnd"/>
      <w:r w:rsidR="005524E0" w:rsidRPr="00935B0A">
        <w:rPr>
          <w:rFonts w:ascii="Arial Narrow" w:hAnsi="Arial Narrow"/>
          <w:sz w:val="20"/>
          <w:szCs w:val="20"/>
        </w:rPr>
        <w:t xml:space="preserve"> 14353-2009 del 30.10.2009</w:t>
      </w:r>
      <w:r w:rsidR="00935B0A" w:rsidRPr="00935B0A">
        <w:rPr>
          <w:rFonts w:ascii="Arial Narrow" w:hAnsi="Arial Narrow"/>
          <w:sz w:val="20"/>
          <w:szCs w:val="20"/>
        </w:rPr>
        <w:t>, debido</w:t>
      </w:r>
      <w:r w:rsidR="005524E0" w:rsidRPr="00935B0A">
        <w:rPr>
          <w:rFonts w:ascii="Arial Narrow" w:hAnsi="Arial Narrow"/>
          <w:sz w:val="20"/>
          <w:szCs w:val="20"/>
        </w:rPr>
        <w:t xml:space="preserve"> a la adecuación al nuevo Reglamento de Clasificación y Evaluación del Deudor y la Exigencia de Provisiones vigente a partir de julio 2010</w:t>
      </w:r>
      <w:r w:rsidR="0042112D" w:rsidRPr="00935B0A">
        <w:rPr>
          <w:rFonts w:ascii="Arial Narrow" w:hAnsi="Arial Narrow"/>
          <w:sz w:val="20"/>
          <w:szCs w:val="20"/>
        </w:rPr>
        <w:t>.</w:t>
      </w:r>
      <w:r w:rsidR="0053184D" w:rsidRPr="00935B0A">
        <w:rPr>
          <w:rFonts w:ascii="Arial Narrow" w:hAnsi="Arial Narrow"/>
          <w:sz w:val="20"/>
          <w:szCs w:val="20"/>
        </w:rPr>
        <w:t xml:space="preserve"> Posteriormente, mediante la Res. SBS </w:t>
      </w:r>
      <w:proofErr w:type="spellStart"/>
      <w:r w:rsidR="0053184D" w:rsidRPr="00935B0A">
        <w:rPr>
          <w:rFonts w:ascii="Arial Narrow" w:hAnsi="Arial Narrow"/>
          <w:sz w:val="20"/>
          <w:szCs w:val="20"/>
        </w:rPr>
        <w:t>N°</w:t>
      </w:r>
      <w:proofErr w:type="spellEnd"/>
      <w:r w:rsidR="0053184D" w:rsidRPr="00935B0A">
        <w:rPr>
          <w:rFonts w:ascii="Arial Narrow" w:hAnsi="Arial Narrow"/>
          <w:sz w:val="20"/>
          <w:szCs w:val="20"/>
        </w:rPr>
        <w:t xml:space="preserve"> 5570-2019 del 27.11.2019</w:t>
      </w:r>
      <w:r w:rsidR="00C6103D" w:rsidRPr="00935B0A">
        <w:rPr>
          <w:rFonts w:ascii="Arial Narrow" w:hAnsi="Arial Narrow"/>
          <w:sz w:val="20"/>
          <w:szCs w:val="20"/>
        </w:rPr>
        <w:t xml:space="preserve"> y modificatoria</w:t>
      </w:r>
      <w:r w:rsidR="0053184D" w:rsidRPr="00935B0A">
        <w:rPr>
          <w:rFonts w:ascii="Arial Narrow" w:hAnsi="Arial Narrow"/>
          <w:sz w:val="20"/>
          <w:szCs w:val="20"/>
        </w:rPr>
        <w:t xml:space="preserve"> se modifican las notas de los Anexos 6-A y 6-D, de vigencia </w:t>
      </w:r>
      <w:r w:rsidR="00C6103D" w:rsidRPr="00935B0A">
        <w:rPr>
          <w:rFonts w:ascii="Arial Narrow" w:hAnsi="Arial Narrow"/>
          <w:sz w:val="20"/>
          <w:szCs w:val="20"/>
        </w:rPr>
        <w:t>enero</w:t>
      </w:r>
      <w:r w:rsidR="0053184D" w:rsidRPr="00935B0A">
        <w:rPr>
          <w:rFonts w:ascii="Arial Narrow" w:hAnsi="Arial Narrow"/>
          <w:sz w:val="20"/>
          <w:szCs w:val="20"/>
        </w:rPr>
        <w:t xml:space="preserve"> 202</w:t>
      </w:r>
      <w:r w:rsidR="00C6103D" w:rsidRPr="00935B0A">
        <w:rPr>
          <w:rFonts w:ascii="Arial Narrow" w:hAnsi="Arial Narrow"/>
          <w:sz w:val="20"/>
          <w:szCs w:val="20"/>
        </w:rPr>
        <w:t>1</w:t>
      </w:r>
      <w:r w:rsidR="0053184D" w:rsidRPr="00935B0A">
        <w:rPr>
          <w:rFonts w:ascii="Arial Narrow" w:hAnsi="Arial Narrow"/>
          <w:sz w:val="20"/>
          <w:szCs w:val="20"/>
        </w:rPr>
        <w:t>.</w:t>
      </w:r>
    </w:p>
    <w:p w14:paraId="14019D72" w14:textId="77777777" w:rsidR="0042112D" w:rsidRPr="00935B0A" w:rsidRDefault="0042112D"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19.1</w:t>
      </w:r>
      <w:r w:rsidRPr="00935B0A">
        <w:rPr>
          <w:rFonts w:ascii="Arial Narrow" w:hAnsi="Arial Narrow"/>
          <w:sz w:val="20"/>
          <w:szCs w:val="20"/>
        </w:rPr>
        <w:t xml:space="preserve"> Modificada la denominación mediante la Resol.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3225-2014 del 29.05.2014, con el fin de adecuar al Reglamento de Tarjetas de Crédito y Débito aprobado por la Resol.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6523-2013 del 30.10.2013.</w:t>
      </w:r>
    </w:p>
    <w:p w14:paraId="1D01E4C6" w14:textId="77777777" w:rsidR="00965622"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20</w:t>
      </w:r>
      <w:r w:rsidRPr="00935B0A">
        <w:rPr>
          <w:rFonts w:ascii="Arial Narrow" w:hAnsi="Arial Narrow"/>
          <w:sz w:val="20"/>
          <w:szCs w:val="20"/>
        </w:rPr>
        <w:t xml:space="preserve"> </w:t>
      </w:r>
      <w:proofErr w:type="gramStart"/>
      <w:r w:rsidRPr="00935B0A">
        <w:rPr>
          <w:rFonts w:ascii="Arial Narrow" w:hAnsi="Arial Narrow"/>
          <w:sz w:val="20"/>
          <w:szCs w:val="20"/>
        </w:rPr>
        <w:t>Modificado</w:t>
      </w:r>
      <w:proofErr w:type="gramEnd"/>
      <w:r w:rsidRPr="00935B0A">
        <w:rPr>
          <w:rFonts w:ascii="Arial Narrow" w:hAnsi="Arial Narrow"/>
          <w:sz w:val="20"/>
          <w:szCs w:val="20"/>
        </w:rPr>
        <w:t xml:space="preserve">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164-2004 del 03.02.2004</w:t>
      </w:r>
      <w:r w:rsidR="005524E0" w:rsidRPr="00935B0A">
        <w:rPr>
          <w:rFonts w:ascii="Arial Narrow" w:hAnsi="Arial Narrow"/>
          <w:sz w:val="20"/>
          <w:szCs w:val="20"/>
        </w:rPr>
        <w:t>. Posteriormente</w:t>
      </w:r>
      <w:r w:rsidR="00AB52B6" w:rsidRPr="00935B0A">
        <w:rPr>
          <w:rFonts w:ascii="Arial Narrow" w:hAnsi="Arial Narrow"/>
          <w:sz w:val="20"/>
          <w:szCs w:val="20"/>
        </w:rPr>
        <w:t>,</w:t>
      </w:r>
      <w:r w:rsidR="005524E0" w:rsidRPr="00935B0A">
        <w:rPr>
          <w:rFonts w:ascii="Arial Narrow" w:hAnsi="Arial Narrow"/>
          <w:sz w:val="20"/>
          <w:szCs w:val="20"/>
        </w:rPr>
        <w:t xml:space="preserve"> sustituido por la Resolución SBS </w:t>
      </w:r>
      <w:proofErr w:type="spellStart"/>
      <w:r w:rsidR="005524E0" w:rsidRPr="00935B0A">
        <w:rPr>
          <w:rFonts w:ascii="Arial Narrow" w:hAnsi="Arial Narrow"/>
          <w:sz w:val="20"/>
          <w:szCs w:val="20"/>
        </w:rPr>
        <w:t>Nº</w:t>
      </w:r>
      <w:proofErr w:type="spellEnd"/>
      <w:r w:rsidR="005524E0" w:rsidRPr="00935B0A">
        <w:rPr>
          <w:rFonts w:ascii="Arial Narrow" w:hAnsi="Arial Narrow"/>
          <w:sz w:val="20"/>
          <w:szCs w:val="20"/>
        </w:rPr>
        <w:t xml:space="preserve"> 9786-2009 del 22.07.2009 vigente a partir de julio 2010.</w:t>
      </w:r>
      <w:r w:rsidR="005132D7" w:rsidRPr="00935B0A">
        <w:rPr>
          <w:rFonts w:ascii="Arial Narrow" w:hAnsi="Arial Narrow"/>
          <w:sz w:val="20"/>
          <w:szCs w:val="20"/>
        </w:rPr>
        <w:t xml:space="preserve"> Posteriormente, modificado por la Resol. SBS </w:t>
      </w:r>
      <w:proofErr w:type="spellStart"/>
      <w:r w:rsidR="005132D7" w:rsidRPr="00935B0A">
        <w:rPr>
          <w:rFonts w:ascii="Arial Narrow" w:hAnsi="Arial Narrow"/>
          <w:sz w:val="20"/>
          <w:szCs w:val="20"/>
        </w:rPr>
        <w:t>N°</w:t>
      </w:r>
      <w:proofErr w:type="spellEnd"/>
      <w:r w:rsidR="005132D7" w:rsidRPr="00935B0A">
        <w:rPr>
          <w:rFonts w:ascii="Arial Narrow" w:hAnsi="Arial Narrow"/>
          <w:sz w:val="20"/>
          <w:szCs w:val="20"/>
        </w:rPr>
        <w:t xml:space="preserve"> 3716-2016 del 06.07.2016 </w:t>
      </w:r>
      <w:r w:rsidR="005132D7" w:rsidRPr="00935B0A">
        <w:rPr>
          <w:rFonts w:ascii="Arial Narrow" w:hAnsi="Arial Narrow"/>
          <w:sz w:val="20"/>
          <w:szCs w:val="20"/>
        </w:rPr>
        <w:lastRenderedPageBreak/>
        <w:t>vigente a partir de setiembre 2016.</w:t>
      </w:r>
      <w:r w:rsidR="0053184D" w:rsidRPr="00935B0A">
        <w:rPr>
          <w:rFonts w:ascii="Arial Narrow" w:hAnsi="Arial Narrow"/>
          <w:sz w:val="20"/>
          <w:szCs w:val="20"/>
        </w:rPr>
        <w:t xml:space="preserve"> Posteriormente, modificado las notas por la Resol. SBS </w:t>
      </w:r>
      <w:proofErr w:type="spellStart"/>
      <w:r w:rsidR="0053184D" w:rsidRPr="00935B0A">
        <w:rPr>
          <w:rFonts w:ascii="Arial Narrow" w:hAnsi="Arial Narrow"/>
          <w:sz w:val="20"/>
          <w:szCs w:val="20"/>
        </w:rPr>
        <w:t>N°</w:t>
      </w:r>
      <w:proofErr w:type="spellEnd"/>
      <w:r w:rsidR="0053184D" w:rsidRPr="00935B0A">
        <w:rPr>
          <w:rFonts w:ascii="Arial Narrow" w:hAnsi="Arial Narrow"/>
          <w:sz w:val="20"/>
          <w:szCs w:val="20"/>
        </w:rPr>
        <w:t xml:space="preserve"> 5570-2019 del 27.11.2019</w:t>
      </w:r>
      <w:r w:rsidR="00C6103D" w:rsidRPr="00935B0A">
        <w:rPr>
          <w:rFonts w:ascii="Arial Narrow" w:hAnsi="Arial Narrow"/>
          <w:sz w:val="20"/>
          <w:szCs w:val="20"/>
        </w:rPr>
        <w:t xml:space="preserve"> y modificatoria </w:t>
      </w:r>
      <w:r w:rsidR="0053184D" w:rsidRPr="00935B0A">
        <w:rPr>
          <w:rFonts w:ascii="Arial Narrow" w:hAnsi="Arial Narrow"/>
          <w:sz w:val="20"/>
          <w:szCs w:val="20"/>
        </w:rPr>
        <w:t>vigente a partir de noviembre 202</w:t>
      </w:r>
      <w:r w:rsidR="00C6103D" w:rsidRPr="00935B0A">
        <w:rPr>
          <w:rFonts w:ascii="Arial Narrow" w:hAnsi="Arial Narrow"/>
          <w:sz w:val="20"/>
          <w:szCs w:val="20"/>
        </w:rPr>
        <w:t>1</w:t>
      </w:r>
      <w:r w:rsidR="0053184D" w:rsidRPr="00935B0A">
        <w:rPr>
          <w:rFonts w:ascii="Arial Narrow" w:hAnsi="Arial Narrow"/>
          <w:sz w:val="20"/>
          <w:szCs w:val="20"/>
        </w:rPr>
        <w:t xml:space="preserve">. </w:t>
      </w:r>
    </w:p>
    <w:p w14:paraId="6CB248E8" w14:textId="7F7D7497" w:rsidR="00F711A0" w:rsidRPr="00935B0A" w:rsidRDefault="00935B0A" w:rsidP="00150099">
      <w:pPr>
        <w:pStyle w:val="TableParagraph"/>
        <w:shd w:val="clear" w:color="auto" w:fill="FFFFFF"/>
        <w:spacing w:line="234" w:lineRule="exact"/>
        <w:jc w:val="both"/>
        <w:rPr>
          <w:sz w:val="20"/>
          <w:szCs w:val="20"/>
        </w:rPr>
      </w:pPr>
      <w:r w:rsidRPr="00935B0A">
        <w:rPr>
          <w:sz w:val="20"/>
          <w:szCs w:val="20"/>
          <w:vertAlign w:val="superscript"/>
        </w:rPr>
        <w:t xml:space="preserve">21 </w:t>
      </w:r>
      <w:proofErr w:type="gramStart"/>
      <w:r w:rsidR="00BD32B4">
        <w:rPr>
          <w:sz w:val="20"/>
          <w:szCs w:val="20"/>
        </w:rPr>
        <w:t>El</w:t>
      </w:r>
      <w:proofErr w:type="gramEnd"/>
      <w:r w:rsidR="00BD32B4">
        <w:rPr>
          <w:sz w:val="20"/>
          <w:szCs w:val="20"/>
        </w:rPr>
        <w:t xml:space="preserve"> </w:t>
      </w:r>
      <w:r w:rsidR="00BC030E" w:rsidRPr="00935B0A">
        <w:rPr>
          <w:sz w:val="20"/>
          <w:szCs w:val="20"/>
        </w:rPr>
        <w:t xml:space="preserve">formato del Reporte 25 </w:t>
      </w:r>
      <w:r w:rsidRPr="00935B0A">
        <w:rPr>
          <w:sz w:val="20"/>
          <w:szCs w:val="20"/>
        </w:rPr>
        <w:t xml:space="preserve">original, </w:t>
      </w:r>
      <w:proofErr w:type="gramStart"/>
      <w:r w:rsidRPr="00935B0A">
        <w:rPr>
          <w:sz w:val="20"/>
          <w:szCs w:val="20"/>
        </w:rPr>
        <w:t>de</w:t>
      </w:r>
      <w:r w:rsidR="00F711A0" w:rsidRPr="00935B0A">
        <w:rPr>
          <w:sz w:val="20"/>
          <w:szCs w:val="20"/>
        </w:rPr>
        <w:t xml:space="preserve"> acuerdo a</w:t>
      </w:r>
      <w:proofErr w:type="gramEnd"/>
      <w:r w:rsidR="00F711A0" w:rsidRPr="00935B0A">
        <w:rPr>
          <w:sz w:val="20"/>
          <w:szCs w:val="20"/>
        </w:rPr>
        <w:t xml:space="preserve"> la Resolución SBS </w:t>
      </w:r>
      <w:proofErr w:type="spellStart"/>
      <w:r w:rsidR="00F711A0" w:rsidRPr="00935B0A">
        <w:rPr>
          <w:sz w:val="20"/>
          <w:szCs w:val="20"/>
        </w:rPr>
        <w:t>N°</w:t>
      </w:r>
      <w:proofErr w:type="spellEnd"/>
      <w:r w:rsidR="00F711A0" w:rsidRPr="00935B0A">
        <w:rPr>
          <w:sz w:val="20"/>
          <w:szCs w:val="20"/>
        </w:rPr>
        <w:t xml:space="preserve"> 1308-2013 del 15.02.2013 de periodicidad trimestral es </w:t>
      </w:r>
      <w:r w:rsidR="00BC030E" w:rsidRPr="00935B0A">
        <w:rPr>
          <w:sz w:val="20"/>
          <w:szCs w:val="20"/>
        </w:rPr>
        <w:t>d</w:t>
      </w:r>
      <w:r w:rsidR="00F711A0" w:rsidRPr="00935B0A">
        <w:rPr>
          <w:sz w:val="20"/>
          <w:szCs w:val="20"/>
        </w:rPr>
        <w:t xml:space="preserve">erogado a partir de la información de junio 2013 y se aprueba un nuevo formato de periodicidad mensual a partir de la información de junio 2013. Asimismo, mediante la citada Resolución SBS </w:t>
      </w:r>
      <w:proofErr w:type="spellStart"/>
      <w:r w:rsidR="00F711A0" w:rsidRPr="00935B0A">
        <w:rPr>
          <w:sz w:val="20"/>
          <w:szCs w:val="20"/>
        </w:rPr>
        <w:t>N°</w:t>
      </w:r>
      <w:proofErr w:type="spellEnd"/>
      <w:r w:rsidR="00F711A0" w:rsidRPr="00935B0A">
        <w:rPr>
          <w:sz w:val="20"/>
          <w:szCs w:val="20"/>
        </w:rPr>
        <w:t xml:space="preserve"> 1308-2013 se incorpora un nuevo formato denominado Reporte 25-A de periodicidad trimestral, a partir de la información de junio 2013.</w:t>
      </w:r>
      <w:r w:rsidR="00BD32B4">
        <w:rPr>
          <w:sz w:val="20"/>
          <w:szCs w:val="20"/>
        </w:rPr>
        <w:t xml:space="preserve"> </w:t>
      </w:r>
      <w:r w:rsidR="00BD32B4" w:rsidRPr="00667ECE">
        <w:rPr>
          <w:sz w:val="20"/>
          <w:szCs w:val="20"/>
        </w:rPr>
        <w:t>Posteriormente modificada por la Resol. SBS</w:t>
      </w:r>
      <w:r w:rsidR="00731F72">
        <w:rPr>
          <w:sz w:val="20"/>
          <w:szCs w:val="20"/>
        </w:rPr>
        <w:t xml:space="preserve"> </w:t>
      </w:r>
      <w:proofErr w:type="spellStart"/>
      <w:r w:rsidR="00BD32B4" w:rsidRPr="00667ECE">
        <w:rPr>
          <w:sz w:val="20"/>
          <w:szCs w:val="20"/>
        </w:rPr>
        <w:t>N°</w:t>
      </w:r>
      <w:proofErr w:type="spellEnd"/>
      <w:r w:rsidR="00BD32B4" w:rsidRPr="00667ECE">
        <w:rPr>
          <w:sz w:val="20"/>
          <w:szCs w:val="20"/>
        </w:rPr>
        <w:t xml:space="preserve"> 3178-2022 del 17.10.2022, </w:t>
      </w:r>
      <w:r w:rsidR="00557059" w:rsidRPr="00667ECE">
        <w:rPr>
          <w:sz w:val="20"/>
          <w:szCs w:val="20"/>
        </w:rPr>
        <w:t>se otorga un plazo de adecuación hasta el 30 de junio de 2023</w:t>
      </w:r>
      <w:r w:rsidR="00BD32B4" w:rsidRPr="00667ECE">
        <w:rPr>
          <w:sz w:val="20"/>
          <w:szCs w:val="20"/>
        </w:rPr>
        <w:t>.</w:t>
      </w:r>
      <w:r w:rsidR="000C7E8B">
        <w:rPr>
          <w:sz w:val="20"/>
          <w:szCs w:val="20"/>
        </w:rPr>
        <w:t xml:space="preserve"> Modificado posteriormente por la Resol. SBS </w:t>
      </w:r>
      <w:proofErr w:type="spellStart"/>
      <w:r w:rsidR="000C7E8B">
        <w:rPr>
          <w:sz w:val="20"/>
          <w:szCs w:val="20"/>
        </w:rPr>
        <w:t>N°</w:t>
      </w:r>
      <w:proofErr w:type="spellEnd"/>
      <w:r w:rsidR="000C7E8B">
        <w:rPr>
          <w:sz w:val="20"/>
          <w:szCs w:val="20"/>
        </w:rPr>
        <w:t xml:space="preserve"> 03986-2024</w:t>
      </w:r>
      <w:r w:rsidR="0070002C">
        <w:rPr>
          <w:sz w:val="20"/>
          <w:szCs w:val="20"/>
        </w:rPr>
        <w:t xml:space="preserve"> </w:t>
      </w:r>
      <w:r w:rsidR="00A2775C">
        <w:rPr>
          <w:sz w:val="20"/>
          <w:szCs w:val="20"/>
        </w:rPr>
        <w:t>del 25.11.2024</w:t>
      </w:r>
      <w:r w:rsidR="0070002C">
        <w:rPr>
          <w:sz w:val="20"/>
          <w:szCs w:val="20"/>
        </w:rPr>
        <w:t>, vigente a partir de la información correspondiente a</w:t>
      </w:r>
      <w:r w:rsidR="00A2775C">
        <w:rPr>
          <w:sz w:val="20"/>
          <w:szCs w:val="20"/>
        </w:rPr>
        <w:t>l segundo trimestre del 2025.</w:t>
      </w:r>
    </w:p>
    <w:p w14:paraId="0EA3E957" w14:textId="1AB70109" w:rsidR="00965622"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21.1</w:t>
      </w:r>
      <w:r w:rsidRPr="00935B0A">
        <w:rPr>
          <w:rFonts w:ascii="Arial Narrow" w:hAnsi="Arial Narrow"/>
          <w:sz w:val="20"/>
          <w:szCs w:val="20"/>
        </w:rPr>
        <w:t xml:space="preserve">Aprobado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1291-2005 del 19.08.2005.</w:t>
      </w:r>
      <w:r w:rsidR="002C3216" w:rsidRPr="00935B0A">
        <w:rPr>
          <w:rFonts w:ascii="Arial Narrow" w:hAnsi="Arial Narrow"/>
          <w:sz w:val="20"/>
          <w:szCs w:val="20"/>
        </w:rPr>
        <w:t xml:space="preserve"> Modificado por la Resolución SBS </w:t>
      </w:r>
      <w:proofErr w:type="spellStart"/>
      <w:r w:rsidR="002C3216" w:rsidRPr="00935B0A">
        <w:rPr>
          <w:rFonts w:ascii="Arial Narrow" w:hAnsi="Arial Narrow"/>
          <w:sz w:val="20"/>
          <w:szCs w:val="20"/>
        </w:rPr>
        <w:t>N°</w:t>
      </w:r>
      <w:proofErr w:type="spellEnd"/>
      <w:r w:rsidR="002C3216" w:rsidRPr="00935B0A">
        <w:rPr>
          <w:rFonts w:ascii="Arial Narrow" w:hAnsi="Arial Narrow"/>
          <w:sz w:val="20"/>
          <w:szCs w:val="20"/>
        </w:rPr>
        <w:t xml:space="preserve"> 762-2006 del 16.06.2006.</w:t>
      </w:r>
      <w:r w:rsidR="00D07BB3" w:rsidRPr="00935B0A">
        <w:rPr>
          <w:rFonts w:ascii="Arial Narrow" w:hAnsi="Arial Narrow"/>
          <w:sz w:val="20"/>
          <w:szCs w:val="20"/>
        </w:rPr>
        <w:t xml:space="preserve"> Posteriormente la denominación sustituida por la Resolución SBS </w:t>
      </w:r>
      <w:proofErr w:type="spellStart"/>
      <w:r w:rsidR="00D07BB3" w:rsidRPr="00935B0A">
        <w:rPr>
          <w:rFonts w:ascii="Arial Narrow" w:hAnsi="Arial Narrow"/>
          <w:sz w:val="20"/>
          <w:szCs w:val="20"/>
        </w:rPr>
        <w:t>Nº</w:t>
      </w:r>
      <w:proofErr w:type="spellEnd"/>
      <w:r w:rsidR="00D07BB3" w:rsidRPr="00935B0A">
        <w:rPr>
          <w:rFonts w:ascii="Arial Narrow" w:hAnsi="Arial Narrow"/>
          <w:sz w:val="20"/>
          <w:szCs w:val="20"/>
        </w:rPr>
        <w:t xml:space="preserve"> 9786-2009 del 22.07.2009, debido a la adecuación al nuevo Reglamento de Clasificación y Evaluación del Deudor y la Exigencia de Provisiones vigente a partir de julio 2010.</w:t>
      </w:r>
      <w:r w:rsidR="004E10C6" w:rsidRPr="004E10C6">
        <w:t xml:space="preserve"> </w:t>
      </w:r>
      <w:r w:rsidR="004E10C6" w:rsidRPr="004E10C6">
        <w:rPr>
          <w:rFonts w:ascii="Arial Narrow" w:hAnsi="Arial Narrow"/>
          <w:sz w:val="20"/>
          <w:szCs w:val="20"/>
        </w:rPr>
        <w:t xml:space="preserve">Posteriormente se aprobó un nuevo Reporte “Información financiera de deudores no minoristas” mediante la Resolución SBS </w:t>
      </w:r>
      <w:proofErr w:type="spellStart"/>
      <w:r w:rsidR="004E10C6" w:rsidRPr="004E10C6">
        <w:rPr>
          <w:rFonts w:ascii="Arial Narrow" w:hAnsi="Arial Narrow"/>
          <w:sz w:val="20"/>
          <w:szCs w:val="20"/>
        </w:rPr>
        <w:t>N°</w:t>
      </w:r>
      <w:proofErr w:type="spellEnd"/>
      <w:r w:rsidR="004E10C6" w:rsidRPr="004E10C6">
        <w:rPr>
          <w:rFonts w:ascii="Arial Narrow" w:hAnsi="Arial Narrow"/>
          <w:sz w:val="20"/>
          <w:szCs w:val="20"/>
        </w:rPr>
        <w:t xml:space="preserve"> 3716-2025 de periodicidad </w:t>
      </w:r>
      <w:r w:rsidR="004E10C6" w:rsidRPr="00B80577">
        <w:rPr>
          <w:rFonts w:ascii="Arial Narrow" w:hAnsi="Arial Narrow"/>
          <w:sz w:val="20"/>
          <w:szCs w:val="20"/>
        </w:rPr>
        <w:t>trimestral</w:t>
      </w:r>
      <w:r w:rsidR="004E10C6" w:rsidRPr="004E10C6">
        <w:rPr>
          <w:rFonts w:ascii="Arial Narrow" w:hAnsi="Arial Narrow"/>
          <w:sz w:val="20"/>
          <w:szCs w:val="20"/>
        </w:rPr>
        <w:t xml:space="preserve"> publicada el 17.10.2025 vigente a partir de setiembre 2026, dejando sin efecto al Reporte “Información de Estados Financieros de Deudores Comerciales”</w:t>
      </w:r>
      <w:r w:rsidR="000233D8">
        <w:rPr>
          <w:rFonts w:ascii="Arial Narrow" w:hAnsi="Arial Narrow"/>
          <w:sz w:val="20"/>
          <w:szCs w:val="20"/>
        </w:rPr>
        <w:t>.</w:t>
      </w:r>
    </w:p>
    <w:p w14:paraId="413B683A" w14:textId="132567B8" w:rsidR="00D664CC" w:rsidRPr="00935B0A" w:rsidRDefault="00D664CC"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21.2</w:t>
      </w:r>
      <w:r w:rsidR="000979F9" w:rsidRPr="00935B0A">
        <w:rPr>
          <w:rFonts w:ascii="Arial Narrow" w:hAnsi="Arial Narrow"/>
          <w:sz w:val="20"/>
          <w:szCs w:val="20"/>
          <w:vertAlign w:val="superscript"/>
        </w:rPr>
        <w:t xml:space="preserve"> </w:t>
      </w:r>
      <w:r w:rsidRPr="00935B0A">
        <w:rPr>
          <w:rFonts w:ascii="Arial Narrow" w:hAnsi="Arial Narrow"/>
          <w:sz w:val="20"/>
          <w:szCs w:val="20"/>
        </w:rPr>
        <w:t xml:space="preserve">Aprobado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1270-2006 del 29.09.2006. </w:t>
      </w:r>
      <w:r w:rsidR="00E82EAB" w:rsidRPr="00E82EAB">
        <w:rPr>
          <w:rFonts w:ascii="Arial Narrow" w:hAnsi="Arial Narrow"/>
          <w:sz w:val="20"/>
          <w:szCs w:val="20"/>
        </w:rPr>
        <w:t xml:space="preserve">Posteriormente se aprobó un nuevo Reporte 29 “Reporte de Grupos Económicos (RGE)” mediante la Resolución SBS </w:t>
      </w:r>
      <w:proofErr w:type="spellStart"/>
      <w:r w:rsidR="00E82EAB" w:rsidRPr="00E82EAB">
        <w:rPr>
          <w:rFonts w:ascii="Arial Narrow" w:hAnsi="Arial Narrow"/>
          <w:sz w:val="20"/>
          <w:szCs w:val="20"/>
        </w:rPr>
        <w:t>N°</w:t>
      </w:r>
      <w:proofErr w:type="spellEnd"/>
      <w:r w:rsidR="00E82EAB" w:rsidRPr="00E82EAB">
        <w:rPr>
          <w:rFonts w:ascii="Arial Narrow" w:hAnsi="Arial Narrow"/>
          <w:sz w:val="20"/>
          <w:szCs w:val="20"/>
        </w:rPr>
        <w:t xml:space="preserve"> 2685-2025 de periodicidad trimestral publicada el 05.08.2025, el cual </w:t>
      </w:r>
      <w:proofErr w:type="gramStart"/>
      <w:r w:rsidR="00E82EAB" w:rsidRPr="00E82EAB">
        <w:rPr>
          <w:rFonts w:ascii="Arial Narrow" w:hAnsi="Arial Narrow"/>
          <w:sz w:val="20"/>
          <w:szCs w:val="20"/>
        </w:rPr>
        <w:t>entra en vigencia</w:t>
      </w:r>
      <w:proofErr w:type="gramEnd"/>
      <w:r w:rsidR="00E82EAB" w:rsidRPr="00E82EAB">
        <w:rPr>
          <w:rFonts w:ascii="Arial Narrow" w:hAnsi="Arial Narrow"/>
          <w:sz w:val="20"/>
          <w:szCs w:val="20"/>
        </w:rPr>
        <w:t xml:space="preserve"> para la información correspondiente de marzo 2026, dejando sin efecto al Reporte “</w:t>
      </w:r>
      <w:r w:rsidR="00E82EAB" w:rsidRPr="00E82EAB">
        <w:rPr>
          <w:rFonts w:ascii="Arial Narrow" w:hAnsi="Arial Narrow"/>
          <w:sz w:val="20"/>
          <w:szCs w:val="20"/>
          <w:lang w:val="es-PE"/>
        </w:rPr>
        <w:t>Reporte de Grupos Económicos Deudores (RGE)”</w:t>
      </w:r>
      <w:r w:rsidR="00E82EAB" w:rsidRPr="00E82EAB">
        <w:rPr>
          <w:rFonts w:ascii="Arial Narrow" w:hAnsi="Arial Narrow"/>
          <w:sz w:val="20"/>
          <w:szCs w:val="20"/>
        </w:rPr>
        <w:t>.</w:t>
      </w:r>
    </w:p>
    <w:p w14:paraId="1F1A46B3" w14:textId="77777777" w:rsidR="000979F9" w:rsidRPr="00935B0A" w:rsidRDefault="000979F9"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21.3</w:t>
      </w:r>
      <w:r w:rsidRPr="00935B0A">
        <w:rPr>
          <w:rFonts w:ascii="Arial Narrow" w:hAnsi="Arial Narrow"/>
          <w:sz w:val="20"/>
          <w:szCs w:val="20"/>
        </w:rPr>
        <w:t xml:space="preserve"> Aprobado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w:t>
      </w:r>
      <w:r w:rsidR="00E41A1D" w:rsidRPr="00935B0A">
        <w:rPr>
          <w:rFonts w:ascii="Arial Narrow" w:hAnsi="Arial Narrow"/>
          <w:sz w:val="20"/>
          <w:szCs w:val="20"/>
        </w:rPr>
        <w:t>15</w:t>
      </w:r>
      <w:r w:rsidRPr="00935B0A">
        <w:rPr>
          <w:rFonts w:ascii="Arial Narrow" w:hAnsi="Arial Narrow"/>
          <w:sz w:val="20"/>
          <w:szCs w:val="20"/>
        </w:rPr>
        <w:t>46-2020 del 08.06.2020, vigente a partir de la información de mayo 2020.</w:t>
      </w:r>
    </w:p>
    <w:p w14:paraId="4E16FB65" w14:textId="5A27BF94" w:rsidR="00935B0A" w:rsidRPr="00935B0A" w:rsidRDefault="00935B0A"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21.4</w:t>
      </w:r>
      <w:r w:rsidRPr="00935B0A">
        <w:rPr>
          <w:rFonts w:ascii="Arial Narrow" w:hAnsi="Arial Narrow"/>
          <w:sz w:val="20"/>
          <w:szCs w:val="20"/>
        </w:rPr>
        <w:t xml:space="preserve"> El Reporte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36 fue aprobado mediante Resol.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2371-2021 del 13.08.2021, siendo la vigencia a partir de la información del mes de diciembre 2021.</w:t>
      </w:r>
      <w:r w:rsidR="00D823B9">
        <w:rPr>
          <w:rFonts w:ascii="Arial Narrow" w:hAnsi="Arial Narrow"/>
          <w:sz w:val="20"/>
          <w:szCs w:val="20"/>
        </w:rPr>
        <w:t xml:space="preserve"> </w:t>
      </w:r>
      <w:r w:rsidR="00D823B9" w:rsidRPr="00667ECE">
        <w:rPr>
          <w:rFonts w:ascii="Arial Narrow" w:hAnsi="Arial Narrow"/>
          <w:sz w:val="20"/>
          <w:szCs w:val="20"/>
        </w:rPr>
        <w:t xml:space="preserve">Posteriormente modificado por la Resol. SBS </w:t>
      </w:r>
      <w:proofErr w:type="spellStart"/>
      <w:r w:rsidR="00D823B9" w:rsidRPr="00667ECE">
        <w:rPr>
          <w:rFonts w:ascii="Arial Narrow" w:hAnsi="Arial Narrow"/>
          <w:sz w:val="20"/>
          <w:szCs w:val="20"/>
        </w:rPr>
        <w:t>N°</w:t>
      </w:r>
      <w:proofErr w:type="spellEnd"/>
      <w:r w:rsidR="00D823B9" w:rsidRPr="00667ECE">
        <w:rPr>
          <w:rFonts w:ascii="Arial Narrow" w:hAnsi="Arial Narrow"/>
          <w:sz w:val="20"/>
          <w:szCs w:val="20"/>
        </w:rPr>
        <w:t xml:space="preserve"> 2596-2022 del 19.08.2022.</w:t>
      </w:r>
      <w:r w:rsidR="00AC4ABC" w:rsidRPr="00AC4ABC">
        <w:rPr>
          <w:rFonts w:ascii="Arial Narrow" w:hAnsi="Arial Narrow"/>
          <w:sz w:val="18"/>
          <w:szCs w:val="18"/>
        </w:rPr>
        <w:t xml:space="preserve"> </w:t>
      </w:r>
      <w:r w:rsidR="00AC4ABC" w:rsidRPr="00AC4ABC">
        <w:rPr>
          <w:rFonts w:ascii="Arial Narrow" w:hAnsi="Arial Narrow"/>
          <w:sz w:val="20"/>
          <w:szCs w:val="20"/>
        </w:rPr>
        <w:t>Modificado posteriormente por la Resol. SBS 1661-2025 del 08.05.2025</w:t>
      </w:r>
      <w:r w:rsidR="00AC4ABC">
        <w:rPr>
          <w:rFonts w:ascii="Arial Narrow" w:hAnsi="Arial Narrow"/>
          <w:sz w:val="20"/>
          <w:szCs w:val="20"/>
        </w:rPr>
        <w:t>.</w:t>
      </w:r>
    </w:p>
    <w:p w14:paraId="62B73EA3" w14:textId="7A288535" w:rsidR="00965622" w:rsidRPr="00935B0A" w:rsidRDefault="00965622" w:rsidP="00315096">
      <w:pPr>
        <w:tabs>
          <w:tab w:val="left" w:pos="0"/>
        </w:tabs>
        <w:spacing w:before="40"/>
        <w:ind w:left="142" w:hanging="142"/>
        <w:jc w:val="both"/>
        <w:rPr>
          <w:rFonts w:ascii="Arial Narrow" w:hAnsi="Arial Narrow"/>
          <w:sz w:val="20"/>
          <w:szCs w:val="20"/>
        </w:rPr>
      </w:pPr>
      <w:r w:rsidRPr="00935B0A">
        <w:rPr>
          <w:rFonts w:ascii="Arial Narrow" w:hAnsi="Arial Narrow"/>
          <w:sz w:val="20"/>
          <w:szCs w:val="20"/>
          <w:vertAlign w:val="superscript"/>
        </w:rPr>
        <w:t>22</w:t>
      </w:r>
      <w:r w:rsidRPr="00935B0A">
        <w:rPr>
          <w:rFonts w:ascii="Arial Narrow" w:hAnsi="Arial Narrow"/>
          <w:sz w:val="20"/>
          <w:szCs w:val="20"/>
        </w:rPr>
        <w:t xml:space="preserve"> </w:t>
      </w:r>
      <w:proofErr w:type="gramStart"/>
      <w:r w:rsidRPr="00935B0A">
        <w:rPr>
          <w:rFonts w:ascii="Arial Narrow" w:hAnsi="Arial Narrow"/>
          <w:sz w:val="20"/>
          <w:szCs w:val="20"/>
        </w:rPr>
        <w:t>Aprobado</w:t>
      </w:r>
      <w:proofErr w:type="gramEnd"/>
      <w:r w:rsidRPr="00935B0A">
        <w:rPr>
          <w:rFonts w:ascii="Arial Narrow" w:hAnsi="Arial Narrow"/>
          <w:sz w:val="20"/>
          <w:szCs w:val="20"/>
        </w:rPr>
        <w:t xml:space="preserve">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505-2002 del 31.05.2002.</w:t>
      </w:r>
      <w:r w:rsidR="00E95B6D" w:rsidRPr="00935B0A">
        <w:rPr>
          <w:rFonts w:ascii="Arial Narrow" w:hAnsi="Arial Narrow"/>
          <w:sz w:val="20"/>
          <w:szCs w:val="20"/>
        </w:rPr>
        <w:t xml:space="preserve"> Posteriormente fue modificado el Reporte 23 (periodicidad mensual) e incorporado los Reportes 23-A y 23-B (periodicidad trimestral) cuya vigencia son a partir de la información de julio 2016.</w:t>
      </w:r>
      <w:r w:rsidR="00D40B00" w:rsidRPr="00D40B00">
        <w:rPr>
          <w:rFonts w:ascii="Arial Narrow" w:hAnsi="Arial Narrow"/>
          <w:sz w:val="20"/>
          <w:szCs w:val="20"/>
        </w:rPr>
        <w:t xml:space="preserve"> </w:t>
      </w:r>
      <w:r w:rsidR="00D40B00">
        <w:rPr>
          <w:rFonts w:ascii="Arial Narrow" w:hAnsi="Arial Narrow"/>
          <w:sz w:val="20"/>
          <w:szCs w:val="20"/>
        </w:rPr>
        <w:t xml:space="preserve">Posteriormente, modificado las notas de los Reportes 23 y 23-A por la Resol. </w:t>
      </w:r>
      <w:proofErr w:type="spellStart"/>
      <w:r w:rsidR="00D40B00">
        <w:rPr>
          <w:rFonts w:ascii="Arial Narrow" w:hAnsi="Arial Narrow"/>
          <w:sz w:val="20"/>
          <w:szCs w:val="20"/>
        </w:rPr>
        <w:t>N°</w:t>
      </w:r>
      <w:proofErr w:type="spellEnd"/>
      <w:r w:rsidR="00D40B00">
        <w:rPr>
          <w:rFonts w:ascii="Arial Narrow" w:hAnsi="Arial Narrow"/>
          <w:sz w:val="20"/>
          <w:szCs w:val="20"/>
        </w:rPr>
        <w:t xml:space="preserve"> 04345-2023 del 29.12.2023 vigente a partir de la información de julio 2025</w:t>
      </w:r>
      <w:r w:rsidR="008F6A29" w:rsidRPr="008F6A29">
        <w:rPr>
          <w:rFonts w:ascii="Arial Narrow" w:hAnsi="Arial Narrow"/>
          <w:sz w:val="20"/>
          <w:szCs w:val="20"/>
        </w:rPr>
        <w:t xml:space="preserve">, posteriormente se amplió su vigencia a marzo de 2026 por la Resolución SBS </w:t>
      </w:r>
      <w:proofErr w:type="spellStart"/>
      <w:r w:rsidR="008F6A29" w:rsidRPr="008F6A29">
        <w:rPr>
          <w:rFonts w:ascii="Arial Narrow" w:hAnsi="Arial Narrow"/>
          <w:sz w:val="20"/>
          <w:szCs w:val="20"/>
        </w:rPr>
        <w:t>N°</w:t>
      </w:r>
      <w:proofErr w:type="spellEnd"/>
      <w:r w:rsidR="008F6A29" w:rsidRPr="008F6A29">
        <w:rPr>
          <w:rFonts w:ascii="Arial Narrow" w:hAnsi="Arial Narrow"/>
          <w:sz w:val="20"/>
          <w:szCs w:val="20"/>
        </w:rPr>
        <w:t xml:space="preserve"> 4347-2024 </w:t>
      </w:r>
      <w:r w:rsidR="008F6A29" w:rsidRPr="0005558C">
        <w:rPr>
          <w:rFonts w:ascii="Arial Narrow" w:hAnsi="Arial Narrow"/>
          <w:sz w:val="20"/>
          <w:szCs w:val="20"/>
        </w:rPr>
        <w:t>del</w:t>
      </w:r>
      <w:r w:rsidR="008F6A29" w:rsidRPr="008F6A29">
        <w:rPr>
          <w:rFonts w:ascii="Arial Narrow" w:hAnsi="Arial Narrow"/>
          <w:sz w:val="20"/>
          <w:szCs w:val="20"/>
        </w:rPr>
        <w:t xml:space="preserve"> 20.12.2024</w:t>
      </w:r>
      <w:r w:rsidR="00D40B00">
        <w:rPr>
          <w:rFonts w:ascii="Arial Narrow" w:hAnsi="Arial Narrow"/>
          <w:sz w:val="20"/>
          <w:szCs w:val="20"/>
        </w:rPr>
        <w:t>.</w:t>
      </w:r>
      <w:r w:rsidR="00CE7C76">
        <w:rPr>
          <w:rFonts w:ascii="Arial Narrow" w:hAnsi="Arial Narrow"/>
          <w:sz w:val="20"/>
          <w:szCs w:val="20"/>
        </w:rPr>
        <w:t xml:space="preserve"> </w:t>
      </w:r>
      <w:r w:rsidR="00CE7C76" w:rsidRPr="00CE7C76">
        <w:rPr>
          <w:rFonts w:ascii="Arial Narrow" w:hAnsi="Arial Narrow"/>
          <w:sz w:val="20"/>
          <w:szCs w:val="20"/>
        </w:rPr>
        <w:t xml:space="preserve">Posteriormente modificado mediante las Resol. SBS </w:t>
      </w:r>
      <w:proofErr w:type="spellStart"/>
      <w:r w:rsidR="00CE7C76" w:rsidRPr="00CE7C76">
        <w:rPr>
          <w:rFonts w:ascii="Arial Narrow" w:hAnsi="Arial Narrow"/>
          <w:sz w:val="20"/>
          <w:szCs w:val="20"/>
        </w:rPr>
        <w:t>N°</w:t>
      </w:r>
      <w:proofErr w:type="spellEnd"/>
      <w:r w:rsidR="00CE7C76" w:rsidRPr="00CE7C76">
        <w:rPr>
          <w:rFonts w:ascii="Arial Narrow" w:hAnsi="Arial Narrow"/>
          <w:sz w:val="20"/>
          <w:szCs w:val="20"/>
        </w:rPr>
        <w:t xml:space="preserve"> 4345-2023 y 4347-2024, la cuales </w:t>
      </w:r>
      <w:proofErr w:type="gramStart"/>
      <w:r w:rsidR="00CE7C76" w:rsidRPr="00CE7C76">
        <w:rPr>
          <w:rFonts w:ascii="Arial Narrow" w:hAnsi="Arial Narrow"/>
          <w:sz w:val="20"/>
          <w:szCs w:val="20"/>
        </w:rPr>
        <w:t>entran en vigencia</w:t>
      </w:r>
      <w:proofErr w:type="gramEnd"/>
      <w:r w:rsidR="00CE7C76" w:rsidRPr="00CE7C76">
        <w:rPr>
          <w:rFonts w:ascii="Arial Narrow" w:hAnsi="Arial Narrow"/>
          <w:sz w:val="20"/>
          <w:szCs w:val="20"/>
        </w:rPr>
        <w:t xml:space="preserve"> a partir de marzo de 2026.</w:t>
      </w:r>
    </w:p>
    <w:p w14:paraId="576EC2F2" w14:textId="6D47C816" w:rsidR="002F2943" w:rsidRPr="00935B0A" w:rsidRDefault="0089285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22.1</w:t>
      </w:r>
      <w:r w:rsidRPr="00935B0A">
        <w:rPr>
          <w:rFonts w:ascii="Arial Narrow" w:hAnsi="Arial Narrow"/>
          <w:sz w:val="20"/>
          <w:szCs w:val="20"/>
        </w:rPr>
        <w:t xml:space="preserve"> Modificado por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272-2014 del 16.01.2014 vigente a partir de la información anual del periodo 2013.</w:t>
      </w:r>
      <w:r w:rsidR="00873BE8" w:rsidRPr="00935B0A">
        <w:rPr>
          <w:rFonts w:ascii="Arial Narrow" w:hAnsi="Arial Narrow"/>
          <w:sz w:val="20"/>
          <w:szCs w:val="20"/>
        </w:rPr>
        <w:t xml:space="preserve"> Posteriormente modificado el formato por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5780-2015 del 24.09.2015, vigente a partir de la información a ser presentada el 15 de enero de 2016.</w:t>
      </w:r>
      <w:r w:rsidR="00613A8D" w:rsidRPr="00613A8D">
        <w:rPr>
          <w:rFonts w:ascii="Arial Narrow" w:hAnsi="Arial Narrow"/>
          <w:sz w:val="20"/>
          <w:szCs w:val="20"/>
        </w:rPr>
        <w:t xml:space="preserve"> </w:t>
      </w:r>
      <w:r w:rsidR="002F2943" w:rsidRPr="002F2943">
        <w:rPr>
          <w:rFonts w:ascii="Arial Narrow" w:hAnsi="Arial Narrow"/>
          <w:sz w:val="20"/>
          <w:szCs w:val="20"/>
        </w:rPr>
        <w:t>Posteriormente se aprobó un nuevo Reporte “</w:t>
      </w:r>
      <w:r w:rsidR="002F2943" w:rsidRPr="002F2943">
        <w:rPr>
          <w:rFonts w:ascii="Arial Narrow" w:hAnsi="Arial Narrow"/>
          <w:sz w:val="20"/>
          <w:szCs w:val="20"/>
          <w:lang w:val="es-PE"/>
        </w:rPr>
        <w:t>Información sobre el Grupo Económico al que pertenece la Empresa</w:t>
      </w:r>
      <w:r w:rsidR="002F2943" w:rsidRPr="002F2943">
        <w:rPr>
          <w:rFonts w:ascii="Arial Narrow" w:hAnsi="Arial Narrow"/>
          <w:sz w:val="20"/>
          <w:szCs w:val="20"/>
        </w:rPr>
        <w:t xml:space="preserve">” mediante la Resolución SBS </w:t>
      </w:r>
      <w:proofErr w:type="spellStart"/>
      <w:r w:rsidR="002F2943" w:rsidRPr="002F2943">
        <w:rPr>
          <w:rFonts w:ascii="Arial Narrow" w:hAnsi="Arial Narrow"/>
          <w:sz w:val="20"/>
          <w:szCs w:val="20"/>
        </w:rPr>
        <w:t>N°</w:t>
      </w:r>
      <w:proofErr w:type="spellEnd"/>
      <w:r w:rsidR="002F2943" w:rsidRPr="002F2943">
        <w:rPr>
          <w:rFonts w:ascii="Arial Narrow" w:hAnsi="Arial Narrow"/>
          <w:sz w:val="20"/>
          <w:szCs w:val="20"/>
        </w:rPr>
        <w:t xml:space="preserve"> 1758-2025 de periodicidad </w:t>
      </w:r>
      <w:r w:rsidR="002F2943">
        <w:rPr>
          <w:rFonts w:ascii="Arial Narrow" w:hAnsi="Arial Narrow"/>
          <w:sz w:val="20"/>
          <w:szCs w:val="20"/>
        </w:rPr>
        <w:t>semestra</w:t>
      </w:r>
      <w:r w:rsidR="002F2943" w:rsidRPr="002F2943">
        <w:rPr>
          <w:rFonts w:ascii="Arial Narrow" w:hAnsi="Arial Narrow"/>
          <w:sz w:val="20"/>
          <w:szCs w:val="20"/>
        </w:rPr>
        <w:t>l publicada el 15.05.2025 vigente a partir de la información de junio 2025, dejando sin efecto al Reporte “</w:t>
      </w:r>
      <w:r w:rsidR="002F2943" w:rsidRPr="002F2943">
        <w:rPr>
          <w:rFonts w:ascii="Arial Narrow" w:hAnsi="Arial Narrow"/>
          <w:sz w:val="20"/>
          <w:szCs w:val="20"/>
          <w:lang w:val="es-PE"/>
        </w:rPr>
        <w:t>Información sobre el Grupo Económico de la empresa</w:t>
      </w:r>
      <w:r w:rsidR="002F2943" w:rsidRPr="002F2943">
        <w:rPr>
          <w:rFonts w:ascii="Arial Narrow" w:hAnsi="Arial Narrow"/>
          <w:sz w:val="20"/>
          <w:szCs w:val="20"/>
        </w:rPr>
        <w:t>”</w:t>
      </w:r>
      <w:r w:rsidR="002F2943">
        <w:rPr>
          <w:rFonts w:ascii="Arial Narrow" w:hAnsi="Arial Narrow"/>
          <w:sz w:val="20"/>
          <w:szCs w:val="20"/>
        </w:rPr>
        <w:t>.</w:t>
      </w:r>
      <w:r w:rsidRPr="00935B0A">
        <w:rPr>
          <w:rFonts w:ascii="Arial Narrow" w:hAnsi="Arial Narrow"/>
          <w:sz w:val="20"/>
          <w:szCs w:val="20"/>
          <w:vertAlign w:val="superscript"/>
        </w:rPr>
        <w:t>22.2</w:t>
      </w:r>
      <w:r w:rsidRPr="00935B0A">
        <w:rPr>
          <w:rFonts w:ascii="Arial Narrow" w:hAnsi="Arial Narrow"/>
          <w:sz w:val="20"/>
          <w:szCs w:val="20"/>
        </w:rPr>
        <w:t xml:space="preserve"> Modificado por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272-2014 del 16.01.2014 vigente a partir de la información anual del periodo 2013.</w:t>
      </w:r>
      <w:r w:rsidR="00873BE8" w:rsidRPr="00935B0A">
        <w:rPr>
          <w:rFonts w:ascii="Arial Narrow" w:hAnsi="Arial Narrow"/>
          <w:sz w:val="20"/>
          <w:szCs w:val="20"/>
        </w:rPr>
        <w:t xml:space="preserve"> Posteriormente modificado la denominación y el formato por la Resolución SBS </w:t>
      </w:r>
      <w:proofErr w:type="spellStart"/>
      <w:r w:rsidR="00873BE8" w:rsidRPr="00935B0A">
        <w:rPr>
          <w:rFonts w:ascii="Arial Narrow" w:hAnsi="Arial Narrow"/>
          <w:sz w:val="20"/>
          <w:szCs w:val="20"/>
        </w:rPr>
        <w:t>N°</w:t>
      </w:r>
      <w:proofErr w:type="spellEnd"/>
      <w:r w:rsidR="00873BE8" w:rsidRPr="00935B0A">
        <w:rPr>
          <w:rFonts w:ascii="Arial Narrow" w:hAnsi="Arial Narrow"/>
          <w:sz w:val="20"/>
          <w:szCs w:val="20"/>
        </w:rPr>
        <w:t xml:space="preserve"> 5780-2015 del 24.09.2015, vigente a partir de la información a ser presentada el 15 de enero de 2016.</w:t>
      </w:r>
      <w:r w:rsidR="009E6FB7">
        <w:rPr>
          <w:rFonts w:ascii="Arial Narrow" w:hAnsi="Arial Narrow"/>
          <w:sz w:val="20"/>
          <w:szCs w:val="20"/>
        </w:rPr>
        <w:t xml:space="preserve"> </w:t>
      </w:r>
      <w:r w:rsidR="002F2943" w:rsidRPr="002F2943">
        <w:rPr>
          <w:rFonts w:ascii="Arial Narrow" w:hAnsi="Arial Narrow"/>
          <w:sz w:val="20"/>
          <w:szCs w:val="20"/>
        </w:rPr>
        <w:t>Posteriormente se aprobó un nuevo Reporte “</w:t>
      </w:r>
      <w:r w:rsidR="002F2943" w:rsidRPr="002F2943">
        <w:rPr>
          <w:rFonts w:ascii="Arial Narrow" w:hAnsi="Arial Narrow"/>
          <w:sz w:val="20"/>
          <w:szCs w:val="20"/>
          <w:lang w:val="es-PE"/>
        </w:rPr>
        <w:t>Información sobre Integrantes del Grupo Económico al que pertenece la Empresa</w:t>
      </w:r>
      <w:r w:rsidR="002F2943" w:rsidRPr="002F2943">
        <w:rPr>
          <w:rFonts w:ascii="Arial Narrow" w:hAnsi="Arial Narrow"/>
          <w:sz w:val="20"/>
          <w:szCs w:val="20"/>
        </w:rPr>
        <w:t xml:space="preserve">” mediante la Resolución SBS </w:t>
      </w:r>
      <w:proofErr w:type="spellStart"/>
      <w:r w:rsidR="002F2943" w:rsidRPr="002F2943">
        <w:rPr>
          <w:rFonts w:ascii="Arial Narrow" w:hAnsi="Arial Narrow"/>
          <w:sz w:val="20"/>
          <w:szCs w:val="20"/>
        </w:rPr>
        <w:t>N°</w:t>
      </w:r>
      <w:proofErr w:type="spellEnd"/>
      <w:r w:rsidR="002F2943" w:rsidRPr="002F2943">
        <w:rPr>
          <w:rFonts w:ascii="Arial Narrow" w:hAnsi="Arial Narrow"/>
          <w:sz w:val="20"/>
          <w:szCs w:val="20"/>
        </w:rPr>
        <w:t xml:space="preserve"> 1758-2025 de periodicidad semestral publicada el 15.05.2025 vigente a partir de la información de junio 2025, dejando sin efecto al Reporte “</w:t>
      </w:r>
      <w:r w:rsidR="002F2943" w:rsidRPr="002F2943">
        <w:rPr>
          <w:rFonts w:ascii="Arial Narrow" w:hAnsi="Arial Narrow"/>
          <w:sz w:val="20"/>
          <w:szCs w:val="20"/>
          <w:lang w:val="es-PE"/>
        </w:rPr>
        <w:t xml:space="preserve">Información sobre </w:t>
      </w:r>
      <w:r w:rsidR="00C436C3">
        <w:rPr>
          <w:rFonts w:ascii="Arial Narrow" w:hAnsi="Arial Narrow"/>
          <w:sz w:val="20"/>
          <w:szCs w:val="20"/>
          <w:lang w:val="es-PE"/>
        </w:rPr>
        <w:t>integrantes d</w:t>
      </w:r>
      <w:r w:rsidR="002F2943" w:rsidRPr="002F2943">
        <w:rPr>
          <w:rFonts w:ascii="Arial Narrow" w:hAnsi="Arial Narrow"/>
          <w:sz w:val="20"/>
          <w:szCs w:val="20"/>
          <w:lang w:val="es-PE"/>
        </w:rPr>
        <w:t>el Grupo Económico de la empresa</w:t>
      </w:r>
      <w:r w:rsidR="002F2943" w:rsidRPr="002F2943">
        <w:rPr>
          <w:rFonts w:ascii="Arial Narrow" w:hAnsi="Arial Narrow"/>
          <w:sz w:val="20"/>
          <w:szCs w:val="20"/>
        </w:rPr>
        <w:t>”.</w:t>
      </w:r>
    </w:p>
    <w:p w14:paraId="3D6C73AD" w14:textId="0AE67431" w:rsidR="009E6FB7" w:rsidRPr="00935B0A" w:rsidRDefault="00153535"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22.3</w:t>
      </w:r>
      <w:r w:rsidRPr="00935B0A">
        <w:rPr>
          <w:rFonts w:ascii="Arial Narrow" w:hAnsi="Arial Narrow"/>
          <w:sz w:val="20"/>
          <w:szCs w:val="20"/>
        </w:rPr>
        <w:t xml:space="preserve"> Posteriormente modificado el formato por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5780-2015 del 24.09.2015, vigente a partir de la información a ser presentada el 15 de enero de 2016.</w:t>
      </w:r>
      <w:r w:rsidR="009E6FB7">
        <w:rPr>
          <w:rFonts w:ascii="Arial Narrow" w:hAnsi="Arial Narrow"/>
          <w:sz w:val="20"/>
          <w:szCs w:val="20"/>
        </w:rPr>
        <w:t xml:space="preserve"> </w:t>
      </w:r>
      <w:r w:rsidR="009E6FB7" w:rsidRPr="009E6FB7">
        <w:rPr>
          <w:rFonts w:ascii="Arial Narrow" w:hAnsi="Arial Narrow"/>
          <w:sz w:val="20"/>
          <w:szCs w:val="20"/>
        </w:rPr>
        <w:t>Posteriormente se aprobó un nuevo Reporte “</w:t>
      </w:r>
      <w:r w:rsidR="009E6FB7" w:rsidRPr="009E6FB7">
        <w:rPr>
          <w:rFonts w:ascii="Arial Narrow" w:hAnsi="Arial Narrow"/>
          <w:sz w:val="20"/>
          <w:szCs w:val="20"/>
          <w:lang w:val="es-PE"/>
        </w:rPr>
        <w:t>Información de Clientes (incluyendo los que representan un grupo de contrapartes conectadas por riesgo único) correspondiente a Grandes Exposiciones</w:t>
      </w:r>
      <w:r w:rsidR="009E6FB7" w:rsidRPr="009E6FB7">
        <w:rPr>
          <w:rFonts w:ascii="Arial Narrow" w:hAnsi="Arial Narrow"/>
          <w:sz w:val="20"/>
          <w:szCs w:val="20"/>
        </w:rPr>
        <w:t xml:space="preserve">” mediante la Resolución SBS </w:t>
      </w:r>
      <w:proofErr w:type="spellStart"/>
      <w:r w:rsidR="009E6FB7" w:rsidRPr="009E6FB7">
        <w:rPr>
          <w:rFonts w:ascii="Arial Narrow" w:hAnsi="Arial Narrow"/>
          <w:sz w:val="20"/>
          <w:szCs w:val="20"/>
        </w:rPr>
        <w:t>N°</w:t>
      </w:r>
      <w:proofErr w:type="spellEnd"/>
      <w:r w:rsidR="009E6FB7" w:rsidRPr="009E6FB7">
        <w:rPr>
          <w:rFonts w:ascii="Arial Narrow" w:hAnsi="Arial Narrow"/>
          <w:sz w:val="20"/>
          <w:szCs w:val="20"/>
        </w:rPr>
        <w:t xml:space="preserve"> 1758-2025 de periodicidad semestral publicada el 15.05.2025 vigente a partir de la información de junio 2025, dejando sin efecto al Reporte “</w:t>
      </w:r>
      <w:r w:rsidR="009E6FB7" w:rsidRPr="009E6FB7">
        <w:rPr>
          <w:rFonts w:ascii="Arial Narrow" w:hAnsi="Arial Narrow"/>
          <w:sz w:val="20"/>
          <w:szCs w:val="20"/>
          <w:lang w:val="es-PE"/>
        </w:rPr>
        <w:t>Información de Clientes que representan Riesgo Único”</w:t>
      </w:r>
      <w:r w:rsidR="009E6FB7" w:rsidRPr="009E6FB7">
        <w:rPr>
          <w:rFonts w:ascii="Arial Narrow" w:hAnsi="Arial Narrow"/>
          <w:sz w:val="20"/>
          <w:szCs w:val="20"/>
        </w:rPr>
        <w:t>.</w:t>
      </w:r>
    </w:p>
    <w:p w14:paraId="38EF88C1" w14:textId="69E4F3F7" w:rsidR="009E6FB7" w:rsidRPr="0008397E" w:rsidRDefault="00153535" w:rsidP="00935B0A">
      <w:pPr>
        <w:tabs>
          <w:tab w:val="left" w:pos="7685"/>
        </w:tabs>
        <w:spacing w:before="40"/>
        <w:jc w:val="both"/>
        <w:rPr>
          <w:rFonts w:ascii="Arial Narrow" w:hAnsi="Arial Narrow"/>
          <w:sz w:val="20"/>
          <w:szCs w:val="20"/>
          <w:lang w:val="es-PE"/>
        </w:rPr>
      </w:pPr>
      <w:r w:rsidRPr="00935B0A">
        <w:rPr>
          <w:rFonts w:ascii="Arial Narrow" w:hAnsi="Arial Narrow"/>
          <w:sz w:val="20"/>
          <w:szCs w:val="20"/>
          <w:vertAlign w:val="superscript"/>
        </w:rPr>
        <w:t>22.4</w:t>
      </w:r>
      <w:r w:rsidRPr="00935B0A">
        <w:rPr>
          <w:rFonts w:ascii="Arial Narrow" w:hAnsi="Arial Narrow"/>
          <w:sz w:val="20"/>
          <w:szCs w:val="20"/>
        </w:rPr>
        <w:t xml:space="preserve"> Posteriormente modificado la denominación y el formato por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5780-2015 del 24.09.2015, vigente a partir de la información a ser presentada el 15 de enero de 2016.</w:t>
      </w:r>
      <w:r w:rsidR="009E6FB7">
        <w:rPr>
          <w:rFonts w:ascii="Arial Narrow" w:hAnsi="Arial Narrow"/>
          <w:sz w:val="20"/>
          <w:szCs w:val="20"/>
        </w:rPr>
        <w:t xml:space="preserve"> </w:t>
      </w:r>
      <w:r w:rsidR="009E6FB7" w:rsidRPr="009E6FB7">
        <w:rPr>
          <w:rFonts w:ascii="Arial Narrow" w:hAnsi="Arial Narrow"/>
          <w:sz w:val="20"/>
          <w:szCs w:val="20"/>
        </w:rPr>
        <w:t>Posteriormente se aprobó un nuevo Reporte “</w:t>
      </w:r>
      <w:r w:rsidR="009E6FB7" w:rsidRPr="009E6FB7">
        <w:rPr>
          <w:rFonts w:ascii="Arial Narrow" w:hAnsi="Arial Narrow"/>
          <w:sz w:val="20"/>
          <w:szCs w:val="20"/>
          <w:lang w:val="es-PE"/>
        </w:rPr>
        <w:t xml:space="preserve">Información de las Personas, Entes Jurídicos, Dependencias, Organismos, Entidades u Otros que integran un Grupo de Contrapartes Conectadas por Riesgo Único con </w:t>
      </w:r>
      <w:proofErr w:type="gramStart"/>
      <w:r w:rsidR="009E6FB7" w:rsidRPr="009E6FB7">
        <w:rPr>
          <w:rFonts w:ascii="Arial Narrow" w:hAnsi="Arial Narrow"/>
          <w:sz w:val="20"/>
          <w:szCs w:val="20"/>
          <w:lang w:val="es-PE"/>
        </w:rPr>
        <w:t xml:space="preserve">Clientes </w:t>
      </w:r>
      <w:r w:rsidR="009E6FB7" w:rsidRPr="009E6FB7">
        <w:rPr>
          <w:rFonts w:ascii="Arial Narrow" w:hAnsi="Arial Narrow"/>
          <w:sz w:val="20"/>
          <w:szCs w:val="20"/>
        </w:rPr>
        <w:t>”</w:t>
      </w:r>
      <w:proofErr w:type="gramEnd"/>
      <w:r w:rsidR="009E6FB7" w:rsidRPr="009E6FB7">
        <w:rPr>
          <w:rFonts w:ascii="Arial Narrow" w:hAnsi="Arial Narrow"/>
          <w:sz w:val="20"/>
          <w:szCs w:val="20"/>
        </w:rPr>
        <w:t xml:space="preserve"> mediante la Resolución SBS </w:t>
      </w:r>
      <w:proofErr w:type="spellStart"/>
      <w:r w:rsidR="009E6FB7" w:rsidRPr="009E6FB7">
        <w:rPr>
          <w:rFonts w:ascii="Arial Narrow" w:hAnsi="Arial Narrow"/>
          <w:sz w:val="20"/>
          <w:szCs w:val="20"/>
        </w:rPr>
        <w:t>N°</w:t>
      </w:r>
      <w:proofErr w:type="spellEnd"/>
      <w:r w:rsidR="009E6FB7" w:rsidRPr="009E6FB7">
        <w:rPr>
          <w:rFonts w:ascii="Arial Narrow" w:hAnsi="Arial Narrow"/>
          <w:sz w:val="20"/>
          <w:szCs w:val="20"/>
        </w:rPr>
        <w:t xml:space="preserve"> 1758-2025 de periodicidad semestral publicada el 15.05.2025 vigente a partir de la información de junio 2025, dejando sin efecto al Reporte “</w:t>
      </w:r>
      <w:r w:rsidR="009E6FB7" w:rsidRPr="009E6FB7">
        <w:rPr>
          <w:rFonts w:ascii="Arial Narrow" w:hAnsi="Arial Narrow"/>
          <w:sz w:val="20"/>
          <w:szCs w:val="20"/>
          <w:lang w:val="es-PE"/>
        </w:rPr>
        <w:t>Información de las Personas y Entes Jurídicos que Representan Riesgo Único Clientes”</w:t>
      </w:r>
      <w:r w:rsidR="009E6FB7" w:rsidRPr="009E6FB7">
        <w:rPr>
          <w:rFonts w:ascii="Arial Narrow" w:hAnsi="Arial Narrow"/>
          <w:sz w:val="20"/>
          <w:szCs w:val="20"/>
        </w:rPr>
        <w:t>.</w:t>
      </w:r>
    </w:p>
    <w:p w14:paraId="0133C70F" w14:textId="44A79BD3" w:rsidR="00153535" w:rsidRDefault="00153535"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22.5</w:t>
      </w:r>
      <w:r w:rsidRPr="00935B0A">
        <w:rPr>
          <w:rFonts w:ascii="Arial Narrow" w:hAnsi="Arial Narrow"/>
          <w:sz w:val="20"/>
          <w:szCs w:val="20"/>
        </w:rPr>
        <w:t xml:space="preserve"> Posteriormente modificado el formato por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5780-2015 del 24.09.2015, vigente a partir de la información a ser presentada el 15 de enero de 2016.</w:t>
      </w:r>
      <w:r w:rsidR="004D3BA7">
        <w:rPr>
          <w:rFonts w:ascii="Arial Narrow" w:hAnsi="Arial Narrow"/>
          <w:sz w:val="20"/>
          <w:szCs w:val="20"/>
        </w:rPr>
        <w:t xml:space="preserve"> </w:t>
      </w:r>
      <w:r w:rsidR="00E11533" w:rsidRPr="00E11533">
        <w:rPr>
          <w:rFonts w:ascii="Arial Narrow" w:hAnsi="Arial Narrow"/>
          <w:sz w:val="20"/>
          <w:szCs w:val="20"/>
        </w:rPr>
        <w:t xml:space="preserve">Notas modificadas por la Res. SBS </w:t>
      </w:r>
      <w:proofErr w:type="spellStart"/>
      <w:r w:rsidR="00E11533" w:rsidRPr="00E11533">
        <w:rPr>
          <w:rFonts w:ascii="Arial Narrow" w:hAnsi="Arial Narrow"/>
          <w:sz w:val="20"/>
          <w:szCs w:val="20"/>
        </w:rPr>
        <w:t>N°</w:t>
      </w:r>
      <w:proofErr w:type="spellEnd"/>
      <w:r w:rsidR="00E11533" w:rsidRPr="00E11533">
        <w:rPr>
          <w:rFonts w:ascii="Arial Narrow" w:hAnsi="Arial Narrow"/>
          <w:sz w:val="20"/>
          <w:szCs w:val="20"/>
        </w:rPr>
        <w:t xml:space="preserve"> 3212-2023 del 27.09.23</w:t>
      </w:r>
      <w:r w:rsidR="00740EDE">
        <w:rPr>
          <w:rFonts w:ascii="Arial Narrow" w:hAnsi="Arial Narrow"/>
          <w:sz w:val="20"/>
          <w:szCs w:val="20"/>
        </w:rPr>
        <w:t>.</w:t>
      </w:r>
      <w:r w:rsidR="00740EDE" w:rsidRPr="00740EDE">
        <w:rPr>
          <w:rFonts w:ascii="Arial Narrow" w:hAnsi="Arial Narrow"/>
          <w:sz w:val="20"/>
          <w:szCs w:val="20"/>
        </w:rPr>
        <w:t xml:space="preserve"> </w:t>
      </w:r>
    </w:p>
    <w:p w14:paraId="499CDA71" w14:textId="530827EF" w:rsidR="009E6FB7" w:rsidRPr="0008397E" w:rsidRDefault="009E6FB7" w:rsidP="00935B0A">
      <w:pPr>
        <w:tabs>
          <w:tab w:val="left" w:pos="7685"/>
        </w:tabs>
        <w:spacing w:before="40"/>
        <w:jc w:val="both"/>
        <w:rPr>
          <w:rFonts w:ascii="Arial Narrow" w:hAnsi="Arial Narrow"/>
          <w:sz w:val="20"/>
          <w:szCs w:val="20"/>
          <w:lang w:val="es-PE"/>
        </w:rPr>
      </w:pPr>
      <w:r w:rsidRPr="009E6FB7">
        <w:rPr>
          <w:rFonts w:ascii="Arial Narrow" w:hAnsi="Arial Narrow"/>
          <w:sz w:val="20"/>
          <w:szCs w:val="20"/>
        </w:rPr>
        <w:t>Posteriormente se aprobó un nuevo Reporte “</w:t>
      </w:r>
      <w:r w:rsidRPr="009E6FB7">
        <w:rPr>
          <w:rFonts w:ascii="Arial Narrow" w:hAnsi="Arial Narrow"/>
          <w:sz w:val="20"/>
          <w:szCs w:val="20"/>
          <w:lang w:val="es-PE"/>
        </w:rPr>
        <w:t>Información de las Personas y Entes Jurídicos Vinculados a la Empresa y Financiamientos a Vinculados a la Empresa</w:t>
      </w:r>
      <w:r w:rsidRPr="009E6FB7">
        <w:rPr>
          <w:rFonts w:ascii="Arial Narrow" w:hAnsi="Arial Narrow"/>
          <w:sz w:val="20"/>
          <w:szCs w:val="20"/>
        </w:rPr>
        <w:t xml:space="preserve">” mediante la Resolución SBS </w:t>
      </w:r>
      <w:proofErr w:type="spellStart"/>
      <w:r w:rsidRPr="009E6FB7">
        <w:rPr>
          <w:rFonts w:ascii="Arial Narrow" w:hAnsi="Arial Narrow"/>
          <w:sz w:val="20"/>
          <w:szCs w:val="20"/>
        </w:rPr>
        <w:t>N°</w:t>
      </w:r>
      <w:proofErr w:type="spellEnd"/>
      <w:r w:rsidRPr="009E6FB7">
        <w:rPr>
          <w:rFonts w:ascii="Arial Narrow" w:hAnsi="Arial Narrow"/>
          <w:sz w:val="20"/>
          <w:szCs w:val="20"/>
        </w:rPr>
        <w:t xml:space="preserve"> 1758-2025 de periodicidad </w:t>
      </w:r>
      <w:r>
        <w:rPr>
          <w:rFonts w:ascii="Arial Narrow" w:hAnsi="Arial Narrow"/>
          <w:sz w:val="20"/>
          <w:szCs w:val="20"/>
        </w:rPr>
        <w:t>tri</w:t>
      </w:r>
      <w:r w:rsidRPr="009E6FB7">
        <w:rPr>
          <w:rFonts w:ascii="Arial Narrow" w:hAnsi="Arial Narrow"/>
          <w:sz w:val="20"/>
          <w:szCs w:val="20"/>
        </w:rPr>
        <w:t>mestral publicada el 15.05.2025 vigente a partir de la información de junio 2025, dejando sin efecto al Reporte “</w:t>
      </w:r>
      <w:r w:rsidRPr="009E6FB7">
        <w:rPr>
          <w:rFonts w:ascii="Arial Narrow" w:hAnsi="Arial Narrow"/>
          <w:sz w:val="20"/>
          <w:szCs w:val="20"/>
          <w:lang w:val="es-PE"/>
        </w:rPr>
        <w:t>Financiamientos a Vinculados a la Empresa”</w:t>
      </w:r>
      <w:r w:rsidRPr="009E6FB7">
        <w:rPr>
          <w:rFonts w:ascii="Arial Narrow" w:hAnsi="Arial Narrow"/>
          <w:sz w:val="20"/>
          <w:szCs w:val="20"/>
        </w:rPr>
        <w:t>.</w:t>
      </w:r>
    </w:p>
    <w:p w14:paraId="3A682FFD" w14:textId="7D02D474" w:rsidR="00153535" w:rsidRPr="00935B0A" w:rsidRDefault="00153535"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lastRenderedPageBreak/>
        <w:t>22.6</w:t>
      </w:r>
      <w:r w:rsidRPr="00935B0A">
        <w:rPr>
          <w:rFonts w:ascii="Arial Narrow" w:hAnsi="Arial Narrow"/>
          <w:sz w:val="20"/>
          <w:szCs w:val="20"/>
        </w:rPr>
        <w:t xml:space="preserve"> Posteriormente modificado la denominación y el formato por la Resolución SBS </w:t>
      </w:r>
      <w:proofErr w:type="spellStart"/>
      <w:r w:rsidRPr="00935B0A">
        <w:rPr>
          <w:rFonts w:ascii="Arial Narrow" w:hAnsi="Arial Narrow"/>
          <w:sz w:val="20"/>
          <w:szCs w:val="20"/>
        </w:rPr>
        <w:t>N°</w:t>
      </w:r>
      <w:proofErr w:type="spellEnd"/>
      <w:r w:rsidRPr="00935B0A">
        <w:rPr>
          <w:rFonts w:ascii="Arial Narrow" w:hAnsi="Arial Narrow"/>
          <w:sz w:val="20"/>
          <w:szCs w:val="20"/>
        </w:rPr>
        <w:t xml:space="preserve"> 5780-2015 del 24.09.2015, vigente a partir de la información a ser presentada el 15 de enero de 2016.</w:t>
      </w:r>
      <w:r w:rsidR="00740EDE" w:rsidRPr="00740EDE">
        <w:rPr>
          <w:rFonts w:ascii="Arial Narrow" w:hAnsi="Arial Narrow"/>
          <w:sz w:val="20"/>
          <w:szCs w:val="20"/>
        </w:rPr>
        <w:t xml:space="preserve"> Posteriormente</w:t>
      </w:r>
      <w:r w:rsidR="00740EDE">
        <w:rPr>
          <w:rFonts w:ascii="Arial Narrow" w:hAnsi="Arial Narrow"/>
          <w:sz w:val="20"/>
          <w:szCs w:val="20"/>
        </w:rPr>
        <w:t xml:space="preserve"> eliminado </w:t>
      </w:r>
      <w:r w:rsidR="00740EDE" w:rsidRPr="00740EDE">
        <w:rPr>
          <w:rFonts w:ascii="Arial Narrow" w:hAnsi="Arial Narrow"/>
          <w:sz w:val="20"/>
          <w:szCs w:val="20"/>
        </w:rPr>
        <w:t xml:space="preserve">por la Resolución SBS </w:t>
      </w:r>
      <w:proofErr w:type="spellStart"/>
      <w:r w:rsidR="00740EDE" w:rsidRPr="00740EDE">
        <w:rPr>
          <w:rFonts w:ascii="Arial Narrow" w:hAnsi="Arial Narrow"/>
          <w:sz w:val="20"/>
          <w:szCs w:val="20"/>
        </w:rPr>
        <w:t>N°</w:t>
      </w:r>
      <w:proofErr w:type="spellEnd"/>
      <w:r w:rsidR="00740EDE" w:rsidRPr="00740EDE">
        <w:rPr>
          <w:rFonts w:ascii="Arial Narrow" w:hAnsi="Arial Narrow"/>
          <w:sz w:val="20"/>
          <w:szCs w:val="20"/>
        </w:rPr>
        <w:t xml:space="preserve"> 1758-2025 publicada el 15.05.2025</w:t>
      </w:r>
    </w:p>
    <w:p w14:paraId="4A05D6D3" w14:textId="0AEEAEE2" w:rsidR="00F557B0" w:rsidRPr="00935B0A" w:rsidRDefault="00935B0A"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22.7</w:t>
      </w:r>
      <w:r w:rsidRPr="00935B0A">
        <w:rPr>
          <w:rFonts w:ascii="Arial Narrow" w:hAnsi="Arial Narrow"/>
          <w:sz w:val="20"/>
          <w:szCs w:val="20"/>
        </w:rPr>
        <w:t xml:space="preserve"> </w:t>
      </w:r>
      <w:proofErr w:type="gramStart"/>
      <w:r w:rsidRPr="00935B0A">
        <w:rPr>
          <w:rFonts w:ascii="Arial Narrow" w:hAnsi="Arial Narrow"/>
          <w:sz w:val="20"/>
          <w:szCs w:val="20"/>
        </w:rPr>
        <w:t>De</w:t>
      </w:r>
      <w:r w:rsidR="00F557B0" w:rsidRPr="00935B0A">
        <w:rPr>
          <w:rFonts w:ascii="Arial Narrow" w:hAnsi="Arial Narrow"/>
          <w:sz w:val="20"/>
          <w:szCs w:val="20"/>
        </w:rPr>
        <w:t xml:space="preserve"> acuerdo a</w:t>
      </w:r>
      <w:proofErr w:type="gramEnd"/>
      <w:r w:rsidR="00F557B0" w:rsidRPr="00935B0A">
        <w:rPr>
          <w:rFonts w:ascii="Arial Narrow" w:hAnsi="Arial Narrow"/>
          <w:sz w:val="20"/>
          <w:szCs w:val="20"/>
        </w:rPr>
        <w:t xml:space="preserve"> la Resolución SBS </w:t>
      </w:r>
      <w:proofErr w:type="spellStart"/>
      <w:r w:rsidR="00F557B0" w:rsidRPr="00935B0A">
        <w:rPr>
          <w:rFonts w:ascii="Arial Narrow" w:hAnsi="Arial Narrow"/>
          <w:sz w:val="20"/>
          <w:szCs w:val="20"/>
        </w:rPr>
        <w:t>Nº</w:t>
      </w:r>
      <w:proofErr w:type="spellEnd"/>
      <w:r w:rsidR="00F557B0" w:rsidRPr="00935B0A">
        <w:rPr>
          <w:rFonts w:ascii="Arial Narrow" w:hAnsi="Arial Narrow"/>
          <w:sz w:val="20"/>
          <w:szCs w:val="20"/>
        </w:rPr>
        <w:t xml:space="preserve"> 6415-2014 del 26.09.2014, se aprueba el formato del Reporte 11, que </w:t>
      </w:r>
      <w:r w:rsidR="00520001" w:rsidRPr="00935B0A">
        <w:rPr>
          <w:rFonts w:ascii="Arial Narrow" w:hAnsi="Arial Narrow"/>
          <w:sz w:val="20"/>
          <w:szCs w:val="20"/>
        </w:rPr>
        <w:t>corresponde a</w:t>
      </w:r>
      <w:r w:rsidR="00F557B0" w:rsidRPr="00935B0A">
        <w:rPr>
          <w:rFonts w:ascii="Arial Narrow" w:hAnsi="Arial Narrow"/>
          <w:sz w:val="20"/>
          <w:szCs w:val="20"/>
        </w:rPr>
        <w:t xml:space="preserve"> los activos señalados en los numerales 1 y 2 del artículo 13° de las normas para la cobertura, recursos y pago de imposiciones cubiertas del Fondo de Seguro de Depósitos aprobadas por la Resolución SBS </w:t>
      </w:r>
      <w:proofErr w:type="spellStart"/>
      <w:r w:rsidR="00F557B0" w:rsidRPr="00935B0A">
        <w:rPr>
          <w:rFonts w:ascii="Arial Narrow" w:hAnsi="Arial Narrow"/>
          <w:sz w:val="20"/>
          <w:szCs w:val="20"/>
        </w:rPr>
        <w:t>N°</w:t>
      </w:r>
      <w:proofErr w:type="spellEnd"/>
      <w:r w:rsidR="00F557B0" w:rsidRPr="00935B0A">
        <w:rPr>
          <w:rFonts w:ascii="Arial Narrow" w:hAnsi="Arial Narrow"/>
          <w:sz w:val="20"/>
          <w:szCs w:val="20"/>
        </w:rPr>
        <w:t xml:space="preserve"> 657-99 y sus normas modificatorias.</w:t>
      </w:r>
      <w:r w:rsidR="00415871" w:rsidRPr="00415871">
        <w:t xml:space="preserve"> </w:t>
      </w:r>
      <w:r w:rsidR="00415871" w:rsidRPr="00415871">
        <w:rPr>
          <w:rFonts w:ascii="Arial Narrow" w:hAnsi="Arial Narrow"/>
          <w:sz w:val="20"/>
          <w:szCs w:val="20"/>
        </w:rPr>
        <w:t xml:space="preserve">Posteriormente se modificaron los formatos mediante la Resolución SBS </w:t>
      </w:r>
      <w:proofErr w:type="spellStart"/>
      <w:r w:rsidR="00415871" w:rsidRPr="00415871">
        <w:rPr>
          <w:rFonts w:ascii="Arial Narrow" w:hAnsi="Arial Narrow"/>
          <w:sz w:val="20"/>
          <w:szCs w:val="20"/>
        </w:rPr>
        <w:t>N°</w:t>
      </w:r>
      <w:proofErr w:type="spellEnd"/>
      <w:r w:rsidR="00415871" w:rsidRPr="00415871">
        <w:rPr>
          <w:rFonts w:ascii="Arial Narrow" w:hAnsi="Arial Narrow"/>
          <w:sz w:val="20"/>
          <w:szCs w:val="20"/>
        </w:rPr>
        <w:t xml:space="preserve"> 03993-2024 </w:t>
      </w:r>
      <w:proofErr w:type="gramStart"/>
      <w:r w:rsidR="00415871" w:rsidRPr="00415871">
        <w:rPr>
          <w:rFonts w:ascii="Arial Narrow" w:hAnsi="Arial Narrow"/>
          <w:sz w:val="20"/>
          <w:szCs w:val="20"/>
        </w:rPr>
        <w:t>del  26.11.2024</w:t>
      </w:r>
      <w:proofErr w:type="gramEnd"/>
      <w:r w:rsidR="00415871" w:rsidRPr="00415871">
        <w:rPr>
          <w:rFonts w:ascii="Arial Narrow" w:hAnsi="Arial Narrow"/>
          <w:sz w:val="20"/>
          <w:szCs w:val="20"/>
        </w:rPr>
        <w:t xml:space="preserve">, vigente a partir de </w:t>
      </w:r>
      <w:proofErr w:type="gramStart"/>
      <w:r w:rsidR="00415871" w:rsidRPr="00415871">
        <w:rPr>
          <w:rFonts w:ascii="Arial Narrow" w:hAnsi="Arial Narrow"/>
          <w:sz w:val="20"/>
          <w:szCs w:val="20"/>
        </w:rPr>
        <w:t>la  información</w:t>
      </w:r>
      <w:proofErr w:type="gramEnd"/>
      <w:r w:rsidR="00415871" w:rsidRPr="00415871">
        <w:rPr>
          <w:rFonts w:ascii="Arial Narrow" w:hAnsi="Arial Narrow"/>
          <w:sz w:val="20"/>
          <w:szCs w:val="20"/>
        </w:rPr>
        <w:t xml:space="preserve"> correspondiente a marzo 2025.</w:t>
      </w:r>
    </w:p>
    <w:p w14:paraId="2D341FBB" w14:textId="75D3DF23" w:rsidR="00965622" w:rsidRPr="00935B0A" w:rsidRDefault="006D07F1"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22.</w:t>
      </w:r>
      <w:r w:rsidR="00153535" w:rsidRPr="00935B0A">
        <w:rPr>
          <w:rFonts w:ascii="Arial Narrow" w:hAnsi="Arial Narrow"/>
          <w:sz w:val="20"/>
          <w:szCs w:val="20"/>
          <w:vertAlign w:val="superscript"/>
        </w:rPr>
        <w:t>8</w:t>
      </w:r>
      <w:r w:rsidRPr="00935B0A">
        <w:rPr>
          <w:rFonts w:ascii="Arial Narrow" w:hAnsi="Arial Narrow"/>
          <w:sz w:val="20"/>
          <w:szCs w:val="20"/>
        </w:rPr>
        <w:t xml:space="preserve"> Modificado por la Resolución SBS</w:t>
      </w:r>
      <w:r w:rsidR="00BE00D2" w:rsidRPr="00935B0A">
        <w:rPr>
          <w:rFonts w:ascii="Arial Narrow" w:hAnsi="Arial Narrow"/>
          <w:sz w:val="20"/>
          <w:szCs w:val="20"/>
        </w:rPr>
        <w:t xml:space="preserve"> </w:t>
      </w:r>
      <w:proofErr w:type="spellStart"/>
      <w:r w:rsidR="00BE00D2" w:rsidRPr="00935B0A">
        <w:rPr>
          <w:rFonts w:ascii="Arial Narrow" w:hAnsi="Arial Narrow"/>
          <w:sz w:val="20"/>
          <w:szCs w:val="20"/>
        </w:rPr>
        <w:t>Nº</w:t>
      </w:r>
      <w:proofErr w:type="spellEnd"/>
      <w:r w:rsidR="00BE00D2" w:rsidRPr="00935B0A">
        <w:rPr>
          <w:rFonts w:ascii="Arial Narrow" w:hAnsi="Arial Narrow"/>
          <w:sz w:val="20"/>
          <w:szCs w:val="20"/>
        </w:rPr>
        <w:t xml:space="preserve"> 9784</w:t>
      </w:r>
      <w:r w:rsidRPr="00935B0A">
        <w:rPr>
          <w:rFonts w:ascii="Arial Narrow" w:hAnsi="Arial Narrow"/>
          <w:sz w:val="20"/>
          <w:szCs w:val="20"/>
        </w:rPr>
        <w:t>-2009 del 22.07.2009</w:t>
      </w:r>
      <w:r w:rsidR="00BE00D2" w:rsidRPr="00935B0A">
        <w:rPr>
          <w:rFonts w:ascii="Arial Narrow" w:hAnsi="Arial Narrow"/>
          <w:sz w:val="20"/>
          <w:szCs w:val="20"/>
        </w:rPr>
        <w:t>,</w:t>
      </w:r>
      <w:r w:rsidR="0003630F" w:rsidRPr="00935B0A">
        <w:rPr>
          <w:rFonts w:ascii="Arial Narrow" w:hAnsi="Arial Narrow"/>
          <w:sz w:val="20"/>
          <w:szCs w:val="20"/>
        </w:rPr>
        <w:t xml:space="preserve"> Resolución SBS </w:t>
      </w:r>
      <w:proofErr w:type="spellStart"/>
      <w:r w:rsidR="0003630F" w:rsidRPr="00935B0A">
        <w:rPr>
          <w:rFonts w:ascii="Arial Narrow" w:hAnsi="Arial Narrow"/>
          <w:sz w:val="20"/>
          <w:szCs w:val="20"/>
        </w:rPr>
        <w:t>N°</w:t>
      </w:r>
      <w:proofErr w:type="spellEnd"/>
      <w:r w:rsidR="0003630F" w:rsidRPr="00935B0A">
        <w:rPr>
          <w:rFonts w:ascii="Arial Narrow" w:hAnsi="Arial Narrow"/>
          <w:sz w:val="20"/>
          <w:szCs w:val="20"/>
        </w:rPr>
        <w:t xml:space="preserve"> </w:t>
      </w:r>
      <w:r w:rsidR="0003630F" w:rsidRPr="00935B0A">
        <w:rPr>
          <w:rFonts w:ascii="Arial Narrow" w:hAnsi="Arial Narrow"/>
          <w:bCs/>
          <w:sz w:val="20"/>
          <w:szCs w:val="20"/>
          <w:lang w:val="es-PE"/>
        </w:rPr>
        <w:t>1593-2010 del 12.02.2010</w:t>
      </w:r>
      <w:r w:rsidR="00BE00D2" w:rsidRPr="00935B0A">
        <w:rPr>
          <w:rFonts w:ascii="Arial Narrow" w:hAnsi="Arial Narrow"/>
          <w:sz w:val="20"/>
          <w:szCs w:val="20"/>
        </w:rPr>
        <w:t xml:space="preserve"> y por la Resolución SBS </w:t>
      </w:r>
      <w:proofErr w:type="spellStart"/>
      <w:r w:rsidR="00BE00D2" w:rsidRPr="00935B0A">
        <w:rPr>
          <w:rFonts w:ascii="Arial Narrow" w:hAnsi="Arial Narrow"/>
          <w:sz w:val="20"/>
          <w:szCs w:val="20"/>
        </w:rPr>
        <w:t>N°</w:t>
      </w:r>
      <w:proofErr w:type="spellEnd"/>
      <w:r w:rsidR="00BE00D2" w:rsidRPr="00935B0A">
        <w:rPr>
          <w:rFonts w:ascii="Arial Narrow" w:hAnsi="Arial Narrow"/>
          <w:sz w:val="20"/>
          <w:szCs w:val="20"/>
        </w:rPr>
        <w:t xml:space="preserve"> 15536-2010 del 26.11.2010.</w:t>
      </w:r>
      <w:r w:rsidR="00A23794" w:rsidRPr="00935B0A">
        <w:rPr>
          <w:rFonts w:ascii="Arial Narrow" w:hAnsi="Arial Narrow"/>
          <w:sz w:val="20"/>
          <w:szCs w:val="20"/>
        </w:rPr>
        <w:t xml:space="preserve"> </w:t>
      </w:r>
      <w:r w:rsidR="0060710D" w:rsidRPr="00935B0A">
        <w:rPr>
          <w:rFonts w:ascii="Arial Narrow" w:hAnsi="Arial Narrow"/>
          <w:sz w:val="20"/>
          <w:szCs w:val="20"/>
        </w:rPr>
        <w:t xml:space="preserve">Posteriormente modificado mediante la Resol. SBS </w:t>
      </w:r>
      <w:proofErr w:type="spellStart"/>
      <w:r w:rsidR="0060710D" w:rsidRPr="00935B0A">
        <w:rPr>
          <w:rFonts w:ascii="Arial Narrow" w:hAnsi="Arial Narrow"/>
          <w:sz w:val="20"/>
          <w:szCs w:val="20"/>
        </w:rPr>
        <w:t>N°</w:t>
      </w:r>
      <w:proofErr w:type="spellEnd"/>
      <w:r w:rsidR="0060710D" w:rsidRPr="00935B0A">
        <w:rPr>
          <w:rFonts w:ascii="Arial Narrow" w:hAnsi="Arial Narrow"/>
          <w:sz w:val="20"/>
          <w:szCs w:val="20"/>
        </w:rPr>
        <w:t xml:space="preserve"> 18441-2010 del 30.12.2010</w:t>
      </w:r>
      <w:r w:rsidR="00393450" w:rsidRPr="00935B0A">
        <w:rPr>
          <w:rFonts w:ascii="Arial Narrow" w:hAnsi="Arial Narrow"/>
          <w:sz w:val="20"/>
          <w:szCs w:val="20"/>
        </w:rPr>
        <w:t xml:space="preserve">, </w:t>
      </w:r>
      <w:r w:rsidR="0060710D" w:rsidRPr="00935B0A">
        <w:rPr>
          <w:rFonts w:ascii="Arial Narrow" w:hAnsi="Arial Narrow"/>
          <w:sz w:val="20"/>
          <w:szCs w:val="20"/>
        </w:rPr>
        <w:t xml:space="preserve">la Res. SBS </w:t>
      </w:r>
      <w:proofErr w:type="spellStart"/>
      <w:r w:rsidR="0060710D" w:rsidRPr="00935B0A">
        <w:rPr>
          <w:rFonts w:ascii="Arial Narrow" w:hAnsi="Arial Narrow"/>
          <w:sz w:val="20"/>
          <w:szCs w:val="20"/>
        </w:rPr>
        <w:t>Nº</w:t>
      </w:r>
      <w:proofErr w:type="spellEnd"/>
      <w:r w:rsidR="0060710D" w:rsidRPr="00935B0A">
        <w:rPr>
          <w:rFonts w:ascii="Arial Narrow" w:hAnsi="Arial Narrow"/>
          <w:sz w:val="20"/>
          <w:szCs w:val="20"/>
        </w:rPr>
        <w:t xml:space="preserve"> 923-2011 del 24.01.2011</w:t>
      </w:r>
      <w:r w:rsidR="00393450" w:rsidRPr="00935B0A">
        <w:rPr>
          <w:rFonts w:ascii="Arial Narrow" w:hAnsi="Arial Narrow"/>
          <w:sz w:val="20"/>
          <w:szCs w:val="20"/>
        </w:rPr>
        <w:t xml:space="preserve"> y la Res. SBS </w:t>
      </w:r>
      <w:proofErr w:type="spellStart"/>
      <w:r w:rsidR="00393450" w:rsidRPr="00935B0A">
        <w:rPr>
          <w:rFonts w:ascii="Arial Narrow" w:hAnsi="Arial Narrow"/>
          <w:sz w:val="20"/>
          <w:szCs w:val="20"/>
        </w:rPr>
        <w:t>N°</w:t>
      </w:r>
      <w:proofErr w:type="spellEnd"/>
      <w:r w:rsidR="00393450" w:rsidRPr="00935B0A">
        <w:rPr>
          <w:rFonts w:ascii="Arial Narrow" w:hAnsi="Arial Narrow"/>
          <w:sz w:val="20"/>
          <w:szCs w:val="20"/>
        </w:rPr>
        <w:t xml:space="preserve"> 10454-2011 del 06.10.2011.</w:t>
      </w:r>
      <w:r w:rsidR="00CD0D1D" w:rsidRPr="00935B0A">
        <w:rPr>
          <w:rFonts w:ascii="Arial Narrow" w:hAnsi="Arial Narrow"/>
          <w:sz w:val="20"/>
          <w:szCs w:val="20"/>
        </w:rPr>
        <w:t xml:space="preserve"> Posteriormente modificado por la Resol. SBS </w:t>
      </w:r>
      <w:proofErr w:type="spellStart"/>
      <w:r w:rsidR="00CD0D1D" w:rsidRPr="00935B0A">
        <w:rPr>
          <w:rFonts w:ascii="Arial Narrow" w:hAnsi="Arial Narrow"/>
          <w:sz w:val="20"/>
          <w:szCs w:val="20"/>
        </w:rPr>
        <w:t>N°</w:t>
      </w:r>
      <w:proofErr w:type="spellEnd"/>
      <w:r w:rsidR="00CD0D1D" w:rsidRPr="00935B0A">
        <w:rPr>
          <w:rFonts w:ascii="Arial Narrow" w:hAnsi="Arial Narrow"/>
          <w:sz w:val="20"/>
          <w:szCs w:val="20"/>
        </w:rPr>
        <w:t xml:space="preserve"> 9076-2012 del 10.12</w:t>
      </w:r>
      <w:r w:rsidR="007C57AD" w:rsidRPr="00935B0A">
        <w:rPr>
          <w:rFonts w:ascii="Arial Narrow" w:hAnsi="Arial Narrow"/>
          <w:sz w:val="20"/>
          <w:szCs w:val="20"/>
        </w:rPr>
        <w:t>2405</w:t>
      </w:r>
      <w:r w:rsidR="003C357F" w:rsidRPr="00935B0A">
        <w:rPr>
          <w:rFonts w:ascii="Arial Narrow" w:hAnsi="Arial Narrow"/>
          <w:sz w:val="20"/>
          <w:szCs w:val="20"/>
        </w:rPr>
        <w:t xml:space="preserve">. Posteriormente modificado a través de la Resolución SBS </w:t>
      </w:r>
      <w:proofErr w:type="spellStart"/>
      <w:r w:rsidR="003C357F" w:rsidRPr="00935B0A">
        <w:rPr>
          <w:rFonts w:ascii="Arial Narrow" w:hAnsi="Arial Narrow"/>
          <w:sz w:val="20"/>
          <w:szCs w:val="20"/>
        </w:rPr>
        <w:t>N°</w:t>
      </w:r>
      <w:proofErr w:type="spellEnd"/>
      <w:r w:rsidR="003C357F" w:rsidRPr="00935B0A">
        <w:rPr>
          <w:rFonts w:ascii="Arial Narrow" w:hAnsi="Arial Narrow"/>
          <w:sz w:val="20"/>
          <w:szCs w:val="20"/>
        </w:rPr>
        <w:t xml:space="preserve"> 1882 – 2020 del 31.07.2020 vigente a partir de la información de agosto 2020.</w:t>
      </w:r>
      <w:r w:rsidR="000C3751">
        <w:rPr>
          <w:rFonts w:ascii="Arial Narrow" w:hAnsi="Arial Narrow"/>
          <w:sz w:val="20"/>
          <w:szCs w:val="20"/>
        </w:rPr>
        <w:t xml:space="preserve"> </w:t>
      </w:r>
      <w:r w:rsidR="000C3751" w:rsidRPr="000C3751">
        <w:rPr>
          <w:rFonts w:ascii="Arial Narrow" w:hAnsi="Arial Narrow"/>
          <w:sz w:val="20"/>
          <w:szCs w:val="20"/>
        </w:rPr>
        <w:t xml:space="preserve">Posteriormente modificado a través de la Resolución SBS </w:t>
      </w:r>
      <w:proofErr w:type="spellStart"/>
      <w:r w:rsidR="000C3751" w:rsidRPr="000C3751">
        <w:rPr>
          <w:rFonts w:ascii="Arial Narrow" w:hAnsi="Arial Narrow"/>
          <w:sz w:val="20"/>
          <w:szCs w:val="20"/>
        </w:rPr>
        <w:t>N°</w:t>
      </w:r>
      <w:proofErr w:type="spellEnd"/>
      <w:r w:rsidR="000C3751" w:rsidRPr="000C3751">
        <w:rPr>
          <w:rFonts w:ascii="Arial Narrow" w:hAnsi="Arial Narrow"/>
          <w:sz w:val="20"/>
          <w:szCs w:val="20"/>
        </w:rPr>
        <w:t xml:space="preserve"> 3952 – 2022 del 22.12.2022</w:t>
      </w:r>
      <w:r w:rsidR="00C37C21">
        <w:rPr>
          <w:rFonts w:ascii="Arial Narrow" w:hAnsi="Arial Narrow"/>
          <w:sz w:val="20"/>
          <w:szCs w:val="20"/>
        </w:rPr>
        <w:t>.</w:t>
      </w:r>
      <w:r w:rsidR="00B238CB">
        <w:rPr>
          <w:rFonts w:ascii="Arial Narrow" w:hAnsi="Arial Narrow"/>
          <w:sz w:val="20"/>
          <w:szCs w:val="20"/>
        </w:rPr>
        <w:t xml:space="preserve"> </w:t>
      </w:r>
      <w:r w:rsidR="00B238CB" w:rsidRPr="000C3751">
        <w:rPr>
          <w:rFonts w:ascii="Arial Narrow" w:hAnsi="Arial Narrow"/>
          <w:sz w:val="20"/>
          <w:szCs w:val="20"/>
        </w:rPr>
        <w:t>Posteriormente modificado a tra</w:t>
      </w:r>
      <w:r w:rsidR="00B238CB">
        <w:rPr>
          <w:rFonts w:ascii="Arial Narrow" w:hAnsi="Arial Narrow"/>
          <w:sz w:val="20"/>
          <w:szCs w:val="20"/>
        </w:rPr>
        <w:t xml:space="preserve">vés de la Resolución SBS </w:t>
      </w:r>
      <w:proofErr w:type="spellStart"/>
      <w:r w:rsidR="00B238CB">
        <w:rPr>
          <w:rFonts w:ascii="Arial Narrow" w:hAnsi="Arial Narrow"/>
          <w:sz w:val="20"/>
          <w:szCs w:val="20"/>
        </w:rPr>
        <w:t>N°</w:t>
      </w:r>
      <w:proofErr w:type="spellEnd"/>
      <w:r w:rsidR="00B238CB">
        <w:rPr>
          <w:rFonts w:ascii="Arial Narrow" w:hAnsi="Arial Narrow"/>
          <w:sz w:val="20"/>
          <w:szCs w:val="20"/>
        </w:rPr>
        <w:t xml:space="preserve"> 0066 – 2023</w:t>
      </w:r>
      <w:r w:rsidR="00057208" w:rsidRPr="00057208">
        <w:rPr>
          <w:rFonts w:ascii="Arial Narrow" w:hAnsi="Arial Narrow"/>
          <w:sz w:val="20"/>
          <w:szCs w:val="20"/>
        </w:rPr>
        <w:t>, publicada el 13.01.2023, vigente a partir del 12.02.2023</w:t>
      </w:r>
      <w:r w:rsidR="00B238CB">
        <w:rPr>
          <w:rFonts w:ascii="Arial Narrow" w:hAnsi="Arial Narrow"/>
          <w:sz w:val="20"/>
          <w:szCs w:val="20"/>
        </w:rPr>
        <w:t>.</w:t>
      </w:r>
      <w:r w:rsidR="007136FC">
        <w:rPr>
          <w:rFonts w:ascii="Arial Narrow" w:hAnsi="Arial Narrow"/>
          <w:sz w:val="20"/>
          <w:szCs w:val="20"/>
        </w:rPr>
        <w:t xml:space="preserve"> </w:t>
      </w:r>
      <w:r w:rsidR="007136FC" w:rsidRPr="007136FC">
        <w:rPr>
          <w:rFonts w:ascii="Arial Narrow" w:hAnsi="Arial Narrow"/>
          <w:sz w:val="20"/>
          <w:szCs w:val="20"/>
        </w:rPr>
        <w:t xml:space="preserve">Posteriormente modificado por la Resolución SBS </w:t>
      </w:r>
      <w:proofErr w:type="spellStart"/>
      <w:r w:rsidR="007136FC" w:rsidRPr="007136FC">
        <w:rPr>
          <w:rFonts w:ascii="Arial Narrow" w:hAnsi="Arial Narrow"/>
          <w:sz w:val="20"/>
          <w:szCs w:val="20"/>
        </w:rPr>
        <w:t>N°</w:t>
      </w:r>
      <w:proofErr w:type="spellEnd"/>
      <w:r w:rsidR="007136FC" w:rsidRPr="007136FC">
        <w:rPr>
          <w:rFonts w:ascii="Arial Narrow" w:hAnsi="Arial Narrow"/>
          <w:sz w:val="20"/>
          <w:szCs w:val="20"/>
        </w:rPr>
        <w:t xml:space="preserve"> 468-2023, publicada el 14.02.2023 y vigente a partir de la información de febrero 2023</w:t>
      </w:r>
      <w:r w:rsidR="007136FC">
        <w:rPr>
          <w:rFonts w:ascii="Arial Narrow" w:hAnsi="Arial Narrow"/>
          <w:sz w:val="20"/>
          <w:szCs w:val="20"/>
        </w:rPr>
        <w:t>.</w:t>
      </w:r>
      <w:r w:rsidR="003A04C3">
        <w:rPr>
          <w:rFonts w:ascii="Arial Narrow" w:hAnsi="Arial Narrow"/>
          <w:sz w:val="20"/>
          <w:szCs w:val="20"/>
        </w:rPr>
        <w:t xml:space="preserve"> </w:t>
      </w:r>
      <w:r w:rsidR="00D101C5" w:rsidRPr="00D101C5">
        <w:rPr>
          <w:rFonts w:ascii="Arial Narrow" w:hAnsi="Arial Narrow"/>
          <w:sz w:val="20"/>
          <w:szCs w:val="20"/>
        </w:rPr>
        <w:t>Posteriormente se aprobó un nuevo Reporte “</w:t>
      </w:r>
      <w:r w:rsidR="00D101C5" w:rsidRPr="00D101C5">
        <w:rPr>
          <w:rFonts w:ascii="Arial Narrow" w:hAnsi="Arial Narrow"/>
          <w:sz w:val="20"/>
          <w:szCs w:val="20"/>
          <w:lang w:val="es-PE"/>
        </w:rPr>
        <w:t>Control de Límites Globales e Individuales aplicables a las Empresas del Sistema Financiero</w:t>
      </w:r>
      <w:r w:rsidR="00D101C5" w:rsidRPr="00D101C5">
        <w:rPr>
          <w:rFonts w:ascii="Arial Narrow" w:hAnsi="Arial Narrow"/>
          <w:sz w:val="20"/>
          <w:szCs w:val="20"/>
        </w:rPr>
        <w:t xml:space="preserve">” mediante la Resolución SBS </w:t>
      </w:r>
      <w:proofErr w:type="spellStart"/>
      <w:r w:rsidR="00D101C5" w:rsidRPr="00D101C5">
        <w:rPr>
          <w:rFonts w:ascii="Arial Narrow" w:hAnsi="Arial Narrow"/>
          <w:sz w:val="20"/>
          <w:szCs w:val="20"/>
        </w:rPr>
        <w:t>N°</w:t>
      </w:r>
      <w:proofErr w:type="spellEnd"/>
      <w:r w:rsidR="00D101C5" w:rsidRPr="00D101C5">
        <w:rPr>
          <w:rFonts w:ascii="Arial Narrow" w:hAnsi="Arial Narrow"/>
          <w:sz w:val="20"/>
          <w:szCs w:val="20"/>
        </w:rPr>
        <w:t xml:space="preserve"> 1758-2025 de periodicidad mensual </w:t>
      </w:r>
      <w:r w:rsidR="00D101C5">
        <w:rPr>
          <w:rFonts w:ascii="Arial Narrow" w:hAnsi="Arial Narrow"/>
          <w:sz w:val="20"/>
          <w:szCs w:val="20"/>
        </w:rPr>
        <w:t>publicada el</w:t>
      </w:r>
      <w:r w:rsidR="00D101C5" w:rsidRPr="00D101C5">
        <w:rPr>
          <w:rFonts w:ascii="Arial Narrow" w:hAnsi="Arial Narrow"/>
          <w:sz w:val="20"/>
          <w:szCs w:val="20"/>
        </w:rPr>
        <w:t xml:space="preserve"> 15.05.2025 </w:t>
      </w:r>
      <w:r w:rsidR="002F2943">
        <w:rPr>
          <w:rFonts w:ascii="Arial Narrow" w:hAnsi="Arial Narrow"/>
          <w:sz w:val="20"/>
          <w:szCs w:val="20"/>
        </w:rPr>
        <w:t xml:space="preserve">vigente a partir de la información de junio 2025, </w:t>
      </w:r>
      <w:r w:rsidR="00D101C5" w:rsidRPr="00D101C5">
        <w:rPr>
          <w:rFonts w:ascii="Arial Narrow" w:hAnsi="Arial Narrow"/>
          <w:sz w:val="20"/>
          <w:szCs w:val="20"/>
        </w:rPr>
        <w:t>dejando sin efecto al Reporte “</w:t>
      </w:r>
      <w:r w:rsidR="00D101C5" w:rsidRPr="00D101C5">
        <w:rPr>
          <w:rFonts w:ascii="Arial Narrow" w:hAnsi="Arial Narrow"/>
          <w:sz w:val="20"/>
          <w:szCs w:val="20"/>
          <w:lang w:val="es-PE"/>
        </w:rPr>
        <w:t>Control de Límites Globales e Individuales aplicables a las Empresas del Sistema Financiero</w:t>
      </w:r>
      <w:r w:rsidR="00D101C5" w:rsidRPr="00D101C5">
        <w:rPr>
          <w:rFonts w:ascii="Arial Narrow" w:hAnsi="Arial Narrow"/>
          <w:sz w:val="20"/>
          <w:szCs w:val="20"/>
        </w:rPr>
        <w:t>”</w:t>
      </w:r>
      <w:r w:rsidR="00D101C5">
        <w:rPr>
          <w:rFonts w:ascii="Arial Narrow" w:hAnsi="Arial Narrow"/>
          <w:sz w:val="20"/>
          <w:szCs w:val="20"/>
        </w:rPr>
        <w:t xml:space="preserve"> </w:t>
      </w:r>
      <w:r w:rsidR="00965622" w:rsidRPr="00935B0A">
        <w:rPr>
          <w:rFonts w:ascii="Arial Narrow" w:hAnsi="Arial Narrow"/>
          <w:sz w:val="20"/>
          <w:szCs w:val="20"/>
          <w:vertAlign w:val="superscript"/>
        </w:rPr>
        <w:t>23</w:t>
      </w:r>
      <w:r w:rsidR="00965622" w:rsidRPr="00935B0A">
        <w:rPr>
          <w:rFonts w:ascii="Arial Narrow" w:hAnsi="Arial Narrow"/>
          <w:sz w:val="20"/>
          <w:szCs w:val="20"/>
        </w:rPr>
        <w:t xml:space="preserve"> Modificado por la Resolución SBS </w:t>
      </w:r>
      <w:proofErr w:type="spellStart"/>
      <w:r w:rsidR="00965622" w:rsidRPr="00935B0A">
        <w:rPr>
          <w:rFonts w:ascii="Arial Narrow" w:hAnsi="Arial Narrow"/>
          <w:sz w:val="20"/>
          <w:szCs w:val="20"/>
        </w:rPr>
        <w:t>Nº</w:t>
      </w:r>
      <w:proofErr w:type="spellEnd"/>
      <w:r w:rsidR="00965622" w:rsidRPr="00935B0A">
        <w:rPr>
          <w:rFonts w:ascii="Arial Narrow" w:hAnsi="Arial Narrow"/>
          <w:sz w:val="20"/>
          <w:szCs w:val="20"/>
        </w:rPr>
        <w:t xml:space="preserve"> 164-2004 del 03.02.2004.</w:t>
      </w:r>
    </w:p>
    <w:p w14:paraId="43B206D3" w14:textId="77777777" w:rsidR="00D56EA9"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24</w:t>
      </w:r>
      <w:r w:rsidRPr="00935B0A">
        <w:rPr>
          <w:rFonts w:ascii="Arial Narrow" w:hAnsi="Arial Narrow"/>
          <w:sz w:val="20"/>
          <w:szCs w:val="20"/>
        </w:rPr>
        <w:t xml:space="preserve"> </w:t>
      </w:r>
      <w:proofErr w:type="gramStart"/>
      <w:r w:rsidR="003A529B" w:rsidRPr="00935B0A">
        <w:rPr>
          <w:rFonts w:ascii="Arial Narrow" w:hAnsi="Arial Narrow"/>
          <w:sz w:val="20"/>
          <w:szCs w:val="20"/>
        </w:rPr>
        <w:t>Los</w:t>
      </w:r>
      <w:proofErr w:type="gramEnd"/>
      <w:r w:rsidR="003A529B" w:rsidRPr="00935B0A">
        <w:rPr>
          <w:rFonts w:ascii="Arial Narrow" w:hAnsi="Arial Narrow"/>
          <w:sz w:val="20"/>
          <w:szCs w:val="20"/>
        </w:rPr>
        <w:t xml:space="preserve"> Reportes 24 y 24-B, Información de Reclamos Recibidos de los Usuarios/ Detalle de Otras Operaciones – Servicios o Productos y Otros Motivos de Reclamo, fue a</w:t>
      </w:r>
      <w:r w:rsidRPr="00935B0A">
        <w:rPr>
          <w:rFonts w:ascii="Arial Narrow" w:hAnsi="Arial Narrow"/>
          <w:sz w:val="20"/>
          <w:szCs w:val="20"/>
        </w:rPr>
        <w:t xml:space="preserve">probado por la Circular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G-110-2003 del 21.02.2003.</w:t>
      </w:r>
      <w:r w:rsidR="0098648C" w:rsidRPr="00935B0A">
        <w:rPr>
          <w:rFonts w:ascii="Arial Narrow" w:hAnsi="Arial Narrow"/>
          <w:sz w:val="20"/>
          <w:szCs w:val="20"/>
        </w:rPr>
        <w:t xml:space="preserve"> Posteriormente, mediante Circular SBS </w:t>
      </w:r>
      <w:proofErr w:type="spellStart"/>
      <w:r w:rsidR="0098648C" w:rsidRPr="00935B0A">
        <w:rPr>
          <w:rFonts w:ascii="Arial Narrow" w:hAnsi="Arial Narrow"/>
          <w:sz w:val="20"/>
          <w:szCs w:val="20"/>
        </w:rPr>
        <w:t>N°</w:t>
      </w:r>
      <w:proofErr w:type="spellEnd"/>
      <w:r w:rsidR="0098648C" w:rsidRPr="00935B0A">
        <w:rPr>
          <w:rFonts w:ascii="Arial Narrow" w:hAnsi="Arial Narrow"/>
          <w:sz w:val="20"/>
          <w:szCs w:val="20"/>
        </w:rPr>
        <w:t xml:space="preserve"> G-146-2009 se modifica</w:t>
      </w:r>
      <w:r w:rsidR="003A529B" w:rsidRPr="00935B0A">
        <w:rPr>
          <w:rFonts w:ascii="Arial Narrow" w:hAnsi="Arial Narrow"/>
          <w:sz w:val="20"/>
          <w:szCs w:val="20"/>
        </w:rPr>
        <w:t>n dichos Reportes</w:t>
      </w:r>
      <w:r w:rsidR="0098648C" w:rsidRPr="00935B0A">
        <w:rPr>
          <w:rFonts w:ascii="Arial Narrow" w:hAnsi="Arial Narrow"/>
          <w:sz w:val="20"/>
          <w:szCs w:val="20"/>
        </w:rPr>
        <w:t>.</w:t>
      </w:r>
      <w:r w:rsidR="001D4D50" w:rsidRPr="00935B0A">
        <w:rPr>
          <w:rFonts w:ascii="Arial Narrow" w:hAnsi="Arial Narrow"/>
          <w:sz w:val="20"/>
          <w:szCs w:val="20"/>
        </w:rPr>
        <w:t xml:space="preserve"> </w:t>
      </w:r>
      <w:r w:rsidR="00D56EA9" w:rsidRPr="00935B0A">
        <w:rPr>
          <w:rFonts w:ascii="Arial Narrow" w:hAnsi="Arial Narrow"/>
          <w:sz w:val="20"/>
          <w:szCs w:val="20"/>
        </w:rPr>
        <w:t xml:space="preserve">Posteriormente, </w:t>
      </w:r>
      <w:proofErr w:type="gramStart"/>
      <w:r w:rsidR="00D56EA9" w:rsidRPr="00935B0A">
        <w:rPr>
          <w:rFonts w:ascii="Arial Narrow" w:hAnsi="Arial Narrow"/>
          <w:sz w:val="20"/>
          <w:szCs w:val="20"/>
        </w:rPr>
        <w:t>de acuerdo a</w:t>
      </w:r>
      <w:proofErr w:type="gramEnd"/>
      <w:r w:rsidR="00D56EA9" w:rsidRPr="00935B0A">
        <w:rPr>
          <w:rFonts w:ascii="Arial Narrow" w:hAnsi="Arial Narrow"/>
          <w:sz w:val="20"/>
          <w:szCs w:val="20"/>
        </w:rPr>
        <w:t xml:space="preserve"> la Circular </w:t>
      </w:r>
      <w:proofErr w:type="spellStart"/>
      <w:r w:rsidR="00D56EA9" w:rsidRPr="00935B0A">
        <w:rPr>
          <w:rFonts w:ascii="Arial Narrow" w:hAnsi="Arial Narrow"/>
          <w:sz w:val="20"/>
          <w:szCs w:val="20"/>
        </w:rPr>
        <w:t>N°</w:t>
      </w:r>
      <w:proofErr w:type="spellEnd"/>
      <w:r w:rsidR="00D56EA9" w:rsidRPr="00935B0A">
        <w:rPr>
          <w:rFonts w:ascii="Arial Narrow" w:hAnsi="Arial Narrow"/>
          <w:sz w:val="20"/>
          <w:szCs w:val="20"/>
        </w:rPr>
        <w:t xml:space="preserve"> G-184-2015 del 30.09.2015, a partir de la información del primer trimestre de 2016, dichos Reportes no forman parte del Manual de Contabilidad.</w:t>
      </w:r>
    </w:p>
    <w:p w14:paraId="1FBCA7D8" w14:textId="77777777" w:rsidR="00C33B77" w:rsidRPr="00935B0A" w:rsidRDefault="00965622"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25</w:t>
      </w:r>
      <w:r w:rsidRPr="00935B0A">
        <w:rPr>
          <w:rFonts w:ascii="Arial Narrow" w:hAnsi="Arial Narrow"/>
          <w:sz w:val="20"/>
          <w:szCs w:val="20"/>
        </w:rPr>
        <w:t xml:space="preserve">Aprobado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1025-2005 del 12.07.2005.</w:t>
      </w:r>
      <w:r w:rsidR="00C33B77" w:rsidRPr="00935B0A">
        <w:rPr>
          <w:rFonts w:ascii="Arial Narrow" w:hAnsi="Arial Narrow"/>
          <w:sz w:val="20"/>
          <w:szCs w:val="20"/>
        </w:rPr>
        <w:t xml:space="preserve"> Posteriormente, modificado por la Resolución SBS </w:t>
      </w:r>
      <w:proofErr w:type="spellStart"/>
      <w:r w:rsidR="00C33B77" w:rsidRPr="00935B0A">
        <w:rPr>
          <w:rFonts w:ascii="Arial Narrow" w:hAnsi="Arial Narrow"/>
          <w:sz w:val="20"/>
          <w:szCs w:val="20"/>
        </w:rPr>
        <w:t>N°</w:t>
      </w:r>
      <w:proofErr w:type="spellEnd"/>
      <w:r w:rsidR="00C33B77" w:rsidRPr="00935B0A">
        <w:rPr>
          <w:rFonts w:ascii="Arial Narrow" w:hAnsi="Arial Narrow"/>
          <w:sz w:val="20"/>
          <w:szCs w:val="20"/>
        </w:rPr>
        <w:t xml:space="preserve"> 863-2006 del 03.07.2006.</w:t>
      </w:r>
    </w:p>
    <w:p w14:paraId="237FBF1F" w14:textId="4E23351D" w:rsidR="003E2081" w:rsidRPr="00935B0A" w:rsidRDefault="003E2081"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26</w:t>
      </w:r>
      <w:r w:rsidRPr="00935B0A">
        <w:rPr>
          <w:rFonts w:ascii="Arial Narrow" w:hAnsi="Arial Narrow"/>
          <w:sz w:val="20"/>
          <w:szCs w:val="20"/>
        </w:rPr>
        <w:t xml:space="preserve">Aprobado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1314-2006 del 10.10.2006. </w:t>
      </w:r>
      <w:r w:rsidR="008518EB" w:rsidRPr="00935B0A">
        <w:rPr>
          <w:rFonts w:ascii="Arial Narrow" w:hAnsi="Arial Narrow"/>
          <w:sz w:val="20"/>
          <w:szCs w:val="20"/>
        </w:rPr>
        <w:t xml:space="preserve">Posteriormente </w:t>
      </w:r>
      <w:r w:rsidR="00C76D4D" w:rsidRPr="00935B0A">
        <w:rPr>
          <w:rFonts w:ascii="Arial Narrow" w:hAnsi="Arial Narrow"/>
          <w:sz w:val="20"/>
          <w:szCs w:val="20"/>
        </w:rPr>
        <w:t>sustituido el formato y modificado la denominación del Reporte</w:t>
      </w:r>
      <w:r w:rsidR="008518EB" w:rsidRPr="00935B0A">
        <w:rPr>
          <w:rFonts w:ascii="Arial Narrow" w:hAnsi="Arial Narrow"/>
          <w:sz w:val="20"/>
          <w:szCs w:val="20"/>
        </w:rPr>
        <w:t xml:space="preserve"> por la Resolución SBS </w:t>
      </w:r>
      <w:proofErr w:type="spellStart"/>
      <w:r w:rsidR="008518EB" w:rsidRPr="00935B0A">
        <w:rPr>
          <w:rFonts w:ascii="Arial Narrow" w:hAnsi="Arial Narrow"/>
          <w:sz w:val="20"/>
          <w:szCs w:val="20"/>
        </w:rPr>
        <w:t>N°</w:t>
      </w:r>
      <w:proofErr w:type="spellEnd"/>
      <w:r w:rsidR="008518EB" w:rsidRPr="00935B0A">
        <w:rPr>
          <w:rFonts w:ascii="Arial Narrow" w:hAnsi="Arial Narrow"/>
          <w:sz w:val="20"/>
          <w:szCs w:val="20"/>
        </w:rPr>
        <w:t xml:space="preserve"> 4798-2015 del 21.</w:t>
      </w:r>
      <w:r w:rsidR="00935B0A" w:rsidRPr="00935B0A">
        <w:rPr>
          <w:rFonts w:ascii="Arial Narrow" w:hAnsi="Arial Narrow"/>
          <w:sz w:val="20"/>
          <w:szCs w:val="20"/>
        </w:rPr>
        <w:t>08.2015. Posteriormente</w:t>
      </w:r>
      <w:r w:rsidR="00DA0FF0" w:rsidRPr="00935B0A">
        <w:rPr>
          <w:rFonts w:ascii="Arial Narrow" w:hAnsi="Arial Narrow"/>
          <w:sz w:val="20"/>
          <w:szCs w:val="20"/>
        </w:rPr>
        <w:t xml:space="preserve"> sustituido el formato por la Resol. SBS </w:t>
      </w:r>
      <w:proofErr w:type="spellStart"/>
      <w:r w:rsidR="00DA0FF0" w:rsidRPr="00935B0A">
        <w:rPr>
          <w:rFonts w:ascii="Arial Narrow" w:hAnsi="Arial Narrow"/>
          <w:sz w:val="20"/>
          <w:szCs w:val="20"/>
        </w:rPr>
        <w:t>N°</w:t>
      </w:r>
      <w:proofErr w:type="spellEnd"/>
      <w:r w:rsidR="00DA0FF0" w:rsidRPr="00935B0A">
        <w:rPr>
          <w:rFonts w:ascii="Arial Narrow" w:hAnsi="Arial Narrow"/>
          <w:sz w:val="20"/>
          <w:szCs w:val="20"/>
        </w:rPr>
        <w:t xml:space="preserve"> 4279-2018 del 31.10.2018, vigente a partir del último trimestre del 2018.</w:t>
      </w:r>
      <w:r w:rsidR="00AC4ABC" w:rsidRPr="00AC4ABC">
        <w:rPr>
          <w:rFonts w:ascii="Arial Narrow" w:hAnsi="Arial Narrow"/>
          <w:sz w:val="18"/>
          <w:szCs w:val="18"/>
        </w:rPr>
        <w:t xml:space="preserve"> </w:t>
      </w:r>
      <w:r w:rsidR="00AC4ABC" w:rsidRPr="00AC4ABC">
        <w:rPr>
          <w:rFonts w:ascii="Arial Narrow" w:hAnsi="Arial Narrow"/>
          <w:sz w:val="20"/>
          <w:szCs w:val="20"/>
        </w:rPr>
        <w:t>Modificado posteriormente por la Resol. SBS 1661-2025 del 08.05.2025</w:t>
      </w:r>
    </w:p>
    <w:p w14:paraId="76D3BDD5" w14:textId="77777777" w:rsidR="00965622" w:rsidRPr="00935B0A" w:rsidRDefault="0003630F" w:rsidP="00935B0A">
      <w:pPr>
        <w:jc w:val="both"/>
        <w:rPr>
          <w:rFonts w:ascii="Arial Narrow" w:hAnsi="Arial Narrow"/>
          <w:sz w:val="20"/>
          <w:szCs w:val="20"/>
        </w:rPr>
      </w:pPr>
      <w:r w:rsidRPr="00935B0A">
        <w:rPr>
          <w:rFonts w:ascii="Arial Narrow" w:hAnsi="Arial Narrow"/>
          <w:sz w:val="20"/>
          <w:szCs w:val="20"/>
          <w:vertAlign w:val="superscript"/>
        </w:rPr>
        <w:t>27</w:t>
      </w:r>
      <w:r w:rsidRPr="00935B0A">
        <w:rPr>
          <w:rFonts w:ascii="Arial Narrow" w:hAnsi="Arial Narrow"/>
          <w:sz w:val="20"/>
          <w:szCs w:val="20"/>
        </w:rPr>
        <w:t xml:space="preserve">Aprobado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9-2010 del 07.01.2010</w:t>
      </w:r>
      <w:r w:rsidR="002E7448" w:rsidRPr="00935B0A">
        <w:rPr>
          <w:rFonts w:ascii="Arial Narrow" w:hAnsi="Arial Narrow"/>
          <w:sz w:val="20"/>
          <w:szCs w:val="20"/>
        </w:rPr>
        <w:t xml:space="preserve"> vigente a partir de la información de junio 2010</w:t>
      </w:r>
      <w:r w:rsidRPr="00935B0A">
        <w:rPr>
          <w:rFonts w:ascii="Arial Narrow" w:hAnsi="Arial Narrow"/>
          <w:sz w:val="20"/>
          <w:szCs w:val="20"/>
        </w:rPr>
        <w:t>.</w:t>
      </w:r>
      <w:r w:rsidR="00892852" w:rsidRPr="00935B0A">
        <w:rPr>
          <w:rFonts w:ascii="Arial Narrow" w:hAnsi="Arial Narrow"/>
          <w:sz w:val="20"/>
          <w:szCs w:val="20"/>
        </w:rPr>
        <w:t xml:space="preserve"> Posteriormente, mediante la Resolución SBS </w:t>
      </w:r>
      <w:proofErr w:type="spellStart"/>
      <w:r w:rsidR="00892852" w:rsidRPr="00935B0A">
        <w:rPr>
          <w:rFonts w:ascii="Arial Narrow" w:hAnsi="Arial Narrow"/>
          <w:sz w:val="20"/>
          <w:szCs w:val="20"/>
        </w:rPr>
        <w:t>N°</w:t>
      </w:r>
      <w:proofErr w:type="spellEnd"/>
      <w:r w:rsidR="00892852" w:rsidRPr="00935B0A">
        <w:rPr>
          <w:rFonts w:ascii="Arial Narrow" w:hAnsi="Arial Narrow"/>
          <w:sz w:val="20"/>
          <w:szCs w:val="20"/>
        </w:rPr>
        <w:t xml:space="preserve"> 1882-2014 del 26.03.2014 se amplió el alcance del citado Reporte a </w:t>
      </w:r>
      <w:r w:rsidR="00892852" w:rsidRPr="00935B0A">
        <w:rPr>
          <w:rFonts w:ascii="Arial Narrow" w:hAnsi="Arial Narrow"/>
          <w:bCs/>
          <w:sz w:val="20"/>
          <w:szCs w:val="20"/>
        </w:rPr>
        <w:t>las empresas comprendidas en el literal A del artículo 16° de la Ley General, a las empresas afianzadoras y de garantías, al Banco de la Nación, al Banco Agropecuario (AGROBANCO) y al Fondo MIVIVIENDA.</w:t>
      </w:r>
    </w:p>
    <w:p w14:paraId="34268FB6" w14:textId="77777777" w:rsidR="004410C1" w:rsidRPr="00935B0A" w:rsidRDefault="004410C1"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w:t>
      </w:r>
      <w:r w:rsidR="00963AF1" w:rsidRPr="00935B0A">
        <w:rPr>
          <w:rFonts w:ascii="Arial Narrow" w:hAnsi="Arial Narrow"/>
          <w:sz w:val="20"/>
          <w:szCs w:val="20"/>
          <w:vertAlign w:val="superscript"/>
        </w:rPr>
        <w:t>8</w:t>
      </w:r>
      <w:r w:rsidRPr="00935B0A">
        <w:rPr>
          <w:rFonts w:ascii="Arial Narrow" w:hAnsi="Arial Narrow"/>
          <w:sz w:val="20"/>
          <w:szCs w:val="20"/>
        </w:rPr>
        <w:t xml:space="preserve">Aprobado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6283-2013 del 18.10.2013 vigente a partir de la información de enero 201</w:t>
      </w:r>
      <w:r w:rsidR="00053585" w:rsidRPr="00935B0A">
        <w:rPr>
          <w:rFonts w:ascii="Arial Narrow" w:hAnsi="Arial Narrow"/>
          <w:sz w:val="20"/>
          <w:szCs w:val="20"/>
        </w:rPr>
        <w:t>5</w:t>
      </w:r>
      <w:r w:rsidRPr="00935B0A">
        <w:rPr>
          <w:rFonts w:ascii="Arial Narrow" w:hAnsi="Arial Narrow"/>
          <w:sz w:val="20"/>
          <w:szCs w:val="20"/>
        </w:rPr>
        <w:t>.</w:t>
      </w:r>
      <w:r w:rsidR="00AD7096" w:rsidRPr="00935B0A">
        <w:rPr>
          <w:rFonts w:ascii="Arial Narrow" w:hAnsi="Arial Narrow"/>
          <w:sz w:val="20"/>
          <w:szCs w:val="20"/>
        </w:rPr>
        <w:t xml:space="preserve"> Posteriormente,</w:t>
      </w:r>
      <w:r w:rsidR="00E87E62" w:rsidRPr="00935B0A">
        <w:rPr>
          <w:rFonts w:ascii="Arial Narrow" w:hAnsi="Arial Narrow"/>
          <w:sz w:val="20"/>
          <w:szCs w:val="20"/>
        </w:rPr>
        <w:t xml:space="preserve"> sustituido los Reportes 32-A y 32-B mediante Resolución SBS </w:t>
      </w:r>
      <w:proofErr w:type="spellStart"/>
      <w:r w:rsidR="00E87E62" w:rsidRPr="00935B0A">
        <w:rPr>
          <w:rFonts w:ascii="Arial Narrow" w:hAnsi="Arial Narrow"/>
          <w:sz w:val="20"/>
          <w:szCs w:val="20"/>
        </w:rPr>
        <w:t>N°</w:t>
      </w:r>
      <w:proofErr w:type="spellEnd"/>
      <w:r w:rsidR="00E87E62" w:rsidRPr="00935B0A">
        <w:rPr>
          <w:rFonts w:ascii="Arial Narrow" w:hAnsi="Arial Narrow"/>
          <w:sz w:val="20"/>
          <w:szCs w:val="20"/>
        </w:rPr>
        <w:t xml:space="preserve"> 465-2017 del 02.02.2017, vigente a partir de la información de abril 2017.</w:t>
      </w:r>
    </w:p>
    <w:p w14:paraId="4664125B" w14:textId="77777777" w:rsidR="00262608" w:rsidRPr="00935B0A" w:rsidRDefault="00262608" w:rsidP="00935B0A">
      <w:pPr>
        <w:tabs>
          <w:tab w:val="left" w:pos="7685"/>
        </w:tabs>
        <w:spacing w:before="40"/>
        <w:jc w:val="both"/>
        <w:rPr>
          <w:rFonts w:ascii="Arial Narrow" w:hAnsi="Arial Narrow"/>
          <w:sz w:val="20"/>
          <w:szCs w:val="20"/>
        </w:rPr>
      </w:pPr>
      <w:r w:rsidRPr="00935B0A">
        <w:rPr>
          <w:rFonts w:ascii="Arial Narrow" w:hAnsi="Arial Narrow"/>
          <w:sz w:val="20"/>
          <w:szCs w:val="20"/>
          <w:vertAlign w:val="superscript"/>
        </w:rPr>
        <w:t>29</w:t>
      </w:r>
      <w:r w:rsidRPr="00935B0A">
        <w:rPr>
          <w:rFonts w:ascii="Arial Narrow" w:hAnsi="Arial Narrow"/>
          <w:sz w:val="20"/>
          <w:szCs w:val="20"/>
        </w:rPr>
        <w:t xml:space="preserve">Aprobado por la Resolución SBS </w:t>
      </w:r>
      <w:proofErr w:type="spellStart"/>
      <w:r w:rsidRPr="00935B0A">
        <w:rPr>
          <w:rFonts w:ascii="Arial Narrow" w:hAnsi="Arial Narrow"/>
          <w:sz w:val="20"/>
          <w:szCs w:val="20"/>
        </w:rPr>
        <w:t>Nº</w:t>
      </w:r>
      <w:proofErr w:type="spellEnd"/>
      <w:r w:rsidRPr="00935B0A">
        <w:rPr>
          <w:rFonts w:ascii="Arial Narrow" w:hAnsi="Arial Narrow"/>
          <w:sz w:val="20"/>
          <w:szCs w:val="20"/>
        </w:rPr>
        <w:t xml:space="preserve"> 1928-2015 del 27.03.2015 vigente a partir de la información de cierre de marzo 2016.</w:t>
      </w:r>
      <w:r w:rsidR="008A0EB1" w:rsidRPr="00935B0A">
        <w:rPr>
          <w:rFonts w:ascii="Arial Narrow" w:hAnsi="Arial Narrow"/>
          <w:sz w:val="20"/>
          <w:szCs w:val="20"/>
        </w:rPr>
        <w:t xml:space="preserve"> Posteriormente, eliminado a través de la Resolución SBS </w:t>
      </w:r>
      <w:proofErr w:type="spellStart"/>
      <w:r w:rsidR="008A0EB1" w:rsidRPr="00935B0A">
        <w:rPr>
          <w:rFonts w:ascii="Arial Narrow" w:hAnsi="Arial Narrow"/>
          <w:sz w:val="20"/>
          <w:szCs w:val="20"/>
        </w:rPr>
        <w:t>N°</w:t>
      </w:r>
      <w:proofErr w:type="spellEnd"/>
      <w:r w:rsidR="008A0EB1" w:rsidRPr="00935B0A">
        <w:rPr>
          <w:rFonts w:ascii="Arial Narrow" w:hAnsi="Arial Narrow"/>
          <w:sz w:val="20"/>
          <w:szCs w:val="20"/>
        </w:rPr>
        <w:t xml:space="preserve"> 2405 – 2019 del </w:t>
      </w:r>
      <w:r w:rsidR="00935B0A" w:rsidRPr="00935B0A">
        <w:rPr>
          <w:rFonts w:ascii="Arial Narrow" w:hAnsi="Arial Narrow"/>
          <w:sz w:val="20"/>
          <w:szCs w:val="20"/>
        </w:rPr>
        <w:t>30.05.2019 vigente</w:t>
      </w:r>
      <w:r w:rsidR="008A0EB1" w:rsidRPr="00935B0A">
        <w:rPr>
          <w:rFonts w:ascii="Arial Narrow" w:hAnsi="Arial Narrow"/>
          <w:sz w:val="20"/>
          <w:szCs w:val="20"/>
        </w:rPr>
        <w:t xml:space="preserve"> a partir del 01 de junio del 2019</w:t>
      </w:r>
      <w:r w:rsidR="007C57AD" w:rsidRPr="00935B0A">
        <w:rPr>
          <w:rFonts w:ascii="Arial Narrow" w:hAnsi="Arial Narrow"/>
          <w:sz w:val="20"/>
          <w:szCs w:val="20"/>
        </w:rPr>
        <w:t>.</w:t>
      </w:r>
    </w:p>
    <w:p w14:paraId="082113B7" w14:textId="77777777" w:rsidR="00AC1127" w:rsidRPr="00935B0A" w:rsidRDefault="00AC1127" w:rsidP="00AC1127">
      <w:pPr>
        <w:tabs>
          <w:tab w:val="left" w:pos="7685"/>
        </w:tabs>
        <w:spacing w:before="40"/>
        <w:jc w:val="both"/>
        <w:rPr>
          <w:rFonts w:ascii="Arial Narrow" w:hAnsi="Arial Narrow"/>
          <w:sz w:val="20"/>
          <w:szCs w:val="20"/>
        </w:rPr>
      </w:pPr>
      <w:r w:rsidRPr="00B707AA">
        <w:rPr>
          <w:rFonts w:ascii="Arial Narrow" w:hAnsi="Arial Narrow"/>
          <w:sz w:val="20"/>
          <w:szCs w:val="20"/>
          <w:vertAlign w:val="superscript"/>
        </w:rPr>
        <w:t xml:space="preserve">30 </w:t>
      </w:r>
      <w:bookmarkStart w:id="4" w:name="_Hlk98107076"/>
      <w:proofErr w:type="gramStart"/>
      <w:r w:rsidRPr="00B707AA">
        <w:rPr>
          <w:rFonts w:ascii="Arial Narrow" w:hAnsi="Arial Narrow"/>
          <w:sz w:val="20"/>
          <w:szCs w:val="20"/>
        </w:rPr>
        <w:t>El</w:t>
      </w:r>
      <w:proofErr w:type="gramEnd"/>
      <w:r w:rsidRPr="00B707AA">
        <w:rPr>
          <w:rFonts w:ascii="Arial Narrow" w:hAnsi="Arial Narrow"/>
          <w:sz w:val="20"/>
          <w:szCs w:val="20"/>
        </w:rPr>
        <w:t xml:space="preserve"> Reporte 4-E “Información para calcular el Indicador de Riesgo por Concentración de Mercado” fue incorporado mediante Resol. SBS </w:t>
      </w:r>
      <w:proofErr w:type="spellStart"/>
      <w:r w:rsidRPr="00B707AA">
        <w:rPr>
          <w:rFonts w:ascii="Arial Narrow" w:hAnsi="Arial Narrow"/>
          <w:sz w:val="20"/>
          <w:szCs w:val="20"/>
        </w:rPr>
        <w:t>N°</w:t>
      </w:r>
      <w:proofErr w:type="spellEnd"/>
      <w:r w:rsidRPr="00B707AA">
        <w:rPr>
          <w:rFonts w:ascii="Arial Narrow" w:hAnsi="Arial Narrow"/>
          <w:sz w:val="20"/>
          <w:szCs w:val="20"/>
        </w:rPr>
        <w:t xml:space="preserve"> 3921-2021 del 23.12.2021</w:t>
      </w:r>
      <w:bookmarkEnd w:id="4"/>
      <w:r w:rsidRPr="00B707AA">
        <w:rPr>
          <w:rFonts w:ascii="Arial Narrow" w:hAnsi="Arial Narrow"/>
          <w:sz w:val="20"/>
          <w:szCs w:val="20"/>
        </w:rPr>
        <w:t xml:space="preserve">, siendo la vigencia a partir de la información </w:t>
      </w:r>
      <w:r w:rsidR="000146D4" w:rsidRPr="00B707AA">
        <w:rPr>
          <w:rFonts w:ascii="Arial Narrow" w:hAnsi="Arial Narrow"/>
          <w:sz w:val="20"/>
          <w:szCs w:val="20"/>
        </w:rPr>
        <w:t>anual</w:t>
      </w:r>
      <w:r w:rsidRPr="00B707AA">
        <w:rPr>
          <w:rFonts w:ascii="Arial Narrow" w:hAnsi="Arial Narrow"/>
          <w:sz w:val="20"/>
          <w:szCs w:val="20"/>
        </w:rPr>
        <w:t xml:space="preserve"> </w:t>
      </w:r>
      <w:r w:rsidR="000767DE" w:rsidRPr="00B707AA">
        <w:rPr>
          <w:rFonts w:ascii="Arial Narrow" w:hAnsi="Arial Narrow"/>
          <w:sz w:val="20"/>
          <w:szCs w:val="20"/>
        </w:rPr>
        <w:t>correspondiente a</w:t>
      </w:r>
      <w:r w:rsidRPr="00B707AA">
        <w:rPr>
          <w:rFonts w:ascii="Arial Narrow" w:hAnsi="Arial Narrow"/>
          <w:sz w:val="20"/>
          <w:szCs w:val="20"/>
        </w:rPr>
        <w:t xml:space="preserve"> </w:t>
      </w:r>
      <w:r w:rsidR="000146D4" w:rsidRPr="00B707AA">
        <w:rPr>
          <w:rFonts w:ascii="Arial Narrow" w:hAnsi="Arial Narrow"/>
          <w:sz w:val="20"/>
          <w:szCs w:val="20"/>
        </w:rPr>
        <w:t>diciembre</w:t>
      </w:r>
      <w:r w:rsidRPr="00B707AA">
        <w:rPr>
          <w:rFonts w:ascii="Arial Narrow" w:hAnsi="Arial Narrow"/>
          <w:sz w:val="20"/>
          <w:szCs w:val="20"/>
        </w:rPr>
        <w:t xml:space="preserve"> 202</w:t>
      </w:r>
      <w:r w:rsidR="000146D4" w:rsidRPr="00B707AA">
        <w:rPr>
          <w:rFonts w:ascii="Arial Narrow" w:hAnsi="Arial Narrow"/>
          <w:sz w:val="20"/>
          <w:szCs w:val="20"/>
        </w:rPr>
        <w:t>1</w:t>
      </w:r>
      <w:r w:rsidRPr="00B707AA">
        <w:rPr>
          <w:rFonts w:ascii="Arial Narrow" w:hAnsi="Arial Narrow"/>
          <w:sz w:val="20"/>
          <w:szCs w:val="20"/>
        </w:rPr>
        <w:t>.</w:t>
      </w:r>
      <w:r w:rsidR="00711E7D">
        <w:rPr>
          <w:rFonts w:ascii="Arial Narrow" w:hAnsi="Arial Narrow"/>
          <w:sz w:val="20"/>
          <w:szCs w:val="20"/>
        </w:rPr>
        <w:t xml:space="preserve"> </w:t>
      </w:r>
      <w:r w:rsidR="00711E7D" w:rsidRPr="00711E7D">
        <w:rPr>
          <w:rFonts w:ascii="Arial Narrow" w:hAnsi="Arial Narrow"/>
          <w:sz w:val="20"/>
          <w:szCs w:val="20"/>
        </w:rPr>
        <w:t xml:space="preserve">Posteriormente modificado por la Resol. SBS </w:t>
      </w:r>
      <w:proofErr w:type="spellStart"/>
      <w:r w:rsidR="00711E7D" w:rsidRPr="00711E7D">
        <w:rPr>
          <w:rFonts w:ascii="Arial Narrow" w:hAnsi="Arial Narrow"/>
          <w:sz w:val="20"/>
          <w:szCs w:val="20"/>
        </w:rPr>
        <w:t>N°</w:t>
      </w:r>
      <w:proofErr w:type="spellEnd"/>
      <w:r w:rsidR="00711E7D" w:rsidRPr="00711E7D">
        <w:rPr>
          <w:rFonts w:ascii="Arial Narrow" w:hAnsi="Arial Narrow"/>
          <w:sz w:val="20"/>
          <w:szCs w:val="20"/>
        </w:rPr>
        <w:t xml:space="preserve"> 3954-2022 del 22.12.2022</w:t>
      </w:r>
      <w:r w:rsidR="00711E7D">
        <w:rPr>
          <w:rFonts w:ascii="Arial Narrow" w:hAnsi="Arial Narrow"/>
          <w:sz w:val="20"/>
          <w:szCs w:val="20"/>
        </w:rPr>
        <w:t>.</w:t>
      </w:r>
    </w:p>
    <w:p w14:paraId="77FE011C" w14:textId="009729AF" w:rsidR="0008451F" w:rsidRDefault="0008451F" w:rsidP="0008451F">
      <w:pPr>
        <w:tabs>
          <w:tab w:val="left" w:pos="7685"/>
        </w:tabs>
        <w:spacing w:before="40"/>
        <w:jc w:val="both"/>
        <w:rPr>
          <w:rFonts w:ascii="Arial Narrow" w:hAnsi="Arial Narrow"/>
          <w:sz w:val="20"/>
          <w:szCs w:val="20"/>
        </w:rPr>
      </w:pPr>
      <w:r>
        <w:rPr>
          <w:rFonts w:ascii="Arial Narrow" w:hAnsi="Arial Narrow"/>
          <w:sz w:val="20"/>
          <w:szCs w:val="20"/>
          <w:vertAlign w:val="superscript"/>
        </w:rPr>
        <w:t>31</w:t>
      </w:r>
      <w:r w:rsidRPr="00B707AA">
        <w:rPr>
          <w:rFonts w:ascii="Arial Narrow" w:hAnsi="Arial Narrow"/>
          <w:sz w:val="20"/>
          <w:szCs w:val="20"/>
          <w:vertAlign w:val="superscript"/>
        </w:rPr>
        <w:t xml:space="preserve"> </w:t>
      </w:r>
      <w:proofErr w:type="gramStart"/>
      <w:r>
        <w:rPr>
          <w:rFonts w:ascii="Arial Narrow" w:hAnsi="Arial Narrow"/>
          <w:sz w:val="20"/>
          <w:szCs w:val="20"/>
        </w:rPr>
        <w:t>El</w:t>
      </w:r>
      <w:proofErr w:type="gramEnd"/>
      <w:r>
        <w:rPr>
          <w:rFonts w:ascii="Arial Narrow" w:hAnsi="Arial Narrow"/>
          <w:sz w:val="20"/>
          <w:szCs w:val="20"/>
        </w:rPr>
        <w:t xml:space="preserve"> Reporte 37</w:t>
      </w:r>
      <w:r w:rsidRPr="00B707AA">
        <w:rPr>
          <w:rFonts w:ascii="Arial Narrow" w:hAnsi="Arial Narrow"/>
          <w:sz w:val="20"/>
          <w:szCs w:val="20"/>
        </w:rPr>
        <w:t xml:space="preserve"> “</w:t>
      </w:r>
      <w:r>
        <w:rPr>
          <w:rFonts w:ascii="Arial Narrow" w:hAnsi="Arial Narrow"/>
          <w:sz w:val="20"/>
          <w:szCs w:val="20"/>
        </w:rPr>
        <w:t>Ratio de Apalancamiento</w:t>
      </w:r>
      <w:r w:rsidRPr="00B707AA">
        <w:rPr>
          <w:rFonts w:ascii="Arial Narrow" w:hAnsi="Arial Narrow"/>
          <w:sz w:val="20"/>
          <w:szCs w:val="20"/>
        </w:rPr>
        <w:t>” fue incorporado m</w:t>
      </w:r>
      <w:r>
        <w:rPr>
          <w:rFonts w:ascii="Arial Narrow" w:hAnsi="Arial Narrow"/>
          <w:sz w:val="20"/>
          <w:szCs w:val="20"/>
        </w:rPr>
        <w:t xml:space="preserve">ediante Resol. SBS </w:t>
      </w:r>
      <w:proofErr w:type="spellStart"/>
      <w:r>
        <w:rPr>
          <w:rFonts w:ascii="Arial Narrow" w:hAnsi="Arial Narrow"/>
          <w:sz w:val="20"/>
          <w:szCs w:val="20"/>
        </w:rPr>
        <w:t>N°</w:t>
      </w:r>
      <w:proofErr w:type="spellEnd"/>
      <w:r>
        <w:rPr>
          <w:rFonts w:ascii="Arial Narrow" w:hAnsi="Arial Narrow"/>
          <w:sz w:val="20"/>
          <w:szCs w:val="20"/>
        </w:rPr>
        <w:t xml:space="preserve"> 3791-2021 del 14</w:t>
      </w:r>
      <w:r w:rsidRPr="00B707AA">
        <w:rPr>
          <w:rFonts w:ascii="Arial Narrow" w:hAnsi="Arial Narrow"/>
          <w:sz w:val="20"/>
          <w:szCs w:val="20"/>
        </w:rPr>
        <w:t xml:space="preserve">.12.2021, siendo la vigencia a partir de la información </w:t>
      </w:r>
      <w:r w:rsidR="00F03375" w:rsidRPr="003A5313">
        <w:rPr>
          <w:rFonts w:ascii="Arial Narrow" w:hAnsi="Arial Narrow"/>
          <w:sz w:val="20"/>
          <w:szCs w:val="20"/>
        </w:rPr>
        <w:t>trimestral que comprende el periodo de abril a junio 2022</w:t>
      </w:r>
      <w:r w:rsidRPr="00B707AA">
        <w:rPr>
          <w:rFonts w:ascii="Arial Narrow" w:hAnsi="Arial Narrow"/>
          <w:sz w:val="20"/>
          <w:szCs w:val="20"/>
        </w:rPr>
        <w:t>.</w:t>
      </w:r>
      <w:r w:rsidR="00983F91">
        <w:rPr>
          <w:rFonts w:ascii="Arial Narrow" w:hAnsi="Arial Narrow"/>
          <w:sz w:val="20"/>
          <w:szCs w:val="20"/>
        </w:rPr>
        <w:t xml:space="preserve"> Posteriormente, sustituido el formato y las </w:t>
      </w:r>
      <w:r w:rsidR="003A19C9">
        <w:rPr>
          <w:rFonts w:ascii="Arial Narrow" w:hAnsi="Arial Narrow"/>
          <w:sz w:val="20"/>
          <w:szCs w:val="20"/>
        </w:rPr>
        <w:t>notas metodológicas del Reporte</w:t>
      </w:r>
      <w:r w:rsidR="00983F91" w:rsidRPr="00983F91">
        <w:rPr>
          <w:rFonts w:ascii="Arial Narrow" w:hAnsi="Arial Narrow"/>
          <w:sz w:val="20"/>
          <w:szCs w:val="20"/>
        </w:rPr>
        <w:t xml:space="preserve"> 37</w:t>
      </w:r>
      <w:r w:rsidR="00983F91">
        <w:rPr>
          <w:rFonts w:ascii="Arial Narrow" w:hAnsi="Arial Narrow"/>
          <w:sz w:val="20"/>
          <w:szCs w:val="20"/>
        </w:rPr>
        <w:t xml:space="preserve"> mediante Resolución SBS </w:t>
      </w:r>
      <w:proofErr w:type="spellStart"/>
      <w:r w:rsidR="00983F91">
        <w:rPr>
          <w:rFonts w:ascii="Arial Narrow" w:hAnsi="Arial Narrow"/>
          <w:sz w:val="20"/>
          <w:szCs w:val="20"/>
        </w:rPr>
        <w:t>N°</w:t>
      </w:r>
      <w:proofErr w:type="spellEnd"/>
      <w:r w:rsidR="00983F91">
        <w:rPr>
          <w:rFonts w:ascii="Arial Narrow" w:hAnsi="Arial Narrow"/>
          <w:sz w:val="20"/>
          <w:szCs w:val="20"/>
        </w:rPr>
        <w:t xml:space="preserve"> 3955</w:t>
      </w:r>
      <w:r w:rsidR="00983F91" w:rsidRPr="00983F91">
        <w:rPr>
          <w:rFonts w:ascii="Arial Narrow" w:hAnsi="Arial Narrow"/>
          <w:sz w:val="20"/>
          <w:szCs w:val="20"/>
        </w:rPr>
        <w:t>-</w:t>
      </w:r>
      <w:r w:rsidR="00983F91">
        <w:rPr>
          <w:rFonts w:ascii="Arial Narrow" w:hAnsi="Arial Narrow"/>
          <w:sz w:val="20"/>
          <w:szCs w:val="20"/>
        </w:rPr>
        <w:t>2022 del 22.12.2022</w:t>
      </w:r>
      <w:r w:rsidR="00C37C21">
        <w:rPr>
          <w:rFonts w:ascii="Arial Narrow" w:hAnsi="Arial Narrow"/>
          <w:sz w:val="20"/>
          <w:szCs w:val="20"/>
        </w:rPr>
        <w:t>.</w:t>
      </w:r>
      <w:r w:rsidR="00CE7C76" w:rsidRPr="00CE7C76">
        <w:t xml:space="preserve"> </w:t>
      </w:r>
      <w:r w:rsidR="00CE7C76" w:rsidRPr="00CE7C76">
        <w:rPr>
          <w:rFonts w:ascii="Arial Narrow" w:hAnsi="Arial Narrow"/>
          <w:sz w:val="20"/>
          <w:szCs w:val="20"/>
        </w:rPr>
        <w:t xml:space="preserve">Posteriormente modificado por la Resol. SBS </w:t>
      </w:r>
      <w:proofErr w:type="spellStart"/>
      <w:r w:rsidR="00CE7C76" w:rsidRPr="00CE7C76">
        <w:rPr>
          <w:rFonts w:ascii="Arial Narrow" w:hAnsi="Arial Narrow"/>
          <w:sz w:val="20"/>
          <w:szCs w:val="20"/>
        </w:rPr>
        <w:t>N°</w:t>
      </w:r>
      <w:proofErr w:type="spellEnd"/>
      <w:r w:rsidR="00CE7C76" w:rsidRPr="00CE7C76">
        <w:rPr>
          <w:rFonts w:ascii="Arial Narrow" w:hAnsi="Arial Narrow"/>
          <w:sz w:val="20"/>
          <w:szCs w:val="20"/>
        </w:rPr>
        <w:t xml:space="preserve"> 4347-2024 en vigencia a partir de marzo de 2026.</w:t>
      </w:r>
    </w:p>
    <w:p w14:paraId="667D80C3" w14:textId="77777777" w:rsidR="00105357" w:rsidRPr="00935B0A" w:rsidRDefault="00105357" w:rsidP="0008451F">
      <w:pPr>
        <w:tabs>
          <w:tab w:val="left" w:pos="7685"/>
        </w:tabs>
        <w:spacing w:before="40"/>
        <w:jc w:val="both"/>
        <w:rPr>
          <w:rFonts w:ascii="Arial Narrow" w:hAnsi="Arial Narrow"/>
          <w:sz w:val="20"/>
          <w:szCs w:val="20"/>
        </w:rPr>
      </w:pPr>
      <w:r>
        <w:rPr>
          <w:rFonts w:ascii="Arial Narrow" w:hAnsi="Arial Narrow"/>
          <w:sz w:val="20"/>
          <w:szCs w:val="20"/>
          <w:vertAlign w:val="superscript"/>
        </w:rPr>
        <w:t>32</w:t>
      </w:r>
      <w:r w:rsidRPr="00B707AA">
        <w:rPr>
          <w:rFonts w:ascii="Arial Narrow" w:hAnsi="Arial Narrow"/>
          <w:sz w:val="20"/>
          <w:szCs w:val="20"/>
          <w:vertAlign w:val="superscript"/>
        </w:rPr>
        <w:t xml:space="preserve"> </w:t>
      </w:r>
      <w:proofErr w:type="gramStart"/>
      <w:r w:rsidR="00AF006B" w:rsidRPr="00AF006B">
        <w:rPr>
          <w:rFonts w:ascii="Arial Narrow" w:hAnsi="Arial Narrow"/>
          <w:sz w:val="20"/>
          <w:szCs w:val="20"/>
        </w:rPr>
        <w:t>El</w:t>
      </w:r>
      <w:proofErr w:type="gramEnd"/>
      <w:r w:rsidR="00AF006B" w:rsidRPr="00AF006B">
        <w:rPr>
          <w:rFonts w:ascii="Arial Narrow" w:hAnsi="Arial Narrow"/>
          <w:sz w:val="20"/>
          <w:szCs w:val="20"/>
        </w:rPr>
        <w:t xml:space="preserve"> Reporte 4-F “Resumen del Requerimiento de Colchones de Conservación, por Ciclo Económico y por Riesgo por Concentración de Mercado” fue incorporado mediante Resol. SBS </w:t>
      </w:r>
      <w:proofErr w:type="spellStart"/>
      <w:r w:rsidR="00AF006B" w:rsidRPr="00AF006B">
        <w:rPr>
          <w:rFonts w:ascii="Arial Narrow" w:hAnsi="Arial Narrow"/>
          <w:sz w:val="20"/>
          <w:szCs w:val="20"/>
        </w:rPr>
        <w:t>N°</w:t>
      </w:r>
      <w:proofErr w:type="spellEnd"/>
      <w:r w:rsidR="00AF006B" w:rsidRPr="00AF006B">
        <w:rPr>
          <w:rFonts w:ascii="Arial Narrow" w:hAnsi="Arial Narrow"/>
          <w:sz w:val="20"/>
          <w:szCs w:val="20"/>
        </w:rPr>
        <w:t xml:space="preserve"> 3954-2022 del 22.12.2022</w:t>
      </w:r>
      <w:r w:rsidR="0039293F">
        <w:rPr>
          <w:rFonts w:ascii="Arial Narrow" w:hAnsi="Arial Narrow"/>
          <w:sz w:val="20"/>
          <w:szCs w:val="20"/>
        </w:rPr>
        <w:t>.</w:t>
      </w:r>
    </w:p>
    <w:p w14:paraId="77C1A0C3" w14:textId="77777777" w:rsidR="004410C1" w:rsidRPr="00935B0A" w:rsidRDefault="004410C1">
      <w:pPr>
        <w:tabs>
          <w:tab w:val="left" w:pos="7685"/>
        </w:tabs>
        <w:spacing w:before="40"/>
        <w:rPr>
          <w:rFonts w:ascii="Arial Narrow" w:hAnsi="Arial Narrow"/>
          <w:sz w:val="20"/>
          <w:szCs w:val="20"/>
        </w:rPr>
      </w:pPr>
    </w:p>
    <w:p w14:paraId="5A415691" w14:textId="77777777" w:rsidR="00965622" w:rsidRPr="00935B0A" w:rsidRDefault="00965622">
      <w:pPr>
        <w:pStyle w:val="Textoindependiente"/>
        <w:jc w:val="both"/>
        <w:rPr>
          <w:rFonts w:ascii="Arial Narrow" w:hAnsi="Arial Narrow"/>
          <w:sz w:val="20"/>
          <w:szCs w:val="20"/>
        </w:rPr>
      </w:pPr>
    </w:p>
    <w:sectPr w:rsidR="00965622" w:rsidRPr="00935B0A">
      <w:pgSz w:w="11907" w:h="16834" w:code="9"/>
      <w:pgMar w:top="1418" w:right="1134" w:bottom="1134" w:left="1701" w:header="567" w:footer="85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A9F9" w14:textId="77777777" w:rsidR="00F35E8C" w:rsidRDefault="00F35E8C" w:rsidP="00965622">
      <w:r>
        <w:separator/>
      </w:r>
    </w:p>
  </w:endnote>
  <w:endnote w:type="continuationSeparator" w:id="0">
    <w:p w14:paraId="4F287926" w14:textId="77777777" w:rsidR="00F35E8C" w:rsidRDefault="00F35E8C" w:rsidP="0096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0D60" w14:textId="77777777" w:rsidR="00DA0FF0" w:rsidRDefault="00DA0FF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53DF88" w14:textId="77777777" w:rsidR="00DA0FF0" w:rsidRDefault="00DA0FF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3BEC" w14:textId="77777777" w:rsidR="00DA0FF0" w:rsidRDefault="00DA0FF0">
    <w:pPr>
      <w:pStyle w:val="Piedepgina"/>
      <w:framePr w:wrap="around" w:vAnchor="text" w:hAnchor="margin" w:xAlign="right" w:y="1"/>
      <w:rPr>
        <w:rStyle w:val="Nmerodepgina"/>
      </w:rPr>
    </w:pPr>
  </w:p>
  <w:p w14:paraId="3FD2BC74" w14:textId="77777777" w:rsidR="00DA0FF0" w:rsidRDefault="00DA0FF0">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B16B" w14:textId="77777777" w:rsidR="00F35E8C" w:rsidRDefault="00F35E8C" w:rsidP="00965622">
      <w:r>
        <w:separator/>
      </w:r>
    </w:p>
  </w:footnote>
  <w:footnote w:type="continuationSeparator" w:id="0">
    <w:p w14:paraId="132E1A72" w14:textId="77777777" w:rsidR="00F35E8C" w:rsidRDefault="00F35E8C" w:rsidP="0096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487B" w14:textId="77777777" w:rsidR="00DA0FF0" w:rsidRDefault="00DA0FF0">
    <w:pPr>
      <w:pStyle w:val="Encabezado"/>
    </w:pPr>
  </w:p>
  <w:p w14:paraId="1C0B976A" w14:textId="77777777" w:rsidR="00DA0FF0" w:rsidRDefault="00DA0FF0">
    <w:pPr>
      <w:pStyle w:val="Encabezado"/>
    </w:pPr>
  </w:p>
  <w:p w14:paraId="03BC733C" w14:textId="77777777" w:rsidR="00DA0FF0" w:rsidRDefault="00DA0FF0">
    <w:pPr>
      <w:pStyle w:val="Encabezado"/>
    </w:pPr>
  </w:p>
  <w:p w14:paraId="6F9D8156" w14:textId="77777777" w:rsidR="00DA0FF0" w:rsidRDefault="00DA0FF0">
    <w:pPr>
      <w:pStyle w:val="Encabezado"/>
    </w:pPr>
  </w:p>
  <w:p w14:paraId="0877B775" w14:textId="77777777" w:rsidR="00DA0FF0" w:rsidRDefault="00DA0F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93359"/>
    <w:multiLevelType w:val="hybridMultilevel"/>
    <w:tmpl w:val="3D08D212"/>
    <w:lvl w:ilvl="0" w:tplc="FF502686">
      <w:start w:val="2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017889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D"/>
    <w:rsid w:val="0000104D"/>
    <w:rsid w:val="00001F01"/>
    <w:rsid w:val="00007BC1"/>
    <w:rsid w:val="000146D4"/>
    <w:rsid w:val="0001599D"/>
    <w:rsid w:val="000160CB"/>
    <w:rsid w:val="0001694B"/>
    <w:rsid w:val="000233D8"/>
    <w:rsid w:val="00023D7E"/>
    <w:rsid w:val="00034EF1"/>
    <w:rsid w:val="0003589E"/>
    <w:rsid w:val="0003630F"/>
    <w:rsid w:val="00053585"/>
    <w:rsid w:val="00053EE1"/>
    <w:rsid w:val="000548A1"/>
    <w:rsid w:val="0005558C"/>
    <w:rsid w:val="00057208"/>
    <w:rsid w:val="00060C52"/>
    <w:rsid w:val="000629F1"/>
    <w:rsid w:val="00062FDB"/>
    <w:rsid w:val="0006758F"/>
    <w:rsid w:val="00070A99"/>
    <w:rsid w:val="000767DE"/>
    <w:rsid w:val="0008397E"/>
    <w:rsid w:val="0008451F"/>
    <w:rsid w:val="00090CF8"/>
    <w:rsid w:val="000913B3"/>
    <w:rsid w:val="00091C46"/>
    <w:rsid w:val="00092601"/>
    <w:rsid w:val="00097269"/>
    <w:rsid w:val="000979F9"/>
    <w:rsid w:val="000A35B7"/>
    <w:rsid w:val="000A5041"/>
    <w:rsid w:val="000A5ED7"/>
    <w:rsid w:val="000C0EF3"/>
    <w:rsid w:val="000C3751"/>
    <w:rsid w:val="000C7E8B"/>
    <w:rsid w:val="000D096F"/>
    <w:rsid w:val="000D29FC"/>
    <w:rsid w:val="000D72D1"/>
    <w:rsid w:val="000E1208"/>
    <w:rsid w:val="000E5009"/>
    <w:rsid w:val="000E5508"/>
    <w:rsid w:val="000E6036"/>
    <w:rsid w:val="000E797A"/>
    <w:rsid w:val="000E7BE2"/>
    <w:rsid w:val="000F2FF3"/>
    <w:rsid w:val="000F6F08"/>
    <w:rsid w:val="00100035"/>
    <w:rsid w:val="001002F5"/>
    <w:rsid w:val="0010338D"/>
    <w:rsid w:val="00105357"/>
    <w:rsid w:val="001058BE"/>
    <w:rsid w:val="00105D6A"/>
    <w:rsid w:val="0010657C"/>
    <w:rsid w:val="00114A50"/>
    <w:rsid w:val="001170B2"/>
    <w:rsid w:val="00123E56"/>
    <w:rsid w:val="00125408"/>
    <w:rsid w:val="00126D37"/>
    <w:rsid w:val="00134539"/>
    <w:rsid w:val="00145F2E"/>
    <w:rsid w:val="0014740F"/>
    <w:rsid w:val="00150099"/>
    <w:rsid w:val="00151E57"/>
    <w:rsid w:val="001530FA"/>
    <w:rsid w:val="00153535"/>
    <w:rsid w:val="001539C0"/>
    <w:rsid w:val="00157E9F"/>
    <w:rsid w:val="00160546"/>
    <w:rsid w:val="00160986"/>
    <w:rsid w:val="00162B1A"/>
    <w:rsid w:val="00165EB5"/>
    <w:rsid w:val="00172CAF"/>
    <w:rsid w:val="001736FD"/>
    <w:rsid w:val="00174845"/>
    <w:rsid w:val="001806DE"/>
    <w:rsid w:val="00191981"/>
    <w:rsid w:val="001A2E67"/>
    <w:rsid w:val="001A3E52"/>
    <w:rsid w:val="001A677C"/>
    <w:rsid w:val="001B1BD0"/>
    <w:rsid w:val="001B40C6"/>
    <w:rsid w:val="001C569C"/>
    <w:rsid w:val="001D3475"/>
    <w:rsid w:val="001D4D50"/>
    <w:rsid w:val="001E1C1A"/>
    <w:rsid w:val="001E3628"/>
    <w:rsid w:val="0020255D"/>
    <w:rsid w:val="00203A31"/>
    <w:rsid w:val="0020505B"/>
    <w:rsid w:val="00205A36"/>
    <w:rsid w:val="00205C5A"/>
    <w:rsid w:val="00210126"/>
    <w:rsid w:val="00215E21"/>
    <w:rsid w:val="00217D93"/>
    <w:rsid w:val="0022000F"/>
    <w:rsid w:val="00223CFF"/>
    <w:rsid w:val="0022481C"/>
    <w:rsid w:val="00236B91"/>
    <w:rsid w:val="002377E2"/>
    <w:rsid w:val="0024066B"/>
    <w:rsid w:val="0024660D"/>
    <w:rsid w:val="00250166"/>
    <w:rsid w:val="002513AA"/>
    <w:rsid w:val="00256835"/>
    <w:rsid w:val="00262608"/>
    <w:rsid w:val="00273CD5"/>
    <w:rsid w:val="00276770"/>
    <w:rsid w:val="00287546"/>
    <w:rsid w:val="002953F6"/>
    <w:rsid w:val="00297A18"/>
    <w:rsid w:val="002A0A4A"/>
    <w:rsid w:val="002A18B2"/>
    <w:rsid w:val="002A2F55"/>
    <w:rsid w:val="002A3163"/>
    <w:rsid w:val="002C3216"/>
    <w:rsid w:val="002D5BC9"/>
    <w:rsid w:val="002E196F"/>
    <w:rsid w:val="002E687B"/>
    <w:rsid w:val="002E7448"/>
    <w:rsid w:val="002F2141"/>
    <w:rsid w:val="002F2943"/>
    <w:rsid w:val="002F5D29"/>
    <w:rsid w:val="0030504B"/>
    <w:rsid w:val="00310830"/>
    <w:rsid w:val="00315096"/>
    <w:rsid w:val="00321263"/>
    <w:rsid w:val="003224D0"/>
    <w:rsid w:val="00322714"/>
    <w:rsid w:val="00330AD8"/>
    <w:rsid w:val="00332070"/>
    <w:rsid w:val="00340358"/>
    <w:rsid w:val="0034284B"/>
    <w:rsid w:val="0034615E"/>
    <w:rsid w:val="003515E7"/>
    <w:rsid w:val="00351CDB"/>
    <w:rsid w:val="0035634F"/>
    <w:rsid w:val="0036037C"/>
    <w:rsid w:val="003647F7"/>
    <w:rsid w:val="003701AF"/>
    <w:rsid w:val="00370FCE"/>
    <w:rsid w:val="00371AA0"/>
    <w:rsid w:val="00373BAF"/>
    <w:rsid w:val="003840C6"/>
    <w:rsid w:val="003906B7"/>
    <w:rsid w:val="0039293F"/>
    <w:rsid w:val="00393450"/>
    <w:rsid w:val="0039741A"/>
    <w:rsid w:val="003A04C3"/>
    <w:rsid w:val="003A19C9"/>
    <w:rsid w:val="003A1D39"/>
    <w:rsid w:val="003A25AD"/>
    <w:rsid w:val="003A2617"/>
    <w:rsid w:val="003A4FB6"/>
    <w:rsid w:val="003A529B"/>
    <w:rsid w:val="003A5313"/>
    <w:rsid w:val="003A58EA"/>
    <w:rsid w:val="003C05F5"/>
    <w:rsid w:val="003C357F"/>
    <w:rsid w:val="003D0696"/>
    <w:rsid w:val="003D52FE"/>
    <w:rsid w:val="003E2081"/>
    <w:rsid w:val="003E43E3"/>
    <w:rsid w:val="003F0B5E"/>
    <w:rsid w:val="003F1AC7"/>
    <w:rsid w:val="003F40F6"/>
    <w:rsid w:val="003F42FD"/>
    <w:rsid w:val="003F4583"/>
    <w:rsid w:val="00403B95"/>
    <w:rsid w:val="00404216"/>
    <w:rsid w:val="00405213"/>
    <w:rsid w:val="00415871"/>
    <w:rsid w:val="00415D8E"/>
    <w:rsid w:val="00420DE6"/>
    <w:rsid w:val="0042112D"/>
    <w:rsid w:val="004250EC"/>
    <w:rsid w:val="004410C1"/>
    <w:rsid w:val="00445382"/>
    <w:rsid w:val="0045609D"/>
    <w:rsid w:val="00461B7C"/>
    <w:rsid w:val="00465475"/>
    <w:rsid w:val="00466FB3"/>
    <w:rsid w:val="00470078"/>
    <w:rsid w:val="004735C0"/>
    <w:rsid w:val="00474996"/>
    <w:rsid w:val="00485A3E"/>
    <w:rsid w:val="00494127"/>
    <w:rsid w:val="00495E11"/>
    <w:rsid w:val="004A1F35"/>
    <w:rsid w:val="004A4479"/>
    <w:rsid w:val="004B6E2C"/>
    <w:rsid w:val="004C61B0"/>
    <w:rsid w:val="004D3BA7"/>
    <w:rsid w:val="004E10C6"/>
    <w:rsid w:val="004E3367"/>
    <w:rsid w:val="004F3A3D"/>
    <w:rsid w:val="0050038D"/>
    <w:rsid w:val="005042BF"/>
    <w:rsid w:val="00504D32"/>
    <w:rsid w:val="00513167"/>
    <w:rsid w:val="005132D7"/>
    <w:rsid w:val="005141B4"/>
    <w:rsid w:val="0051724F"/>
    <w:rsid w:val="00517415"/>
    <w:rsid w:val="00520001"/>
    <w:rsid w:val="00530AA1"/>
    <w:rsid w:val="0053184D"/>
    <w:rsid w:val="00531867"/>
    <w:rsid w:val="00537489"/>
    <w:rsid w:val="005524E0"/>
    <w:rsid w:val="00552F0D"/>
    <w:rsid w:val="00557059"/>
    <w:rsid w:val="005574EF"/>
    <w:rsid w:val="00561AF2"/>
    <w:rsid w:val="00570B0B"/>
    <w:rsid w:val="00571F02"/>
    <w:rsid w:val="0057201B"/>
    <w:rsid w:val="00577A02"/>
    <w:rsid w:val="005833A1"/>
    <w:rsid w:val="005842AB"/>
    <w:rsid w:val="005864BB"/>
    <w:rsid w:val="00590911"/>
    <w:rsid w:val="00593D55"/>
    <w:rsid w:val="00596B50"/>
    <w:rsid w:val="005A2CD3"/>
    <w:rsid w:val="005A30D5"/>
    <w:rsid w:val="005A7A6F"/>
    <w:rsid w:val="005B1D87"/>
    <w:rsid w:val="005B6A62"/>
    <w:rsid w:val="005B6EB0"/>
    <w:rsid w:val="005C6287"/>
    <w:rsid w:val="005E06E7"/>
    <w:rsid w:val="005E302D"/>
    <w:rsid w:val="005F6DC6"/>
    <w:rsid w:val="006023D0"/>
    <w:rsid w:val="0060710D"/>
    <w:rsid w:val="0060759A"/>
    <w:rsid w:val="00613A8D"/>
    <w:rsid w:val="006152FB"/>
    <w:rsid w:val="00615D90"/>
    <w:rsid w:val="00617CC1"/>
    <w:rsid w:val="0062196E"/>
    <w:rsid w:val="00627034"/>
    <w:rsid w:val="00634174"/>
    <w:rsid w:val="00634FE1"/>
    <w:rsid w:val="00642831"/>
    <w:rsid w:val="006445FE"/>
    <w:rsid w:val="00646975"/>
    <w:rsid w:val="00647838"/>
    <w:rsid w:val="006505DE"/>
    <w:rsid w:val="006527B9"/>
    <w:rsid w:val="00661874"/>
    <w:rsid w:val="00661C1D"/>
    <w:rsid w:val="00667ECE"/>
    <w:rsid w:val="00672EDA"/>
    <w:rsid w:val="00677360"/>
    <w:rsid w:val="00683619"/>
    <w:rsid w:val="0068432B"/>
    <w:rsid w:val="006843EA"/>
    <w:rsid w:val="00696D8B"/>
    <w:rsid w:val="00697436"/>
    <w:rsid w:val="006A25FD"/>
    <w:rsid w:val="006A2BF5"/>
    <w:rsid w:val="006A317F"/>
    <w:rsid w:val="006B478A"/>
    <w:rsid w:val="006B4F0A"/>
    <w:rsid w:val="006C06F4"/>
    <w:rsid w:val="006C200D"/>
    <w:rsid w:val="006C284F"/>
    <w:rsid w:val="006C412F"/>
    <w:rsid w:val="006C5636"/>
    <w:rsid w:val="006D07F1"/>
    <w:rsid w:val="006D52A3"/>
    <w:rsid w:val="006D5BD5"/>
    <w:rsid w:val="006E026F"/>
    <w:rsid w:val="006E6788"/>
    <w:rsid w:val="006F4E93"/>
    <w:rsid w:val="006F7971"/>
    <w:rsid w:val="0070002C"/>
    <w:rsid w:val="00700F45"/>
    <w:rsid w:val="00701663"/>
    <w:rsid w:val="00711E7D"/>
    <w:rsid w:val="007136FC"/>
    <w:rsid w:val="00716351"/>
    <w:rsid w:val="00724CBE"/>
    <w:rsid w:val="007271AF"/>
    <w:rsid w:val="00727AF5"/>
    <w:rsid w:val="00727F48"/>
    <w:rsid w:val="00731F72"/>
    <w:rsid w:val="00732DD9"/>
    <w:rsid w:val="007341AB"/>
    <w:rsid w:val="00734D5A"/>
    <w:rsid w:val="007355DC"/>
    <w:rsid w:val="00737F59"/>
    <w:rsid w:val="00740EDE"/>
    <w:rsid w:val="00741617"/>
    <w:rsid w:val="00742A3B"/>
    <w:rsid w:val="00744CE8"/>
    <w:rsid w:val="00747FD5"/>
    <w:rsid w:val="00750285"/>
    <w:rsid w:val="00751C4E"/>
    <w:rsid w:val="007608AD"/>
    <w:rsid w:val="00767CBA"/>
    <w:rsid w:val="00770019"/>
    <w:rsid w:val="00780598"/>
    <w:rsid w:val="007824A0"/>
    <w:rsid w:val="007869F5"/>
    <w:rsid w:val="007878D6"/>
    <w:rsid w:val="00791DEE"/>
    <w:rsid w:val="007953A9"/>
    <w:rsid w:val="007A55B6"/>
    <w:rsid w:val="007A595E"/>
    <w:rsid w:val="007C1AD4"/>
    <w:rsid w:val="007C57AD"/>
    <w:rsid w:val="007C5DB8"/>
    <w:rsid w:val="007D5C58"/>
    <w:rsid w:val="007D7005"/>
    <w:rsid w:val="007E6123"/>
    <w:rsid w:val="007E797D"/>
    <w:rsid w:val="007E7D8F"/>
    <w:rsid w:val="007F50B6"/>
    <w:rsid w:val="007F708E"/>
    <w:rsid w:val="00825700"/>
    <w:rsid w:val="00827D9B"/>
    <w:rsid w:val="008336EE"/>
    <w:rsid w:val="008342F1"/>
    <w:rsid w:val="00837B36"/>
    <w:rsid w:val="008427B4"/>
    <w:rsid w:val="008518EB"/>
    <w:rsid w:val="00854C81"/>
    <w:rsid w:val="00856CF1"/>
    <w:rsid w:val="00867251"/>
    <w:rsid w:val="008722EB"/>
    <w:rsid w:val="0087244A"/>
    <w:rsid w:val="00873BE8"/>
    <w:rsid w:val="00874B6B"/>
    <w:rsid w:val="00876A7A"/>
    <w:rsid w:val="00887525"/>
    <w:rsid w:val="00892852"/>
    <w:rsid w:val="00894F19"/>
    <w:rsid w:val="008A0EB1"/>
    <w:rsid w:val="008A498D"/>
    <w:rsid w:val="008A4CC9"/>
    <w:rsid w:val="008A53F0"/>
    <w:rsid w:val="008A5DE0"/>
    <w:rsid w:val="008B13BA"/>
    <w:rsid w:val="008B1DF6"/>
    <w:rsid w:val="008B2DFD"/>
    <w:rsid w:val="008C2A0D"/>
    <w:rsid w:val="008C420C"/>
    <w:rsid w:val="008C6F6F"/>
    <w:rsid w:val="008D0257"/>
    <w:rsid w:val="008D2159"/>
    <w:rsid w:val="008E11B7"/>
    <w:rsid w:val="008E430F"/>
    <w:rsid w:val="008F6A29"/>
    <w:rsid w:val="0090014E"/>
    <w:rsid w:val="00935B0A"/>
    <w:rsid w:val="00937C73"/>
    <w:rsid w:val="009408BA"/>
    <w:rsid w:val="009409A4"/>
    <w:rsid w:val="00943466"/>
    <w:rsid w:val="009439B4"/>
    <w:rsid w:val="00944618"/>
    <w:rsid w:val="00956F66"/>
    <w:rsid w:val="00963AF1"/>
    <w:rsid w:val="00965622"/>
    <w:rsid w:val="009662CE"/>
    <w:rsid w:val="00967DEE"/>
    <w:rsid w:val="00981FFD"/>
    <w:rsid w:val="00983F91"/>
    <w:rsid w:val="0098467B"/>
    <w:rsid w:val="0098648C"/>
    <w:rsid w:val="009866CE"/>
    <w:rsid w:val="00986C04"/>
    <w:rsid w:val="009905E2"/>
    <w:rsid w:val="00994CB8"/>
    <w:rsid w:val="009A0FF1"/>
    <w:rsid w:val="009A121A"/>
    <w:rsid w:val="009B142C"/>
    <w:rsid w:val="009B3CD8"/>
    <w:rsid w:val="009B5F8D"/>
    <w:rsid w:val="009C10BA"/>
    <w:rsid w:val="009C1B3C"/>
    <w:rsid w:val="009D5F52"/>
    <w:rsid w:val="009E0B53"/>
    <w:rsid w:val="009E378E"/>
    <w:rsid w:val="009E6FB7"/>
    <w:rsid w:val="00A061A1"/>
    <w:rsid w:val="00A23794"/>
    <w:rsid w:val="00A23B5D"/>
    <w:rsid w:val="00A2505D"/>
    <w:rsid w:val="00A2775C"/>
    <w:rsid w:val="00A33C08"/>
    <w:rsid w:val="00A3482B"/>
    <w:rsid w:val="00A37BEA"/>
    <w:rsid w:val="00A41F9C"/>
    <w:rsid w:val="00A445F4"/>
    <w:rsid w:val="00A460D2"/>
    <w:rsid w:val="00A536E8"/>
    <w:rsid w:val="00A53A4A"/>
    <w:rsid w:val="00A55171"/>
    <w:rsid w:val="00A57BAE"/>
    <w:rsid w:val="00A60623"/>
    <w:rsid w:val="00A610A8"/>
    <w:rsid w:val="00A7609A"/>
    <w:rsid w:val="00A84F88"/>
    <w:rsid w:val="00AA18CF"/>
    <w:rsid w:val="00AA21D7"/>
    <w:rsid w:val="00AA2D82"/>
    <w:rsid w:val="00AA3642"/>
    <w:rsid w:val="00AA78C1"/>
    <w:rsid w:val="00AB07FB"/>
    <w:rsid w:val="00AB08A1"/>
    <w:rsid w:val="00AB29C7"/>
    <w:rsid w:val="00AB52B6"/>
    <w:rsid w:val="00AC0D5B"/>
    <w:rsid w:val="00AC1127"/>
    <w:rsid w:val="00AC1373"/>
    <w:rsid w:val="00AC45FA"/>
    <w:rsid w:val="00AC4ABC"/>
    <w:rsid w:val="00AD555E"/>
    <w:rsid w:val="00AD7096"/>
    <w:rsid w:val="00AE59EA"/>
    <w:rsid w:val="00AE5FC2"/>
    <w:rsid w:val="00AF006B"/>
    <w:rsid w:val="00AF300D"/>
    <w:rsid w:val="00AF43BE"/>
    <w:rsid w:val="00AF70F8"/>
    <w:rsid w:val="00B00EDD"/>
    <w:rsid w:val="00B01713"/>
    <w:rsid w:val="00B03C70"/>
    <w:rsid w:val="00B06968"/>
    <w:rsid w:val="00B1197B"/>
    <w:rsid w:val="00B12C9F"/>
    <w:rsid w:val="00B135A6"/>
    <w:rsid w:val="00B238CB"/>
    <w:rsid w:val="00B25644"/>
    <w:rsid w:val="00B25C7F"/>
    <w:rsid w:val="00B311D3"/>
    <w:rsid w:val="00B43F57"/>
    <w:rsid w:val="00B45496"/>
    <w:rsid w:val="00B503F6"/>
    <w:rsid w:val="00B55F8D"/>
    <w:rsid w:val="00B570F3"/>
    <w:rsid w:val="00B572C4"/>
    <w:rsid w:val="00B62E0D"/>
    <w:rsid w:val="00B63001"/>
    <w:rsid w:val="00B64189"/>
    <w:rsid w:val="00B67D42"/>
    <w:rsid w:val="00B707AA"/>
    <w:rsid w:val="00B716A7"/>
    <w:rsid w:val="00B72784"/>
    <w:rsid w:val="00B74BB3"/>
    <w:rsid w:val="00B74F17"/>
    <w:rsid w:val="00B75056"/>
    <w:rsid w:val="00B75956"/>
    <w:rsid w:val="00B8039E"/>
    <w:rsid w:val="00B80577"/>
    <w:rsid w:val="00B85467"/>
    <w:rsid w:val="00B86EB7"/>
    <w:rsid w:val="00B9148B"/>
    <w:rsid w:val="00B91B4A"/>
    <w:rsid w:val="00B94A31"/>
    <w:rsid w:val="00B9673B"/>
    <w:rsid w:val="00BA0F9D"/>
    <w:rsid w:val="00BB01F2"/>
    <w:rsid w:val="00BB1BE0"/>
    <w:rsid w:val="00BB36EA"/>
    <w:rsid w:val="00BB458B"/>
    <w:rsid w:val="00BB735D"/>
    <w:rsid w:val="00BC030E"/>
    <w:rsid w:val="00BC20E3"/>
    <w:rsid w:val="00BD32B4"/>
    <w:rsid w:val="00BE00D2"/>
    <w:rsid w:val="00BE0DBC"/>
    <w:rsid w:val="00BE6208"/>
    <w:rsid w:val="00BE626D"/>
    <w:rsid w:val="00BF0C65"/>
    <w:rsid w:val="00BF2ACE"/>
    <w:rsid w:val="00C03FB2"/>
    <w:rsid w:val="00C0793E"/>
    <w:rsid w:val="00C10E2D"/>
    <w:rsid w:val="00C11326"/>
    <w:rsid w:val="00C202C5"/>
    <w:rsid w:val="00C26D58"/>
    <w:rsid w:val="00C27CB5"/>
    <w:rsid w:val="00C31909"/>
    <w:rsid w:val="00C32D11"/>
    <w:rsid w:val="00C33B77"/>
    <w:rsid w:val="00C34181"/>
    <w:rsid w:val="00C369A6"/>
    <w:rsid w:val="00C37C21"/>
    <w:rsid w:val="00C436C3"/>
    <w:rsid w:val="00C46998"/>
    <w:rsid w:val="00C6103D"/>
    <w:rsid w:val="00C70E3E"/>
    <w:rsid w:val="00C76D4D"/>
    <w:rsid w:val="00C8302B"/>
    <w:rsid w:val="00C83CEE"/>
    <w:rsid w:val="00C87E9C"/>
    <w:rsid w:val="00C942F2"/>
    <w:rsid w:val="00CA313A"/>
    <w:rsid w:val="00CA4225"/>
    <w:rsid w:val="00CA44C6"/>
    <w:rsid w:val="00CB316E"/>
    <w:rsid w:val="00CB66DB"/>
    <w:rsid w:val="00CC1398"/>
    <w:rsid w:val="00CC70AA"/>
    <w:rsid w:val="00CD036B"/>
    <w:rsid w:val="00CD0D1D"/>
    <w:rsid w:val="00CD1B0E"/>
    <w:rsid w:val="00CE313B"/>
    <w:rsid w:val="00CE7C76"/>
    <w:rsid w:val="00CF1221"/>
    <w:rsid w:val="00CF260E"/>
    <w:rsid w:val="00CF2BC7"/>
    <w:rsid w:val="00D002C2"/>
    <w:rsid w:val="00D07BB3"/>
    <w:rsid w:val="00D101C5"/>
    <w:rsid w:val="00D10975"/>
    <w:rsid w:val="00D15931"/>
    <w:rsid w:val="00D217A0"/>
    <w:rsid w:val="00D24E52"/>
    <w:rsid w:val="00D3081A"/>
    <w:rsid w:val="00D33CE7"/>
    <w:rsid w:val="00D33F70"/>
    <w:rsid w:val="00D40B00"/>
    <w:rsid w:val="00D4129F"/>
    <w:rsid w:val="00D4589A"/>
    <w:rsid w:val="00D465C0"/>
    <w:rsid w:val="00D56EA9"/>
    <w:rsid w:val="00D60203"/>
    <w:rsid w:val="00D608C8"/>
    <w:rsid w:val="00D664CC"/>
    <w:rsid w:val="00D71994"/>
    <w:rsid w:val="00D71A1C"/>
    <w:rsid w:val="00D823B9"/>
    <w:rsid w:val="00D853B5"/>
    <w:rsid w:val="00D87FB4"/>
    <w:rsid w:val="00D91AB9"/>
    <w:rsid w:val="00D96CE0"/>
    <w:rsid w:val="00D96DA9"/>
    <w:rsid w:val="00D96F09"/>
    <w:rsid w:val="00DA0FF0"/>
    <w:rsid w:val="00DA29A0"/>
    <w:rsid w:val="00DA3429"/>
    <w:rsid w:val="00DA57E0"/>
    <w:rsid w:val="00DA5F7B"/>
    <w:rsid w:val="00DB17B5"/>
    <w:rsid w:val="00DB3002"/>
    <w:rsid w:val="00DC012A"/>
    <w:rsid w:val="00DC05AB"/>
    <w:rsid w:val="00DC1567"/>
    <w:rsid w:val="00DC3FFF"/>
    <w:rsid w:val="00DE0986"/>
    <w:rsid w:val="00DE43F4"/>
    <w:rsid w:val="00DE75F6"/>
    <w:rsid w:val="00DF47CB"/>
    <w:rsid w:val="00E03996"/>
    <w:rsid w:val="00E04336"/>
    <w:rsid w:val="00E10EBE"/>
    <w:rsid w:val="00E11533"/>
    <w:rsid w:val="00E13844"/>
    <w:rsid w:val="00E203B8"/>
    <w:rsid w:val="00E2188B"/>
    <w:rsid w:val="00E247E7"/>
    <w:rsid w:val="00E26E6A"/>
    <w:rsid w:val="00E31CD2"/>
    <w:rsid w:val="00E32FCC"/>
    <w:rsid w:val="00E40C40"/>
    <w:rsid w:val="00E41A1D"/>
    <w:rsid w:val="00E41CC2"/>
    <w:rsid w:val="00E43657"/>
    <w:rsid w:val="00E44BC6"/>
    <w:rsid w:val="00E50824"/>
    <w:rsid w:val="00E61876"/>
    <w:rsid w:val="00E65326"/>
    <w:rsid w:val="00E666DD"/>
    <w:rsid w:val="00E677DC"/>
    <w:rsid w:val="00E80A25"/>
    <w:rsid w:val="00E82EAB"/>
    <w:rsid w:val="00E879F9"/>
    <w:rsid w:val="00E87E62"/>
    <w:rsid w:val="00E90FB3"/>
    <w:rsid w:val="00E95B6D"/>
    <w:rsid w:val="00E96A22"/>
    <w:rsid w:val="00EA035F"/>
    <w:rsid w:val="00EA0448"/>
    <w:rsid w:val="00EA23FF"/>
    <w:rsid w:val="00EB639E"/>
    <w:rsid w:val="00EC76A1"/>
    <w:rsid w:val="00ED20EB"/>
    <w:rsid w:val="00ED2D84"/>
    <w:rsid w:val="00ED74DC"/>
    <w:rsid w:val="00EE469B"/>
    <w:rsid w:val="00EE69C8"/>
    <w:rsid w:val="00EE6B6D"/>
    <w:rsid w:val="00EE7EB5"/>
    <w:rsid w:val="00F03375"/>
    <w:rsid w:val="00F0375C"/>
    <w:rsid w:val="00F20B03"/>
    <w:rsid w:val="00F22251"/>
    <w:rsid w:val="00F25813"/>
    <w:rsid w:val="00F27D26"/>
    <w:rsid w:val="00F3460E"/>
    <w:rsid w:val="00F356A4"/>
    <w:rsid w:val="00F35E8C"/>
    <w:rsid w:val="00F36B1D"/>
    <w:rsid w:val="00F377EA"/>
    <w:rsid w:val="00F37B1B"/>
    <w:rsid w:val="00F40896"/>
    <w:rsid w:val="00F557B0"/>
    <w:rsid w:val="00F56840"/>
    <w:rsid w:val="00F63BE0"/>
    <w:rsid w:val="00F66C14"/>
    <w:rsid w:val="00F711A0"/>
    <w:rsid w:val="00F77721"/>
    <w:rsid w:val="00F835E6"/>
    <w:rsid w:val="00F869E9"/>
    <w:rsid w:val="00FA430E"/>
    <w:rsid w:val="00FC19E5"/>
    <w:rsid w:val="00FD174C"/>
    <w:rsid w:val="00FD7847"/>
    <w:rsid w:val="00FE5F85"/>
    <w:rsid w:val="00FE7AE0"/>
    <w:rsid w:val="00FE7E2C"/>
    <w:rsid w:val="00FF2252"/>
    <w:rsid w:val="00FF692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91974"/>
  <w15:chartTrackingRefBased/>
  <w15:docId w15:val="{368A674B-75CC-40D1-90EB-16F988FC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right="-30"/>
      <w:jc w:val="center"/>
      <w:outlineLvl w:val="0"/>
    </w:pPr>
    <w:rPr>
      <w:b/>
      <w:sz w:val="17"/>
    </w:rPr>
  </w:style>
  <w:style w:type="paragraph" w:styleId="Ttulo2">
    <w:name w:val="heading 2"/>
    <w:basedOn w:val="Normal"/>
    <w:next w:val="Normal"/>
    <w:qFormat/>
    <w:pPr>
      <w:keepNext/>
      <w:spacing w:before="100" w:after="100"/>
      <w:ind w:right="-3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Pr>
      <w:vertAlign w:val="superscript"/>
    </w:rPr>
  </w:style>
  <w:style w:type="paragraph" w:customStyle="1" w:styleId="Epgrafe">
    <w:name w:val="Epígrafe"/>
    <w:basedOn w:val="Normal"/>
    <w:next w:val="Normal"/>
    <w:qFormat/>
    <w:pPr>
      <w:tabs>
        <w:tab w:val="left" w:pos="1666"/>
        <w:tab w:val="left" w:pos="4061"/>
        <w:tab w:val="left" w:pos="8961"/>
      </w:tabs>
      <w:spacing w:after="100"/>
      <w:jc w:val="center"/>
    </w:pPr>
    <w:rPr>
      <w:b/>
      <w:snapToGrid w:val="0"/>
      <w:sz w:val="20"/>
      <w:szCs w:val="20"/>
    </w:rPr>
  </w:style>
  <w:style w:type="paragraph" w:styleId="TDC1">
    <w:name w:val="toc 1"/>
    <w:basedOn w:val="Normal"/>
    <w:next w:val="Normal"/>
    <w:autoRedefine/>
    <w:semiHidden/>
    <w:pPr>
      <w:tabs>
        <w:tab w:val="right" w:leader="dot" w:pos="8504"/>
      </w:tabs>
    </w:pPr>
    <w:rPr>
      <w:rFonts w:ascii="Arial" w:hAnsi="Arial"/>
      <w:snapToGrid w:val="0"/>
      <w:sz w:val="22"/>
      <w:szCs w:val="20"/>
      <w:lang w:val="es-ES_tradnl"/>
    </w:rPr>
  </w:style>
  <w:style w:type="paragraph" w:styleId="Textonotapie">
    <w:name w:val="footnote text"/>
    <w:basedOn w:val="Normal"/>
    <w:semiHidden/>
    <w:rPr>
      <w:rFonts w:ascii="Arial" w:hAnsi="Arial"/>
      <w:snapToGrid w:val="0"/>
      <w:sz w:val="20"/>
      <w:szCs w:val="20"/>
      <w:lang w:val="es-ES_tradnl"/>
    </w:rPr>
  </w:style>
  <w:style w:type="paragraph" w:styleId="Encabezado">
    <w:name w:val="header"/>
    <w:basedOn w:val="Normal"/>
    <w:pPr>
      <w:widowControl w:val="0"/>
      <w:tabs>
        <w:tab w:val="center" w:pos="4252"/>
        <w:tab w:val="right" w:pos="8504"/>
      </w:tabs>
    </w:pPr>
    <w:rPr>
      <w:rFonts w:ascii="Arial" w:hAnsi="Arial"/>
      <w:snapToGrid w:val="0"/>
      <w:sz w:val="20"/>
      <w:szCs w:val="20"/>
      <w:lang w:val="es-ES_tradnl"/>
    </w:rPr>
  </w:style>
  <w:style w:type="character" w:styleId="Nmerodepgina">
    <w:name w:val="page number"/>
    <w:basedOn w:val="Fuentedeprrafopredeter"/>
  </w:style>
  <w:style w:type="paragraph" w:styleId="Piedepgina">
    <w:name w:val="footer"/>
    <w:basedOn w:val="Normal"/>
    <w:pPr>
      <w:widowControl w:val="0"/>
      <w:tabs>
        <w:tab w:val="center" w:pos="4252"/>
        <w:tab w:val="right" w:pos="8504"/>
      </w:tabs>
    </w:pPr>
    <w:rPr>
      <w:rFonts w:ascii="Arial" w:hAnsi="Arial"/>
      <w:snapToGrid w:val="0"/>
      <w:sz w:val="20"/>
      <w:szCs w:val="20"/>
      <w:lang w:val="es-ES_tradnl"/>
    </w:rPr>
  </w:style>
  <w:style w:type="paragraph" w:styleId="Textoindependiente">
    <w:name w:val="Body Text"/>
    <w:basedOn w:val="Normal"/>
    <w:pPr>
      <w:ind w:right="-30"/>
      <w:jc w:val="center"/>
    </w:pPr>
    <w:rPr>
      <w:b/>
    </w:rPr>
  </w:style>
  <w:style w:type="paragraph" w:styleId="Textonotaalfinal">
    <w:name w:val="endnote text"/>
    <w:basedOn w:val="Normal"/>
    <w:semiHidden/>
    <w:rPr>
      <w:sz w:val="20"/>
    </w:rPr>
  </w:style>
  <w:style w:type="character" w:styleId="Refdenotaalfinal">
    <w:name w:val="endnote reference"/>
    <w:semiHidden/>
    <w:rPr>
      <w:vertAlign w:val="superscript"/>
    </w:rPr>
  </w:style>
  <w:style w:type="paragraph" w:styleId="Mapadeldocumento">
    <w:name w:val="Document Map"/>
    <w:basedOn w:val="Normal"/>
    <w:semiHidden/>
    <w:rsid w:val="00DC3FFF"/>
    <w:pPr>
      <w:shd w:val="clear" w:color="auto" w:fill="000080"/>
    </w:pPr>
    <w:rPr>
      <w:rFonts w:ascii="Tahoma" w:hAnsi="Tahoma" w:cs="Tahoma"/>
      <w:sz w:val="20"/>
      <w:szCs w:val="20"/>
    </w:rPr>
  </w:style>
  <w:style w:type="paragraph" w:styleId="Textodeglobo">
    <w:name w:val="Balloon Text"/>
    <w:basedOn w:val="Normal"/>
    <w:link w:val="TextodegloboCar"/>
    <w:rsid w:val="002E687B"/>
    <w:rPr>
      <w:rFonts w:ascii="Tahoma" w:hAnsi="Tahoma" w:cs="Tahoma"/>
      <w:sz w:val="16"/>
      <w:szCs w:val="16"/>
    </w:rPr>
  </w:style>
  <w:style w:type="character" w:customStyle="1" w:styleId="TextodegloboCar">
    <w:name w:val="Texto de globo Car"/>
    <w:link w:val="Textodeglobo"/>
    <w:rsid w:val="002E687B"/>
    <w:rPr>
      <w:rFonts w:ascii="Tahoma" w:hAnsi="Tahoma" w:cs="Tahoma"/>
      <w:sz w:val="16"/>
      <w:szCs w:val="16"/>
      <w:lang w:val="es-ES" w:eastAsia="es-ES"/>
    </w:rPr>
  </w:style>
  <w:style w:type="character" w:styleId="Refdecomentario">
    <w:name w:val="annotation reference"/>
    <w:rsid w:val="00023D7E"/>
    <w:rPr>
      <w:sz w:val="16"/>
      <w:szCs w:val="16"/>
    </w:rPr>
  </w:style>
  <w:style w:type="paragraph" w:styleId="Textocomentario">
    <w:name w:val="annotation text"/>
    <w:basedOn w:val="Normal"/>
    <w:link w:val="TextocomentarioCar"/>
    <w:rsid w:val="00023D7E"/>
    <w:rPr>
      <w:sz w:val="20"/>
      <w:szCs w:val="20"/>
    </w:rPr>
  </w:style>
  <w:style w:type="character" w:customStyle="1" w:styleId="TextocomentarioCar">
    <w:name w:val="Texto comentario Car"/>
    <w:link w:val="Textocomentario"/>
    <w:rsid w:val="00023D7E"/>
    <w:rPr>
      <w:lang w:val="es-ES" w:eastAsia="es-ES"/>
    </w:rPr>
  </w:style>
  <w:style w:type="paragraph" w:styleId="Asuntodelcomentario">
    <w:name w:val="annotation subject"/>
    <w:basedOn w:val="Textocomentario"/>
    <w:next w:val="Textocomentario"/>
    <w:link w:val="AsuntodelcomentarioCar"/>
    <w:rsid w:val="00023D7E"/>
    <w:rPr>
      <w:b/>
      <w:bCs/>
    </w:rPr>
  </w:style>
  <w:style w:type="character" w:customStyle="1" w:styleId="AsuntodelcomentarioCar">
    <w:name w:val="Asunto del comentario Car"/>
    <w:link w:val="Asuntodelcomentario"/>
    <w:rsid w:val="00023D7E"/>
    <w:rPr>
      <w:b/>
      <w:bCs/>
      <w:lang w:val="es-ES" w:eastAsia="es-ES"/>
    </w:rPr>
  </w:style>
  <w:style w:type="paragraph" w:styleId="Revisin">
    <w:name w:val="Revision"/>
    <w:hidden/>
    <w:uiPriority w:val="99"/>
    <w:semiHidden/>
    <w:rsid w:val="00B62E0D"/>
    <w:rPr>
      <w:sz w:val="24"/>
      <w:szCs w:val="24"/>
      <w:lang w:val="es-ES" w:eastAsia="es-ES"/>
    </w:rPr>
  </w:style>
  <w:style w:type="paragraph" w:customStyle="1" w:styleId="TableParagraph">
    <w:name w:val="Table Paragraph"/>
    <w:basedOn w:val="Normal"/>
    <w:uiPriority w:val="1"/>
    <w:qFormat/>
    <w:rsid w:val="00415871"/>
    <w:pPr>
      <w:widowControl w:val="0"/>
      <w:autoSpaceDE w:val="0"/>
      <w:autoSpaceDN w:val="0"/>
    </w:pPr>
    <w:rPr>
      <w:rFonts w:ascii="Arial Narrow" w:eastAsia="Arial Narrow" w:hAnsi="Arial Narrow" w:cs="Arial Narrow"/>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96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21348-75EE-4518-822C-BF632A1DE7CA}">
  <ds:schemaRefs>
    <ds:schemaRef ds:uri="http://schemas.openxmlformats.org/officeDocument/2006/bibliography"/>
  </ds:schemaRefs>
</ds:datastoreItem>
</file>

<file path=docMetadata/LabelInfo.xml><?xml version="1.0" encoding="utf-8"?>
<clbl:labelList xmlns:clbl="http://schemas.microsoft.com/office/2020/mipLabelMetadata">
  <clbl:label id="{5e8a6108-5506-4bcf-982f-4494d6f3f825}" enabled="0" method="" siteId="{5e8a6108-5506-4bcf-982f-4494d6f3f825}" removed="1"/>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8104</Words>
  <Characters>44797</Characters>
  <Application>Microsoft Office Word</Application>
  <DocSecurity>0</DocSecurity>
  <PresentationFormat/>
  <Lines>1025</Lines>
  <Paragraphs>396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dc:creator>
  <cp:lastModifiedBy>Milagros Jesus Tito Cama</cp:lastModifiedBy>
  <cp:revision>11</cp:revision>
  <dcterms:created xsi:type="dcterms:W3CDTF">2025-11-20T16:58:00Z</dcterms:created>
  <dcterms:modified xsi:type="dcterms:W3CDTF">2025-11-21T13:55:00Z</dcterms:modified>
</cp:coreProperties>
</file>