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EDB2" w14:textId="77777777" w:rsidR="00236228" w:rsidRDefault="00236228" w:rsidP="007326D9">
      <w:pPr>
        <w:spacing w:afterLines="60" w:after="144"/>
        <w:ind w:left="1416" w:hanging="1416"/>
        <w:jc w:val="center"/>
        <w:rPr>
          <w:b/>
          <w:lang w:val="pt-BR"/>
        </w:rPr>
      </w:pPr>
      <w:r w:rsidRPr="00BE11BD">
        <w:rPr>
          <w:b/>
          <w:lang w:val="pt-BR"/>
        </w:rPr>
        <w:t>NOTAS METODOLÓGICAS DEL ANEXO N° 15-A</w:t>
      </w:r>
    </w:p>
    <w:p w14:paraId="5EA6C38C" w14:textId="77777777" w:rsidR="007326D9" w:rsidRPr="00BE11BD" w:rsidRDefault="007326D9" w:rsidP="007326D9">
      <w:pPr>
        <w:spacing w:afterLines="60" w:after="144"/>
        <w:ind w:left="1416" w:hanging="1416"/>
        <w:jc w:val="center"/>
        <w:rPr>
          <w:b/>
          <w:lang w:val="pt-BR"/>
        </w:rPr>
      </w:pPr>
    </w:p>
    <w:p w14:paraId="5828B77B" w14:textId="77777777" w:rsidR="00236228" w:rsidRPr="00BE11BD" w:rsidRDefault="00236228" w:rsidP="007326D9">
      <w:pPr>
        <w:spacing w:afterLines="60" w:after="144"/>
        <w:jc w:val="both"/>
        <w:rPr>
          <w:lang w:val="pt-BR"/>
        </w:rPr>
      </w:pPr>
    </w:p>
    <w:p w14:paraId="2D13C027" w14:textId="77777777" w:rsidR="00236228" w:rsidRPr="007326D9" w:rsidRDefault="00236228" w:rsidP="007326D9">
      <w:pPr>
        <w:numPr>
          <w:ilvl w:val="0"/>
          <w:numId w:val="1"/>
        </w:numPr>
        <w:tabs>
          <w:tab w:val="clear" w:pos="432"/>
        </w:tabs>
        <w:spacing w:afterLines="60" w:after="144"/>
        <w:ind w:left="426" w:hanging="426"/>
        <w:jc w:val="both"/>
        <w:rPr>
          <w:lang w:val="es-PE"/>
        </w:rPr>
      </w:pPr>
      <w:r w:rsidRPr="007326D9">
        <w:rPr>
          <w:lang w:val="es-PE"/>
        </w:rPr>
        <w:t>Para la presentación de este anexo, las empresas deberán seguir las siguientes pautas:</w:t>
      </w:r>
    </w:p>
    <w:p w14:paraId="69BF632B" w14:textId="77777777" w:rsidR="00236228" w:rsidRPr="007326D9" w:rsidRDefault="00236228" w:rsidP="007326D9">
      <w:pPr>
        <w:numPr>
          <w:ilvl w:val="0"/>
          <w:numId w:val="2"/>
        </w:numPr>
        <w:tabs>
          <w:tab w:val="clear" w:pos="720"/>
        </w:tabs>
        <w:spacing w:afterLines="60" w:after="144"/>
        <w:ind w:left="851" w:hanging="426"/>
        <w:jc w:val="both"/>
        <w:rPr>
          <w:lang w:val="es-PE"/>
        </w:rPr>
      </w:pPr>
      <w:r w:rsidRPr="007326D9">
        <w:rPr>
          <w:lang w:val="es-PE"/>
        </w:rPr>
        <w:t xml:space="preserve">El anexo sólo será presentado a través del </w:t>
      </w:r>
      <w:proofErr w:type="spellStart"/>
      <w:r w:rsidRPr="007326D9">
        <w:rPr>
          <w:lang w:val="es-PE"/>
        </w:rPr>
        <w:t>Sucave</w:t>
      </w:r>
      <w:proofErr w:type="spellEnd"/>
      <w:r w:rsidRPr="007326D9">
        <w:rPr>
          <w:lang w:val="es-PE"/>
        </w:rPr>
        <w:t>. No será necesaria su presentación en medios físicos.</w:t>
      </w:r>
    </w:p>
    <w:p w14:paraId="6E4C6201" w14:textId="77777777" w:rsidR="00236228" w:rsidRPr="007326D9" w:rsidRDefault="00236228" w:rsidP="007326D9">
      <w:pPr>
        <w:numPr>
          <w:ilvl w:val="0"/>
          <w:numId w:val="2"/>
        </w:numPr>
        <w:tabs>
          <w:tab w:val="clear" w:pos="720"/>
        </w:tabs>
        <w:spacing w:afterLines="60" w:after="144"/>
        <w:ind w:left="851" w:hanging="426"/>
        <w:jc w:val="both"/>
        <w:rPr>
          <w:lang w:val="es-PE"/>
        </w:rPr>
      </w:pPr>
      <w:r w:rsidRPr="007326D9">
        <w:rPr>
          <w:lang w:val="es-PE"/>
        </w:rPr>
        <w:t>La información correspondiente a la columna “Moneda nacional” se debe registrar en unidades de nuevos soles y la de la columna “Moneda extranjera” en unidades de dólares americanos, en ambos casos con 2 decimales.</w:t>
      </w:r>
    </w:p>
    <w:p w14:paraId="344EBF26" w14:textId="5AC2E394" w:rsidR="007326D9" w:rsidRPr="007326D9" w:rsidRDefault="005B642C" w:rsidP="007326D9">
      <w:pPr>
        <w:numPr>
          <w:ilvl w:val="0"/>
          <w:numId w:val="2"/>
        </w:numPr>
        <w:tabs>
          <w:tab w:val="clear" w:pos="720"/>
        </w:tabs>
        <w:spacing w:afterLines="60" w:after="144"/>
        <w:ind w:left="851" w:hanging="426"/>
        <w:jc w:val="both"/>
        <w:rPr>
          <w:lang w:val="es-PE"/>
        </w:rPr>
      </w:pPr>
      <w:r w:rsidRPr="007326D9">
        <w:rPr>
          <w:lang w:val="es-PE"/>
        </w:rPr>
        <w:t xml:space="preserve">Las empresas de operaciones múltiples autorizadas a emitir dinero </w:t>
      </w:r>
      <w:proofErr w:type="gramStart"/>
      <w:r w:rsidRPr="007326D9">
        <w:rPr>
          <w:lang w:val="es-PE"/>
        </w:rPr>
        <w:t>electrónico,</w:t>
      </w:r>
      <w:proofErr w:type="gramEnd"/>
      <w:r w:rsidRPr="007326D9">
        <w:rPr>
          <w:lang w:val="es-PE"/>
        </w:rPr>
        <w:t xml:space="preserve"> no deberán considerar los activos ni los pasivos correspondientes al dinero electrónico en circulación para la elaboración del Anexo.</w:t>
      </w:r>
      <w:r w:rsidR="000F101A" w:rsidRPr="007326D9">
        <w:rPr>
          <w:rStyle w:val="Refdenotaalpie"/>
          <w:lang w:val="es-PE"/>
        </w:rPr>
        <w:t xml:space="preserve"> </w:t>
      </w:r>
      <w:r w:rsidR="000F101A" w:rsidRPr="007326D9">
        <w:rPr>
          <w:rStyle w:val="Refdenotaalpie"/>
          <w:lang w:val="es-PE"/>
        </w:rPr>
        <w:footnoteReference w:id="1"/>
      </w:r>
    </w:p>
    <w:p w14:paraId="5D65345E" w14:textId="072442C2" w:rsidR="007326D9" w:rsidRPr="007326D9" w:rsidRDefault="00236228" w:rsidP="007326D9">
      <w:pPr>
        <w:numPr>
          <w:ilvl w:val="0"/>
          <w:numId w:val="1"/>
        </w:numPr>
        <w:tabs>
          <w:tab w:val="clear" w:pos="432"/>
        </w:tabs>
        <w:spacing w:afterLines="60" w:after="144"/>
        <w:ind w:left="426" w:hanging="426"/>
        <w:jc w:val="both"/>
        <w:rPr>
          <w:lang w:val="es-PE"/>
        </w:rPr>
      </w:pPr>
      <w:r w:rsidRPr="007326D9">
        <w:rPr>
          <w:lang w:val="es-PE"/>
        </w:rPr>
        <w:t>No se consideran los depósitos en bancos y otras instituciones financieras en intervención y liquidación.</w:t>
      </w:r>
    </w:p>
    <w:p w14:paraId="0FDB9C4B" w14:textId="5942CF28" w:rsidR="007326D9" w:rsidRPr="007326D9" w:rsidRDefault="00236228" w:rsidP="007326D9">
      <w:pPr>
        <w:numPr>
          <w:ilvl w:val="0"/>
          <w:numId w:val="1"/>
        </w:numPr>
        <w:tabs>
          <w:tab w:val="clear" w:pos="432"/>
        </w:tabs>
        <w:spacing w:afterLines="60" w:after="144"/>
        <w:ind w:left="426" w:hanging="426"/>
        <w:jc w:val="both"/>
        <w:rPr>
          <w:lang w:val="es-PE"/>
        </w:rPr>
      </w:pPr>
      <w:r w:rsidRPr="007326D9">
        <w:rPr>
          <w:lang w:val="es-PE"/>
        </w:rPr>
        <w:t>En la subcuenta 1108.04 considerar sólo la parte correspondiente (p) a bancos del exterior de primera categoría, de acuerdo con la lista publicada por el Banco Central de Reserva del Perú</w:t>
      </w:r>
      <w:r w:rsidR="007326D9" w:rsidRPr="007326D9">
        <w:rPr>
          <w:lang w:val="es-PE"/>
        </w:rPr>
        <w:t>.</w:t>
      </w:r>
    </w:p>
    <w:p w14:paraId="2236786A" w14:textId="0066CDE1" w:rsidR="00236228" w:rsidRPr="007326D9" w:rsidRDefault="00236228" w:rsidP="007326D9">
      <w:pPr>
        <w:numPr>
          <w:ilvl w:val="0"/>
          <w:numId w:val="1"/>
        </w:numPr>
        <w:tabs>
          <w:tab w:val="clear" w:pos="432"/>
        </w:tabs>
        <w:spacing w:afterLines="60" w:after="144"/>
        <w:ind w:left="426" w:right="49" w:hanging="426"/>
        <w:jc w:val="both"/>
        <w:rPr>
          <w:lang w:val="es-PE"/>
        </w:rPr>
      </w:pPr>
      <w:r w:rsidRPr="007326D9">
        <w:rPr>
          <w:lang w:val="es-PE"/>
        </w:rPr>
        <w:t>Fondos interbancarios netos activos: Diferencia del saldo de fondos interbancarios colocados por la institución a empresas del sistema financiero y el saldo de fondos interbancarios captados de empresas del sistema financiero; siempre y cuando esta diferencia sea positiva, en caso contrario se considera cero (0).</w:t>
      </w:r>
    </w:p>
    <w:p w14:paraId="530854ED" w14:textId="02F4E03F" w:rsidR="00236228" w:rsidRPr="007326D9" w:rsidRDefault="00236228" w:rsidP="007326D9">
      <w:pPr>
        <w:spacing w:afterLines="60" w:after="144"/>
        <w:ind w:left="426"/>
        <w:jc w:val="both"/>
        <w:rPr>
          <w:lang w:val="es-PE"/>
        </w:rPr>
      </w:pPr>
      <w:r w:rsidRPr="007326D9">
        <w:rPr>
          <w:lang w:val="es-PE"/>
        </w:rPr>
        <w:t>Fondos interbancarios netos pasivos: Diferencia del saldo de fondos interbancarios colocados por la institución a empresas del sistema financiero y el saldo de fondos interbancarios captados de empresas del sistema financiero; siempre y cuando esta diferencia sea negativa, en caso contrario se considera cero (0).</w:t>
      </w:r>
    </w:p>
    <w:p w14:paraId="2F6BCB59" w14:textId="074B8A83" w:rsidR="00236228" w:rsidRPr="007326D9" w:rsidRDefault="00236228" w:rsidP="007326D9">
      <w:pPr>
        <w:spacing w:afterLines="60" w:after="144"/>
        <w:ind w:left="426"/>
        <w:jc w:val="both"/>
        <w:rPr>
          <w:lang w:val="es-PE"/>
        </w:rPr>
      </w:pPr>
      <w:r w:rsidRPr="007326D9">
        <w:rPr>
          <w:lang w:val="es-PE"/>
        </w:rPr>
        <w:t>No se deben considerar aquellos fondos otorgados a bancos y otras instituciones financieras en intervención y liquidación.</w:t>
      </w:r>
    </w:p>
    <w:p w14:paraId="1C0775DC" w14:textId="1B17A0FA" w:rsidR="00017218" w:rsidRPr="007326D9" w:rsidRDefault="00236228" w:rsidP="007326D9">
      <w:pPr>
        <w:numPr>
          <w:ilvl w:val="0"/>
          <w:numId w:val="1"/>
        </w:numPr>
        <w:tabs>
          <w:tab w:val="clear" w:pos="432"/>
        </w:tabs>
        <w:spacing w:afterLines="60" w:after="144"/>
        <w:ind w:left="426" w:hanging="426"/>
        <w:jc w:val="both"/>
        <w:rPr>
          <w:lang w:val="es-PE"/>
        </w:rPr>
      </w:pPr>
      <w:r w:rsidRPr="007326D9">
        <w:rPr>
          <w:lang w:val="es-PE"/>
        </w:rPr>
        <w:t xml:space="preserve">Considerar </w:t>
      </w:r>
      <w:r w:rsidR="00017218" w:rsidRPr="007326D9">
        <w:rPr>
          <w:lang w:val="es-PE"/>
        </w:rPr>
        <w:t>los valores representativos de deuda emitidos por el Banco Central de Reserva del Perú, los cuales se deberán reportar a valor razonable, incluso los que se encuentren clasificados a vencimiento.</w:t>
      </w:r>
    </w:p>
    <w:p w14:paraId="13A3F073" w14:textId="1360C5F7" w:rsidR="00017218" w:rsidRPr="007326D9" w:rsidRDefault="00017218" w:rsidP="007326D9">
      <w:pPr>
        <w:spacing w:afterLines="60" w:after="144"/>
        <w:ind w:left="426"/>
        <w:jc w:val="both"/>
      </w:pPr>
      <w:r w:rsidRPr="007326D9">
        <w:rPr>
          <w:lang w:val="es-PE"/>
        </w:rPr>
        <w:t xml:space="preserve">No deberán incluirse los activos </w:t>
      </w:r>
      <w:r w:rsidR="0005217C" w:rsidRPr="007326D9">
        <w:rPr>
          <w:lang w:val="es-PE"/>
        </w:rPr>
        <w:t xml:space="preserve">objeto </w:t>
      </w:r>
      <w:r w:rsidR="00C65ED1" w:rsidRPr="007326D9">
        <w:rPr>
          <w:lang w:val="es-PE"/>
        </w:rPr>
        <w:t xml:space="preserve">de </w:t>
      </w:r>
      <w:r w:rsidR="0005217C" w:rsidRPr="007326D9">
        <w:rPr>
          <w:lang w:val="es-PE"/>
        </w:rPr>
        <w:t>o entregados en operaciones de reporte</w:t>
      </w:r>
      <w:r w:rsidR="00CF34F3" w:rsidRPr="007326D9">
        <w:rPr>
          <w:lang w:val="es-PE"/>
        </w:rPr>
        <w:t>.</w:t>
      </w:r>
      <w:r w:rsidR="000F101A" w:rsidRPr="007326D9">
        <w:rPr>
          <w:rStyle w:val="Refdenotaalpie"/>
          <w:lang w:val="es-PE"/>
        </w:rPr>
        <w:t xml:space="preserve"> </w:t>
      </w:r>
      <w:r w:rsidR="000F101A" w:rsidRPr="007326D9">
        <w:rPr>
          <w:rStyle w:val="Refdenotaalpie"/>
          <w:lang w:val="es-PE"/>
        </w:rPr>
        <w:footnoteReference w:id="2"/>
      </w:r>
    </w:p>
    <w:p w14:paraId="6B71859C" w14:textId="1E777E3E" w:rsidR="005E4B04" w:rsidRPr="007326D9" w:rsidRDefault="00236228" w:rsidP="007326D9">
      <w:pPr>
        <w:numPr>
          <w:ilvl w:val="0"/>
          <w:numId w:val="1"/>
        </w:numPr>
        <w:tabs>
          <w:tab w:val="clear" w:pos="432"/>
        </w:tabs>
        <w:spacing w:afterLines="60" w:after="144"/>
        <w:ind w:left="426" w:hanging="426"/>
        <w:jc w:val="both"/>
        <w:rPr>
          <w:lang w:val="es-PE"/>
        </w:rPr>
      </w:pPr>
      <w:r w:rsidRPr="007326D9">
        <w:rPr>
          <w:lang w:val="es-PE"/>
        </w:rPr>
        <w:t xml:space="preserve">Considerar </w:t>
      </w:r>
      <w:r w:rsidR="005E4B04" w:rsidRPr="007326D9">
        <w:rPr>
          <w:lang w:val="es-PE"/>
        </w:rPr>
        <w:t>los valores representativos de deuda emitidos por el Gobierno Central, los cuales se deberán reportar a valor razonable, incluso los que se encuentren clasificados a vencimiento.</w:t>
      </w:r>
    </w:p>
    <w:p w14:paraId="40DE53D1" w14:textId="5535F189" w:rsidR="005E4B04" w:rsidRPr="007326D9" w:rsidRDefault="005E4B04" w:rsidP="007326D9">
      <w:pPr>
        <w:spacing w:afterLines="60" w:after="144"/>
        <w:ind w:left="426"/>
        <w:jc w:val="both"/>
        <w:rPr>
          <w:lang w:val="es-PE"/>
        </w:rPr>
      </w:pPr>
      <w:r w:rsidRPr="007326D9">
        <w:rPr>
          <w:lang w:val="es-PE"/>
        </w:rPr>
        <w:t>No deberán incluirse los activos</w:t>
      </w:r>
      <w:r w:rsidR="00A85D42" w:rsidRPr="007326D9">
        <w:rPr>
          <w:lang w:val="es-PE"/>
        </w:rPr>
        <w:t xml:space="preserve"> objeto</w:t>
      </w:r>
      <w:r w:rsidR="00C65ED1" w:rsidRPr="007326D9">
        <w:rPr>
          <w:lang w:val="es-PE"/>
        </w:rPr>
        <w:t xml:space="preserve"> de</w:t>
      </w:r>
      <w:r w:rsidR="00A85D42" w:rsidRPr="007326D9">
        <w:rPr>
          <w:lang w:val="es-PE"/>
        </w:rPr>
        <w:t xml:space="preserve"> o entregados en operaciones de reporte</w:t>
      </w:r>
      <w:r w:rsidRPr="007326D9">
        <w:rPr>
          <w:lang w:val="es-PE"/>
        </w:rPr>
        <w:t>.</w:t>
      </w:r>
      <w:r w:rsidR="000F101A" w:rsidRPr="007326D9">
        <w:rPr>
          <w:rStyle w:val="Refdenotaalpie"/>
          <w:lang w:val="es-PE"/>
        </w:rPr>
        <w:t xml:space="preserve"> </w:t>
      </w:r>
      <w:r w:rsidR="000F101A" w:rsidRPr="007326D9">
        <w:rPr>
          <w:rStyle w:val="Refdenotaalpie"/>
          <w:lang w:val="es-PE"/>
        </w:rPr>
        <w:footnoteReference w:id="3"/>
      </w:r>
    </w:p>
    <w:p w14:paraId="066586C7" w14:textId="5548E92E" w:rsidR="00236228" w:rsidRPr="007326D9" w:rsidRDefault="00236228" w:rsidP="007326D9">
      <w:pPr>
        <w:numPr>
          <w:ilvl w:val="0"/>
          <w:numId w:val="1"/>
        </w:numPr>
        <w:tabs>
          <w:tab w:val="clear" w:pos="432"/>
        </w:tabs>
        <w:spacing w:afterLines="60" w:after="144"/>
        <w:ind w:left="426" w:hanging="426"/>
        <w:jc w:val="both"/>
        <w:rPr>
          <w:lang w:val="es-PE"/>
        </w:rPr>
      </w:pPr>
      <w:r w:rsidRPr="007326D9">
        <w:rPr>
          <w:lang w:val="es-PE"/>
        </w:rPr>
        <w:t>Considerar los certificados de depósito negociables y certificados bancarios emitidos por empresas del sistema financiero nacional, netos de deterioro.</w:t>
      </w:r>
    </w:p>
    <w:p w14:paraId="3C4126C6" w14:textId="09611982" w:rsidR="00236228" w:rsidRPr="007326D9" w:rsidRDefault="00236228" w:rsidP="007326D9">
      <w:pPr>
        <w:spacing w:afterLines="60" w:after="144"/>
        <w:ind w:left="426"/>
        <w:jc w:val="both"/>
        <w:rPr>
          <w:lang w:val="es-PE"/>
        </w:rPr>
      </w:pPr>
      <w:r w:rsidRPr="007326D9">
        <w:rPr>
          <w:lang w:val="es-PE"/>
        </w:rPr>
        <w:lastRenderedPageBreak/>
        <w:t xml:space="preserve">No deberán incluirse los activos </w:t>
      </w:r>
      <w:r w:rsidR="00A85D42" w:rsidRPr="007326D9">
        <w:rPr>
          <w:lang w:val="es-PE"/>
        </w:rPr>
        <w:t xml:space="preserve">objeto </w:t>
      </w:r>
      <w:r w:rsidR="00C65ED1" w:rsidRPr="007326D9">
        <w:rPr>
          <w:lang w:val="es-PE"/>
        </w:rPr>
        <w:t xml:space="preserve">de </w:t>
      </w:r>
      <w:r w:rsidR="00A85D42" w:rsidRPr="007326D9">
        <w:rPr>
          <w:lang w:val="es-PE"/>
        </w:rPr>
        <w:t>o entregados en operaciones de reporte</w:t>
      </w:r>
      <w:r w:rsidR="00F6443C" w:rsidRPr="007326D9">
        <w:rPr>
          <w:lang w:val="es-PE"/>
        </w:rPr>
        <w:t>.</w:t>
      </w:r>
      <w:r w:rsidR="000F101A" w:rsidRPr="007326D9">
        <w:rPr>
          <w:rStyle w:val="Refdenotaalpie"/>
          <w:lang w:val="es-PE"/>
        </w:rPr>
        <w:t xml:space="preserve"> </w:t>
      </w:r>
      <w:r w:rsidR="000F101A" w:rsidRPr="007326D9">
        <w:rPr>
          <w:rStyle w:val="Refdenotaalpie"/>
          <w:lang w:val="es-PE"/>
        </w:rPr>
        <w:footnoteReference w:id="4"/>
      </w:r>
    </w:p>
    <w:p w14:paraId="0C027912" w14:textId="438841E5" w:rsidR="00236228" w:rsidRPr="007326D9" w:rsidRDefault="00236228" w:rsidP="007326D9">
      <w:pPr>
        <w:numPr>
          <w:ilvl w:val="0"/>
          <w:numId w:val="1"/>
        </w:numPr>
        <w:spacing w:afterLines="60" w:after="144"/>
        <w:ind w:left="426" w:hanging="426"/>
        <w:jc w:val="both"/>
        <w:rPr>
          <w:lang w:val="es-PE"/>
        </w:rPr>
      </w:pPr>
      <w:r w:rsidRPr="007326D9">
        <w:rPr>
          <w:lang w:val="es-PE"/>
        </w:rPr>
        <w:t>Considerar los títulos representativos de deuda pública</w:t>
      </w:r>
      <w:r w:rsidR="000A183D" w:rsidRPr="007326D9">
        <w:rPr>
          <w:lang w:val="es-PE"/>
        </w:rPr>
        <w:t>, incluso los que se encuentren clasificados a vencimiento;</w:t>
      </w:r>
      <w:r w:rsidRPr="007326D9">
        <w:rPr>
          <w:lang w:val="es-PE"/>
        </w:rPr>
        <w:t xml:space="preserve"> y</w:t>
      </w:r>
      <w:r w:rsidR="000A183D" w:rsidRPr="007326D9">
        <w:rPr>
          <w:lang w:val="es-PE"/>
        </w:rPr>
        <w:t xml:space="preserve"> los títulos</w:t>
      </w:r>
      <w:r w:rsidRPr="007326D9">
        <w:rPr>
          <w:lang w:val="es-PE"/>
        </w:rPr>
        <w:t xml:space="preserve"> del sistema financiero y de seguros del exterior que sean negociables y que coticen en mecanismos centralizados de negociación calificados </w:t>
      </w:r>
      <w:r w:rsidR="00CC2E03" w:rsidRPr="007326D9">
        <w:rPr>
          <w:lang w:val="es-PE"/>
        </w:rPr>
        <w:t xml:space="preserve">con </w:t>
      </w:r>
      <w:r w:rsidRPr="007326D9">
        <w:rPr>
          <w:lang w:val="es-PE"/>
        </w:rPr>
        <w:t>grado de inversión por al menos una clasificadora de riesgo a satisfacción de la SBS</w:t>
      </w:r>
      <w:r w:rsidR="0063389B" w:rsidRPr="007326D9">
        <w:rPr>
          <w:lang w:val="es-PE"/>
        </w:rPr>
        <w:t>,</w:t>
      </w:r>
      <w:r w:rsidRPr="007326D9">
        <w:rPr>
          <w:lang w:val="es-PE"/>
        </w:rPr>
        <w:t xml:space="preserve"> netos de deterioro de valor.</w:t>
      </w:r>
    </w:p>
    <w:p w14:paraId="3F494E8F" w14:textId="798AF877" w:rsidR="008070FF" w:rsidRPr="007326D9" w:rsidRDefault="00236228" w:rsidP="007326D9">
      <w:pPr>
        <w:spacing w:afterLines="60" w:after="144"/>
        <w:ind w:left="426"/>
        <w:jc w:val="both"/>
        <w:rPr>
          <w:lang w:val="es-PE"/>
        </w:rPr>
      </w:pPr>
      <w:r w:rsidRPr="007326D9">
        <w:rPr>
          <w:lang w:val="es-PE"/>
        </w:rPr>
        <w:t xml:space="preserve">No deberán incluirse los activos </w:t>
      </w:r>
      <w:r w:rsidR="00C65ED1" w:rsidRPr="007326D9">
        <w:rPr>
          <w:lang w:val="es-PE"/>
        </w:rPr>
        <w:t>objeto de o entregados en operaciones de reporte.</w:t>
      </w:r>
      <w:r w:rsidR="000F101A" w:rsidRPr="007326D9">
        <w:rPr>
          <w:rStyle w:val="Refdenotaalpie"/>
          <w:lang w:val="es-PE"/>
        </w:rPr>
        <w:t xml:space="preserve"> </w:t>
      </w:r>
      <w:r w:rsidR="000F101A" w:rsidRPr="007326D9">
        <w:rPr>
          <w:rStyle w:val="Refdenotaalpie"/>
          <w:lang w:val="es-PE"/>
        </w:rPr>
        <w:footnoteReference w:id="5"/>
      </w:r>
    </w:p>
    <w:p w14:paraId="7A579C49" w14:textId="5D54CC00" w:rsidR="00900F12" w:rsidRPr="007326D9" w:rsidRDefault="00900F12" w:rsidP="007326D9">
      <w:pPr>
        <w:spacing w:afterLines="60" w:after="144"/>
        <w:ind w:left="426" w:hanging="426"/>
        <w:jc w:val="both"/>
        <w:rPr>
          <w:lang w:val="es-PE"/>
        </w:rPr>
      </w:pPr>
      <w:r w:rsidRPr="007326D9">
        <w:rPr>
          <w:lang w:val="es-PE"/>
        </w:rPr>
        <w:t xml:space="preserve">8A. </w:t>
      </w:r>
      <w:r w:rsidR="00433B07" w:rsidRPr="007326D9">
        <w:rPr>
          <w:lang w:val="es-PE"/>
        </w:rPr>
        <w:t xml:space="preserve"> </w:t>
      </w:r>
      <w:r w:rsidR="00875E25" w:rsidRPr="007326D9">
        <w:rPr>
          <w:lang w:val="es-PE"/>
        </w:rPr>
        <w:t>Considerar los bonos corporativos emitidos por empresas privadas del sector no financiero que califican para acceder a operaciones de reporte de valores con el Banco Central de Reserva del Perú. Estos se deberán reportar a valor razonable, incluso los que se encuentren clasificados a vencimiento.</w:t>
      </w:r>
    </w:p>
    <w:p w14:paraId="22534CD0" w14:textId="636AD827" w:rsidR="00875E25" w:rsidRPr="007326D9" w:rsidRDefault="00875E25" w:rsidP="007326D9">
      <w:pPr>
        <w:spacing w:afterLines="60" w:after="144"/>
        <w:ind w:left="426" w:hanging="426"/>
        <w:jc w:val="both"/>
        <w:rPr>
          <w:lang w:val="es-PE"/>
        </w:rPr>
      </w:pPr>
      <w:r w:rsidRPr="007326D9">
        <w:rPr>
          <w:lang w:val="es-PE"/>
        </w:rPr>
        <w:tab/>
        <w:t>No deberán incluirse los bonos emitidos por personas jurídicas del grupo económico de la empresa, ni los activos objeto de o entregados en operaciones de reporte.</w:t>
      </w:r>
      <w:r w:rsidR="00441501" w:rsidRPr="007326D9">
        <w:rPr>
          <w:rStyle w:val="Refdenotaalpie"/>
          <w:lang w:val="es-PE"/>
        </w:rPr>
        <w:footnoteReference w:id="6"/>
      </w:r>
    </w:p>
    <w:p w14:paraId="28946704" w14:textId="14F331CD" w:rsidR="00433B07" w:rsidRDefault="00875E25" w:rsidP="007326D9">
      <w:pPr>
        <w:spacing w:afterLines="60" w:after="144"/>
        <w:ind w:left="426" w:hanging="426"/>
        <w:jc w:val="both"/>
        <w:rPr>
          <w:lang w:val="es-PE"/>
        </w:rPr>
      </w:pPr>
      <w:r w:rsidRPr="007326D9">
        <w:rPr>
          <w:lang w:val="es-PE"/>
        </w:rPr>
        <w:t xml:space="preserve">8B.   </w:t>
      </w:r>
      <w:r w:rsidR="007D3740" w:rsidRPr="007326D9">
        <w:rPr>
          <w:lang w:val="es-PE"/>
        </w:rPr>
        <w:t xml:space="preserve">Cuando la empresa sea la adquiriente de los valores en operaciones de reporte, </w:t>
      </w:r>
      <w:r w:rsidR="00525A1A" w:rsidRPr="007326D9">
        <w:rPr>
          <w:lang w:val="es-PE"/>
        </w:rPr>
        <w:t>serán consi</w:t>
      </w:r>
      <w:r w:rsidR="008B3156" w:rsidRPr="007326D9">
        <w:rPr>
          <w:lang w:val="es-PE"/>
        </w:rPr>
        <w:t xml:space="preserve">derados como activos líquidos </w:t>
      </w:r>
      <w:r w:rsidR="00525A1A" w:rsidRPr="007326D9">
        <w:rPr>
          <w:lang w:val="es-PE"/>
        </w:rPr>
        <w:t xml:space="preserve">los </w:t>
      </w:r>
      <w:r w:rsidR="007D3740" w:rsidRPr="007326D9">
        <w:rPr>
          <w:lang w:val="es-PE"/>
        </w:rPr>
        <w:t xml:space="preserve"> valores representativos de deuda emitidos por el BCRP o por el Gobierno Central, </w:t>
      </w:r>
      <w:r w:rsidR="00525A1A" w:rsidRPr="007326D9">
        <w:rPr>
          <w:lang w:val="es-PE"/>
        </w:rPr>
        <w:t>los</w:t>
      </w:r>
      <w:r w:rsidR="007D3740" w:rsidRPr="007326D9">
        <w:rPr>
          <w:lang w:val="es-PE"/>
        </w:rPr>
        <w:t xml:space="preserve"> valores representativos de deuda emitidos por Gobiernos del Exterior que tengan por lo menos clasificación de grado de inversión, así como </w:t>
      </w:r>
      <w:r w:rsidR="00525A1A" w:rsidRPr="007326D9">
        <w:rPr>
          <w:lang w:val="es-PE"/>
        </w:rPr>
        <w:t>los</w:t>
      </w:r>
      <w:r w:rsidR="007D3740" w:rsidRPr="007326D9">
        <w:rPr>
          <w:lang w:val="es-PE"/>
        </w:rPr>
        <w:t xml:space="preserve"> bonos corporativos emitidos por empresas privadas del sector no financiero de acuerdo a lo descrito en la nota 8A</w:t>
      </w:r>
      <w:r w:rsidR="00525A1A" w:rsidRPr="007326D9">
        <w:rPr>
          <w:lang w:val="es-PE"/>
        </w:rPr>
        <w:t>, recibidos en dichas operaciones de reporte</w:t>
      </w:r>
      <w:r w:rsidR="000340AD" w:rsidRPr="007326D9">
        <w:rPr>
          <w:lang w:val="es-PE"/>
        </w:rPr>
        <w:t>;</w:t>
      </w:r>
      <w:r w:rsidR="007D3740" w:rsidRPr="007326D9">
        <w:rPr>
          <w:lang w:val="es-PE"/>
        </w:rPr>
        <w:t xml:space="preserve"> siempre y cuando </w:t>
      </w:r>
      <w:r w:rsidR="001B44C4" w:rsidRPr="007326D9">
        <w:rPr>
          <w:lang w:val="es-PE"/>
        </w:rPr>
        <w:t xml:space="preserve">la empresa </w:t>
      </w:r>
      <w:r w:rsidR="00290340" w:rsidRPr="007326D9">
        <w:rPr>
          <w:lang w:val="es-PE"/>
        </w:rPr>
        <w:t>adquirente esté legal y contractualmente facultad</w:t>
      </w:r>
      <w:r w:rsidR="001B44C4" w:rsidRPr="007326D9">
        <w:rPr>
          <w:lang w:val="es-PE"/>
        </w:rPr>
        <w:t>a</w:t>
      </w:r>
      <w:r w:rsidR="00290340" w:rsidRPr="007326D9">
        <w:rPr>
          <w:lang w:val="es-PE"/>
        </w:rPr>
        <w:t xml:space="preserve"> para utilizar dichos valores </w:t>
      </w:r>
      <w:r w:rsidR="001E2D4D" w:rsidRPr="007326D9">
        <w:rPr>
          <w:lang w:val="es-PE"/>
        </w:rPr>
        <w:t>y</w:t>
      </w:r>
      <w:r w:rsidR="00290340" w:rsidRPr="007326D9">
        <w:rPr>
          <w:lang w:val="es-PE"/>
        </w:rPr>
        <w:t xml:space="preserve"> estos no haya</w:t>
      </w:r>
      <w:r w:rsidR="00AB6287" w:rsidRPr="007326D9">
        <w:rPr>
          <w:lang w:val="es-PE"/>
        </w:rPr>
        <w:t>n</w:t>
      </w:r>
      <w:r w:rsidR="00290340" w:rsidRPr="007326D9">
        <w:rPr>
          <w:lang w:val="es-PE"/>
        </w:rPr>
        <w:t xml:space="preserve"> sido utilizados en una nueva operación</w:t>
      </w:r>
      <w:r w:rsidR="00F6443C" w:rsidRPr="007326D9">
        <w:rPr>
          <w:lang w:val="es-PE"/>
        </w:rPr>
        <w:t>.</w:t>
      </w:r>
      <w:r w:rsidR="00525A1A" w:rsidRPr="007326D9">
        <w:rPr>
          <w:lang w:val="es-PE"/>
        </w:rPr>
        <w:t xml:space="preserve"> Se deberá registrar el monto de las cuentas por cobrar de las operaciones de reporte respaldadas con estos valores.</w:t>
      </w:r>
      <w:r w:rsidR="000F101A" w:rsidRPr="007326D9">
        <w:rPr>
          <w:rStyle w:val="Refdenotaalpie"/>
          <w:lang w:val="es-PE"/>
        </w:rPr>
        <w:footnoteReference w:id="7"/>
      </w:r>
    </w:p>
    <w:p w14:paraId="660B3132" w14:textId="4B6C417D" w:rsidR="00704CD5" w:rsidRPr="007326D9" w:rsidRDefault="00B9632D" w:rsidP="00B9632D">
      <w:pPr>
        <w:spacing w:afterLines="60" w:after="144"/>
        <w:ind w:left="426" w:hanging="426"/>
        <w:jc w:val="both"/>
        <w:rPr>
          <w:lang w:val="es-PE"/>
        </w:rPr>
      </w:pPr>
      <w:r>
        <w:rPr>
          <w:lang w:val="es-PE"/>
        </w:rPr>
        <w:t xml:space="preserve">8C.  </w:t>
      </w:r>
      <w:r w:rsidRPr="00B9632D">
        <w:rPr>
          <w:lang w:val="es-PE"/>
        </w:rPr>
        <w:t>Cuyo proceso de armado</w:t>
      </w:r>
      <w:r>
        <w:rPr>
          <w:lang w:val="es-PE"/>
        </w:rPr>
        <w:t xml:space="preserve"> </w:t>
      </w:r>
      <w:r w:rsidRPr="00B9632D">
        <w:rPr>
          <w:lang w:val="es-PE"/>
        </w:rPr>
        <w:t>(creación) y desarmado (redención) se realiza de manera</w:t>
      </w:r>
      <w:r>
        <w:rPr>
          <w:lang w:val="es-PE"/>
        </w:rPr>
        <w:t xml:space="preserve"> </w:t>
      </w:r>
      <w:proofErr w:type="spellStart"/>
      <w:r w:rsidRPr="00B9632D">
        <w:rPr>
          <w:lang w:val="es-PE"/>
        </w:rPr>
        <w:t>intraday</w:t>
      </w:r>
      <w:proofErr w:type="spellEnd"/>
      <w:r w:rsidRPr="00B9632D">
        <w:rPr>
          <w:lang w:val="es-PE"/>
        </w:rPr>
        <w:t>, y que coticen en mecanismos centralizados de</w:t>
      </w:r>
      <w:r>
        <w:rPr>
          <w:lang w:val="es-PE"/>
        </w:rPr>
        <w:t xml:space="preserve"> </w:t>
      </w:r>
      <w:r w:rsidRPr="00B9632D">
        <w:rPr>
          <w:lang w:val="es-PE"/>
        </w:rPr>
        <w:t>negociación. Por lo tanto, debe considerarse únicamente</w:t>
      </w:r>
      <w:r>
        <w:rPr>
          <w:lang w:val="es-PE"/>
        </w:rPr>
        <w:t xml:space="preserve"> </w:t>
      </w:r>
      <w:r w:rsidRPr="00B9632D">
        <w:rPr>
          <w:lang w:val="es-PE"/>
        </w:rPr>
        <w:t>la valorización del múltiplo del número de unidades que</w:t>
      </w:r>
      <w:r>
        <w:rPr>
          <w:lang w:val="es-PE"/>
        </w:rPr>
        <w:t xml:space="preserve"> </w:t>
      </w:r>
      <w:r w:rsidRPr="00B9632D">
        <w:rPr>
          <w:lang w:val="es-PE"/>
        </w:rPr>
        <w:t>permite llevar a cabo el citado proceso</w:t>
      </w:r>
      <w:r>
        <w:rPr>
          <w:lang w:val="es-PE"/>
        </w:rPr>
        <w:t>.</w:t>
      </w:r>
      <w:r>
        <w:rPr>
          <w:rStyle w:val="Refdenotaalpie"/>
          <w:lang w:val="es-PE"/>
        </w:rPr>
        <w:footnoteReference w:id="8"/>
      </w:r>
    </w:p>
    <w:p w14:paraId="302D1C7E" w14:textId="6D377D92" w:rsidR="00236228" w:rsidRPr="007326D9" w:rsidRDefault="00236228" w:rsidP="007326D9">
      <w:pPr>
        <w:numPr>
          <w:ilvl w:val="0"/>
          <w:numId w:val="1"/>
        </w:numPr>
        <w:spacing w:afterLines="60" w:after="144"/>
        <w:ind w:left="426" w:hanging="426"/>
        <w:jc w:val="both"/>
        <w:rPr>
          <w:lang w:val="es-PE"/>
        </w:rPr>
      </w:pPr>
      <w:r w:rsidRPr="007326D9">
        <w:rPr>
          <w:lang w:val="es-PE"/>
        </w:rPr>
        <w:t xml:space="preserve">Considerar las obligaciones a la vista, excluyendo las obligaciones restringidas. </w:t>
      </w:r>
    </w:p>
    <w:p w14:paraId="59588804" w14:textId="47CA2538" w:rsidR="00236228" w:rsidRPr="007326D9" w:rsidRDefault="00236228" w:rsidP="007326D9">
      <w:pPr>
        <w:numPr>
          <w:ilvl w:val="0"/>
          <w:numId w:val="1"/>
        </w:numPr>
        <w:spacing w:afterLines="60" w:after="144"/>
        <w:ind w:left="426" w:hanging="426"/>
        <w:jc w:val="both"/>
        <w:rPr>
          <w:lang w:val="es-PE"/>
        </w:rPr>
      </w:pPr>
      <w:r w:rsidRPr="007326D9">
        <w:rPr>
          <w:lang w:val="es-PE"/>
        </w:rPr>
        <w:t>En el caso de las obligaciones por impuesto a la renta en las cuales se haya efectuado pagos a cuenta, se deducirá el importe correspondiente.</w:t>
      </w:r>
    </w:p>
    <w:p w14:paraId="68EEFE4E" w14:textId="2C17C5F4" w:rsidR="00236228" w:rsidRPr="007326D9" w:rsidRDefault="00C65ED1" w:rsidP="007326D9">
      <w:pPr>
        <w:numPr>
          <w:ilvl w:val="0"/>
          <w:numId w:val="1"/>
        </w:numPr>
        <w:spacing w:afterLines="60" w:after="144"/>
        <w:ind w:left="426" w:hanging="426"/>
        <w:jc w:val="both"/>
        <w:rPr>
          <w:lang w:val="es-PE"/>
        </w:rPr>
      </w:pPr>
      <w:r w:rsidRPr="007326D9">
        <w:rPr>
          <w:lang w:val="es-PE"/>
        </w:rPr>
        <w:t>Corresponde a la obligación que se genera producto de una venta en corto.</w:t>
      </w:r>
      <w:r w:rsidR="000F101A" w:rsidRPr="007326D9">
        <w:rPr>
          <w:rStyle w:val="Refdenotaalpie"/>
          <w:lang w:val="es-PE"/>
        </w:rPr>
        <w:t xml:space="preserve"> </w:t>
      </w:r>
      <w:r w:rsidR="000F101A" w:rsidRPr="007326D9">
        <w:rPr>
          <w:rStyle w:val="Refdenotaalpie"/>
          <w:lang w:val="es-PE"/>
        </w:rPr>
        <w:footnoteReference w:id="9"/>
      </w:r>
    </w:p>
    <w:p w14:paraId="706E2B74" w14:textId="764BE5EF" w:rsidR="00236228" w:rsidRPr="007326D9" w:rsidRDefault="009B2A4B" w:rsidP="007326D9">
      <w:pPr>
        <w:pStyle w:val="BodyText31"/>
        <w:numPr>
          <w:ilvl w:val="0"/>
          <w:numId w:val="1"/>
        </w:numPr>
        <w:spacing w:afterLines="60" w:after="144"/>
        <w:ind w:left="426" w:hanging="426"/>
        <w:rPr>
          <w:rFonts w:ascii="Arial Narrow" w:hAnsi="Arial Narrow"/>
          <w:szCs w:val="22"/>
          <w:lang w:val="es-PE"/>
        </w:rPr>
      </w:pPr>
      <w:r w:rsidRPr="009B2A4B">
        <w:rPr>
          <w:rFonts w:ascii="Arial Narrow" w:hAnsi="Arial Narrow"/>
          <w:szCs w:val="22"/>
        </w:rPr>
        <w:t>Deben incluirse las obligaciones por cuentas a plazo, cuando el vencimiento ocurra dentro de los trescientos sesenta (360) días siguientes, incluyendo el saldo de depósitos por compensación por tiempo de servicios (CTS) de libre disponibilidad. Deben excluirse las obligaciones restringidas. Asimismo, se debe considerar la parte correspondiente a los gastos por pagar</w:t>
      </w:r>
      <w:r w:rsidR="00F27A3E" w:rsidRPr="007326D9">
        <w:rPr>
          <w:rFonts w:ascii="Arial Narrow" w:hAnsi="Arial Narrow"/>
          <w:szCs w:val="22"/>
        </w:rPr>
        <w:t>.</w:t>
      </w:r>
      <w:r w:rsidR="000F101A" w:rsidRPr="007326D9">
        <w:rPr>
          <w:rStyle w:val="Refdenotaalpie"/>
          <w:rFonts w:ascii="Arial Narrow" w:hAnsi="Arial Narrow"/>
          <w:szCs w:val="22"/>
        </w:rPr>
        <w:t xml:space="preserve"> </w:t>
      </w:r>
      <w:r w:rsidR="000F101A" w:rsidRPr="007326D9">
        <w:rPr>
          <w:rStyle w:val="Refdenotaalpie"/>
          <w:rFonts w:ascii="Arial Narrow" w:hAnsi="Arial Narrow"/>
          <w:szCs w:val="22"/>
        </w:rPr>
        <w:footnoteReference w:id="10"/>
      </w:r>
      <w:r>
        <w:rPr>
          <w:rFonts w:ascii="Arial Narrow" w:hAnsi="Arial Narrow"/>
          <w:szCs w:val="22"/>
        </w:rPr>
        <w:t xml:space="preserve"> </w:t>
      </w:r>
    </w:p>
    <w:p w14:paraId="286744B8" w14:textId="5EA5C32B" w:rsidR="00405A69" w:rsidRPr="007326D9" w:rsidRDefault="00236228" w:rsidP="007326D9">
      <w:pPr>
        <w:numPr>
          <w:ilvl w:val="0"/>
          <w:numId w:val="1"/>
        </w:numPr>
        <w:spacing w:afterLines="60" w:after="144"/>
        <w:ind w:left="426" w:hanging="426"/>
        <w:jc w:val="both"/>
        <w:rPr>
          <w:lang w:val="es-PE"/>
        </w:rPr>
      </w:pPr>
      <w:r w:rsidRPr="007326D9">
        <w:rPr>
          <w:lang w:val="es-PE"/>
        </w:rPr>
        <w:t>Considerar sólo los adeudos y obligaciones financieras con instituciones financieras con vencimiento residual de hasta 360 días.</w:t>
      </w:r>
    </w:p>
    <w:p w14:paraId="1CC4221C" w14:textId="6106CE36" w:rsidR="00F27A3E" w:rsidRPr="007326D9" w:rsidRDefault="00F27A3E" w:rsidP="007326D9">
      <w:pPr>
        <w:pStyle w:val="BodyText31"/>
        <w:numPr>
          <w:ilvl w:val="0"/>
          <w:numId w:val="1"/>
        </w:numPr>
        <w:spacing w:afterLines="60" w:after="144"/>
        <w:ind w:left="426" w:hanging="426"/>
        <w:rPr>
          <w:rFonts w:ascii="Arial Narrow" w:hAnsi="Arial Narrow"/>
          <w:szCs w:val="22"/>
          <w:lang w:val="es-PE"/>
        </w:rPr>
      </w:pPr>
      <w:r w:rsidRPr="007326D9">
        <w:rPr>
          <w:rFonts w:ascii="Arial Narrow" w:hAnsi="Arial Narrow"/>
          <w:szCs w:val="22"/>
        </w:rPr>
        <w:t xml:space="preserve">Deberán excluirse los montos y gastos por pagar de los valores, títulos y obligaciones en circulación emitidos por la empresa cuyo vencimiento ocurra en un período mayor a 360 días. Asimismo, deberán considerarse los montos y gastos por pagar de los valores, títulos y obligaciones en circulación sobre los cuales existen compromisos u opciones de redención anticipada a favor del inversionista o tenedor </w:t>
      </w:r>
      <w:r w:rsidRPr="007326D9">
        <w:rPr>
          <w:rFonts w:ascii="Arial Narrow" w:hAnsi="Arial Narrow"/>
          <w:szCs w:val="22"/>
        </w:rPr>
        <w:lastRenderedPageBreak/>
        <w:t>de los valores, cuyos plazos o fechas de ejercicio respectivamente, estén comprendidos en los 360 días siguientes.</w:t>
      </w:r>
      <w:r w:rsidR="00405A69" w:rsidRPr="007326D9">
        <w:rPr>
          <w:rStyle w:val="Refdenotaalpie"/>
          <w:rFonts w:ascii="Arial Narrow" w:hAnsi="Arial Narrow"/>
          <w:szCs w:val="22"/>
        </w:rPr>
        <w:t xml:space="preserve"> </w:t>
      </w:r>
      <w:r w:rsidR="000F101A" w:rsidRPr="007326D9">
        <w:rPr>
          <w:rStyle w:val="Refdenotaalpie"/>
          <w:rFonts w:ascii="Arial Narrow" w:hAnsi="Arial Narrow"/>
          <w:szCs w:val="22"/>
        </w:rPr>
        <w:footnoteReference w:id="11"/>
      </w:r>
    </w:p>
    <w:p w14:paraId="2B5D48CA" w14:textId="77777777" w:rsidR="00236228" w:rsidRPr="007326D9" w:rsidRDefault="00236228" w:rsidP="007326D9">
      <w:pPr>
        <w:autoSpaceDE w:val="0"/>
        <w:autoSpaceDN w:val="0"/>
        <w:adjustRightInd w:val="0"/>
        <w:spacing w:afterLines="60" w:after="144"/>
        <w:ind w:left="426" w:hanging="426"/>
        <w:jc w:val="both"/>
        <w:rPr>
          <w:rFonts w:cs="Arial Narrow"/>
        </w:rPr>
      </w:pPr>
    </w:p>
    <w:p w14:paraId="34BE4533" w14:textId="77777777" w:rsidR="00236228" w:rsidRPr="007326D9" w:rsidRDefault="00236228" w:rsidP="007326D9">
      <w:pPr>
        <w:numPr>
          <w:ilvl w:val="0"/>
          <w:numId w:val="1"/>
        </w:numPr>
        <w:spacing w:afterLines="60" w:after="144"/>
        <w:ind w:left="426" w:hanging="426"/>
        <w:jc w:val="both"/>
        <w:rPr>
          <w:lang w:val="es-PE"/>
        </w:rPr>
      </w:pPr>
      <w:r w:rsidRPr="007326D9">
        <w:rPr>
          <w:lang w:val="es-PE"/>
        </w:rPr>
        <w:t xml:space="preserve">Se considerarán como recursos prestados, para fines del cálculo de </w:t>
      </w:r>
      <w:proofErr w:type="gramStart"/>
      <w:r w:rsidRPr="007326D9">
        <w:rPr>
          <w:lang w:val="es-PE"/>
        </w:rPr>
        <w:t>los ratios</w:t>
      </w:r>
      <w:proofErr w:type="gramEnd"/>
      <w:r w:rsidRPr="007326D9">
        <w:rPr>
          <w:lang w:val="es-PE"/>
        </w:rPr>
        <w:t xml:space="preserve"> de liquidez ajustados por recursos prestados, los siguientes conceptos:</w:t>
      </w:r>
    </w:p>
    <w:p w14:paraId="02718AE0" w14:textId="77777777" w:rsidR="00236228" w:rsidRPr="007326D9" w:rsidRDefault="00236228" w:rsidP="007326D9">
      <w:pPr>
        <w:numPr>
          <w:ilvl w:val="0"/>
          <w:numId w:val="3"/>
        </w:numPr>
        <w:tabs>
          <w:tab w:val="clear" w:pos="720"/>
          <w:tab w:val="num" w:pos="1276"/>
        </w:tabs>
        <w:spacing w:afterLines="60" w:after="144"/>
        <w:ind w:left="851" w:hanging="426"/>
        <w:jc w:val="both"/>
        <w:rPr>
          <w:lang w:val="es-PE"/>
        </w:rPr>
      </w:pPr>
      <w:r w:rsidRPr="007326D9">
        <w:rPr>
          <w:lang w:val="es-PE"/>
        </w:rPr>
        <w:t>Fondos interbancarios netos pasivos.</w:t>
      </w:r>
    </w:p>
    <w:p w14:paraId="58E96294" w14:textId="77777777" w:rsidR="00236228" w:rsidRPr="007326D9" w:rsidRDefault="00236228" w:rsidP="007326D9">
      <w:pPr>
        <w:numPr>
          <w:ilvl w:val="0"/>
          <w:numId w:val="3"/>
        </w:numPr>
        <w:tabs>
          <w:tab w:val="clear" w:pos="720"/>
          <w:tab w:val="num" w:pos="1276"/>
        </w:tabs>
        <w:spacing w:afterLines="60" w:after="144"/>
        <w:ind w:left="851" w:hanging="426"/>
        <w:jc w:val="both"/>
        <w:rPr>
          <w:lang w:val="es-PE"/>
        </w:rPr>
      </w:pPr>
      <w:r w:rsidRPr="007326D9">
        <w:rPr>
          <w:lang w:val="es-PE"/>
        </w:rPr>
        <w:t xml:space="preserve">Operaciones </w:t>
      </w:r>
      <w:r w:rsidRPr="007326D9">
        <w:rPr>
          <w:i/>
          <w:lang w:val="es-PE"/>
        </w:rPr>
        <w:t>overnight</w:t>
      </w:r>
      <w:r w:rsidRPr="007326D9">
        <w:rPr>
          <w:lang w:val="es-PE"/>
        </w:rPr>
        <w:t xml:space="preserve"> pasivas.</w:t>
      </w:r>
    </w:p>
    <w:p w14:paraId="0C77B23F" w14:textId="77777777" w:rsidR="00236228" w:rsidRPr="007326D9" w:rsidRDefault="00236228" w:rsidP="007326D9">
      <w:pPr>
        <w:numPr>
          <w:ilvl w:val="0"/>
          <w:numId w:val="3"/>
        </w:numPr>
        <w:tabs>
          <w:tab w:val="clear" w:pos="720"/>
          <w:tab w:val="num" w:pos="1276"/>
        </w:tabs>
        <w:spacing w:afterLines="60" w:after="144"/>
        <w:ind w:left="851" w:hanging="426"/>
        <w:jc w:val="both"/>
        <w:rPr>
          <w:lang w:val="es-PE"/>
        </w:rPr>
      </w:pPr>
      <w:r w:rsidRPr="007326D9">
        <w:rPr>
          <w:lang w:val="es-PE"/>
        </w:rPr>
        <w:t>Obligaciones con el Banco de la Nación.</w:t>
      </w:r>
    </w:p>
    <w:p w14:paraId="30392A99" w14:textId="24A2BBF8" w:rsidR="00236228" w:rsidRPr="007326D9" w:rsidRDefault="00236228" w:rsidP="007326D9">
      <w:pPr>
        <w:numPr>
          <w:ilvl w:val="0"/>
          <w:numId w:val="3"/>
        </w:numPr>
        <w:tabs>
          <w:tab w:val="clear" w:pos="720"/>
          <w:tab w:val="num" w:pos="1276"/>
        </w:tabs>
        <w:spacing w:afterLines="60" w:after="144"/>
        <w:ind w:left="851" w:hanging="426"/>
        <w:jc w:val="both"/>
        <w:rPr>
          <w:lang w:val="es-PE"/>
        </w:rPr>
      </w:pPr>
      <w:r w:rsidRPr="007326D9">
        <w:rPr>
          <w:lang w:val="es-PE"/>
        </w:rPr>
        <w:t>Créditos del Banco Central con fines de regulación monetaria.</w:t>
      </w:r>
    </w:p>
    <w:p w14:paraId="2CE38D69" w14:textId="730CE128" w:rsidR="00236228" w:rsidRPr="007326D9" w:rsidRDefault="00236228" w:rsidP="007326D9">
      <w:pPr>
        <w:spacing w:afterLines="60" w:after="144"/>
        <w:ind w:left="426"/>
        <w:jc w:val="both"/>
        <w:rPr>
          <w:lang w:val="es-PE"/>
        </w:rPr>
      </w:pPr>
      <w:r w:rsidRPr="007326D9">
        <w:rPr>
          <w:lang w:val="es-PE"/>
        </w:rPr>
        <w:t xml:space="preserve">Asimismo, para fines del cálculo de </w:t>
      </w:r>
      <w:proofErr w:type="gramStart"/>
      <w:r w:rsidRPr="007326D9">
        <w:rPr>
          <w:lang w:val="es-PE"/>
        </w:rPr>
        <w:t>los ratios</w:t>
      </w:r>
      <w:proofErr w:type="gramEnd"/>
      <w:r w:rsidRPr="007326D9">
        <w:rPr>
          <w:lang w:val="es-PE"/>
        </w:rPr>
        <w:t xml:space="preserve"> de liquidez ajustados por forwards de monedas, se considerarán dos posiciones por cada forward de moneda extranjera: una posición activa en la moneda que se recibe (posición larga) y una posición pasiva en la moneda que se entrega (posición corta), por un importe equivalente al valor presente del monto nominal.</w:t>
      </w:r>
    </w:p>
    <w:p w14:paraId="30B4B103" w14:textId="2C4DB0AB" w:rsidR="00236228" w:rsidRPr="007326D9" w:rsidRDefault="00236228" w:rsidP="007326D9">
      <w:pPr>
        <w:spacing w:afterLines="60" w:after="144"/>
        <w:ind w:left="851" w:hanging="425"/>
        <w:jc w:val="both"/>
        <w:rPr>
          <w:lang w:val="es-PE"/>
        </w:rPr>
      </w:pPr>
      <w:r w:rsidRPr="007326D9">
        <w:rPr>
          <w:lang w:val="es-PE"/>
        </w:rPr>
        <w:t>a)</w:t>
      </w:r>
      <w:r w:rsidRPr="007326D9">
        <w:rPr>
          <w:lang w:val="es-PE"/>
        </w:rPr>
        <w:tab/>
        <w:t>Posiciones largas en forwards de monedas (posición larga): Posiciones activas en la moneda que se recibirá, generada por forwards de moneda extranjera con vencimiento residual de hasta 90 días.</w:t>
      </w:r>
    </w:p>
    <w:p w14:paraId="1C99A878" w14:textId="5026A8A0" w:rsidR="00236228" w:rsidRPr="007326D9" w:rsidRDefault="00236228" w:rsidP="007326D9">
      <w:pPr>
        <w:spacing w:afterLines="60" w:after="144"/>
        <w:ind w:left="851" w:hanging="425"/>
        <w:jc w:val="both"/>
        <w:rPr>
          <w:lang w:val="es-PE"/>
        </w:rPr>
      </w:pPr>
      <w:r w:rsidRPr="007326D9">
        <w:rPr>
          <w:lang w:val="es-PE"/>
        </w:rPr>
        <w:t>b)</w:t>
      </w:r>
      <w:r w:rsidRPr="007326D9">
        <w:rPr>
          <w:lang w:val="es-PE"/>
        </w:rPr>
        <w:tab/>
        <w:t>Posiciones cortas en forwards de monedas (posición corta): Posiciones pasivas en la moneda que se entregará, generada por forwards de moneda extranjera con vencimiento residual de hasta 90 días.</w:t>
      </w:r>
    </w:p>
    <w:p w14:paraId="45682AD5" w14:textId="6C048298" w:rsidR="00846D1D" w:rsidRPr="007326D9" w:rsidRDefault="00846D1D" w:rsidP="007326D9">
      <w:pPr>
        <w:pStyle w:val="Prrafodelista"/>
        <w:numPr>
          <w:ilvl w:val="0"/>
          <w:numId w:val="1"/>
        </w:numPr>
        <w:spacing w:afterLines="60" w:after="144"/>
        <w:ind w:left="426" w:hanging="426"/>
        <w:jc w:val="both"/>
        <w:rPr>
          <w:rFonts w:ascii="Arial Narrow" w:hAnsi="Arial Narrow"/>
          <w:sz w:val="22"/>
          <w:szCs w:val="22"/>
          <w:lang w:val="es-PE"/>
        </w:rPr>
      </w:pPr>
      <w:r w:rsidRPr="007326D9">
        <w:rPr>
          <w:rFonts w:ascii="Arial Narrow" w:hAnsi="Arial Narrow"/>
          <w:sz w:val="22"/>
          <w:szCs w:val="22"/>
          <w:lang w:val="es-PE"/>
        </w:rPr>
        <w:t>Considerar las tasas de interés para las operaciones realizadas durante el día a que corresponde el reporte. En los rubros que agrupan las operaciones considerar el promedio ponderado de las tasas de interés de las operaciones registradas. Las tasas de interés se reportarán en porcentajes y con dos decimales.</w:t>
      </w:r>
      <w:r w:rsidR="000F101A" w:rsidRPr="007326D9">
        <w:rPr>
          <w:rStyle w:val="Refdenotaalpie"/>
          <w:rFonts w:ascii="Arial Narrow" w:hAnsi="Arial Narrow"/>
          <w:sz w:val="22"/>
          <w:szCs w:val="22"/>
          <w:lang w:val="es-PE"/>
        </w:rPr>
        <w:t xml:space="preserve"> </w:t>
      </w:r>
      <w:r w:rsidR="000F101A" w:rsidRPr="007326D9">
        <w:rPr>
          <w:rStyle w:val="Refdenotaalpie"/>
          <w:rFonts w:ascii="Arial Narrow" w:hAnsi="Arial Narrow"/>
          <w:sz w:val="22"/>
          <w:szCs w:val="22"/>
          <w:lang w:val="es-PE"/>
        </w:rPr>
        <w:footnoteReference w:id="12"/>
      </w:r>
    </w:p>
    <w:p w14:paraId="5E27C112" w14:textId="0412EAB9" w:rsidR="00846D1D" w:rsidRPr="007326D9" w:rsidRDefault="00846D1D" w:rsidP="007326D9">
      <w:pPr>
        <w:spacing w:afterLines="60" w:after="144"/>
        <w:ind w:left="426" w:hanging="426"/>
        <w:rPr>
          <w:lang w:val="es-PE"/>
        </w:rPr>
      </w:pPr>
      <w:r w:rsidRPr="007326D9">
        <w:rPr>
          <w:lang w:val="es-PE"/>
        </w:rPr>
        <w:t>16A. Considerar los montos de las operaciones efectuadas durante el día a que corresponde el reporte. Registrar los montos por cada una de las operaciones que se haya realizado.</w:t>
      </w:r>
      <w:r w:rsidR="000F101A" w:rsidRPr="007326D9">
        <w:rPr>
          <w:rStyle w:val="Refdenotaalpie"/>
          <w:lang w:val="es-PE"/>
        </w:rPr>
        <w:t xml:space="preserve"> </w:t>
      </w:r>
      <w:r w:rsidR="000F101A" w:rsidRPr="007326D9">
        <w:rPr>
          <w:rStyle w:val="Refdenotaalpie"/>
          <w:lang w:val="es-PE"/>
        </w:rPr>
        <w:footnoteReference w:id="13"/>
      </w:r>
    </w:p>
    <w:p w14:paraId="06DA81C8" w14:textId="64C36517" w:rsidR="00846D1D" w:rsidRPr="007326D9" w:rsidRDefault="00846D1D" w:rsidP="007326D9">
      <w:pPr>
        <w:spacing w:afterLines="60" w:after="144"/>
        <w:ind w:left="426" w:hanging="426"/>
        <w:rPr>
          <w:lang w:val="es-PE"/>
        </w:rPr>
      </w:pPr>
      <w:r w:rsidRPr="007326D9">
        <w:rPr>
          <w:lang w:val="es-PE"/>
        </w:rPr>
        <w:t>16B. Considerar el saldo total de las operaciones vigentes a la fecha a la que corresponde el reporte. Registrar los saldos totales por cada rubro (no por operación y/o contraparte).</w:t>
      </w:r>
      <w:r w:rsidR="000F101A" w:rsidRPr="007326D9">
        <w:rPr>
          <w:rStyle w:val="Refdenotaalpie"/>
          <w:lang w:val="es-PE"/>
        </w:rPr>
        <w:t xml:space="preserve"> </w:t>
      </w:r>
      <w:r w:rsidR="000F101A" w:rsidRPr="007326D9">
        <w:rPr>
          <w:rStyle w:val="Refdenotaalpie"/>
          <w:lang w:val="es-PE"/>
        </w:rPr>
        <w:footnoteReference w:id="14"/>
      </w:r>
    </w:p>
    <w:p w14:paraId="725CCCC2" w14:textId="43C9CC9B" w:rsidR="00F0172E" w:rsidRPr="007326D9" w:rsidRDefault="00846D1D" w:rsidP="007326D9">
      <w:pPr>
        <w:numPr>
          <w:ilvl w:val="0"/>
          <w:numId w:val="1"/>
        </w:numPr>
        <w:spacing w:afterLines="60" w:after="144"/>
        <w:ind w:left="426" w:hanging="426"/>
        <w:jc w:val="both"/>
        <w:rPr>
          <w:lang w:val="es-PE"/>
        </w:rPr>
      </w:pPr>
      <w:r w:rsidRPr="007326D9">
        <w:rPr>
          <w:lang w:val="es-PE"/>
        </w:rPr>
        <w:t xml:space="preserve">No incluye las operaciones overnight pasivas con el Banco de la Nación, las cuales se reportan en el numeral 3 de la sección II. En “Otras” deberán incluirse las operaciones con el Banco Central de Reserva del Perú. </w:t>
      </w:r>
      <w:r w:rsidR="000F101A" w:rsidRPr="007326D9">
        <w:rPr>
          <w:rStyle w:val="Refdenotaalpie"/>
          <w:lang w:val="es-PE"/>
        </w:rPr>
        <w:footnoteReference w:id="15"/>
      </w:r>
    </w:p>
    <w:p w14:paraId="6A8D5372" w14:textId="3DE290AC" w:rsidR="00F0172E" w:rsidRPr="007326D9" w:rsidRDefault="00846D1D" w:rsidP="007326D9">
      <w:pPr>
        <w:numPr>
          <w:ilvl w:val="0"/>
          <w:numId w:val="1"/>
        </w:numPr>
        <w:spacing w:afterLines="60" w:after="144"/>
        <w:ind w:left="426" w:hanging="426"/>
        <w:jc w:val="both"/>
        <w:rPr>
          <w:lang w:val="es-PE"/>
        </w:rPr>
      </w:pPr>
      <w:r w:rsidRPr="007326D9">
        <w:rPr>
          <w:lang w:val="es-PE"/>
        </w:rPr>
        <w:t>Considerar todo tipo de obligaciones con el Banco de la Nación, incluyendo los depósitos a plazo del Banco de la Nación captados en las subastas realizadas por el BCRP</w:t>
      </w:r>
      <w:r w:rsidR="00BB5D70" w:rsidRPr="007326D9">
        <w:rPr>
          <w:lang w:val="es-PE"/>
        </w:rPr>
        <w:t>.</w:t>
      </w:r>
      <w:r w:rsidR="000F101A" w:rsidRPr="007326D9">
        <w:rPr>
          <w:rStyle w:val="Refdenotaalpie"/>
          <w:lang w:val="es-PE"/>
        </w:rPr>
        <w:t xml:space="preserve"> </w:t>
      </w:r>
      <w:r w:rsidR="000F101A" w:rsidRPr="007326D9">
        <w:rPr>
          <w:rStyle w:val="Refdenotaalpie"/>
          <w:lang w:val="es-PE"/>
        </w:rPr>
        <w:footnoteReference w:id="16"/>
      </w:r>
    </w:p>
    <w:p w14:paraId="47FCAFA2" w14:textId="77777777" w:rsidR="007326D9" w:rsidRDefault="00FF1710" w:rsidP="00A521FE">
      <w:pPr>
        <w:numPr>
          <w:ilvl w:val="0"/>
          <w:numId w:val="1"/>
        </w:numPr>
        <w:spacing w:afterLines="60" w:after="144"/>
        <w:ind w:left="426" w:hanging="426"/>
        <w:jc w:val="both"/>
        <w:rPr>
          <w:lang w:val="es-PE"/>
        </w:rPr>
      </w:pPr>
      <w:r w:rsidRPr="007326D9">
        <w:rPr>
          <w:lang w:val="es-PE"/>
        </w:rPr>
        <w:t xml:space="preserve">Se consideran como activos líquidos de alta calidad (ALAC) a aquellos instrumentos de inversión señalados en el artículo 27° del Reglamento para la Gestión del Riesgo de Liquidez, aprobado por </w:t>
      </w:r>
      <w:r w:rsidRPr="007326D9">
        <w:rPr>
          <w:lang w:val="es-PE"/>
        </w:rPr>
        <w:lastRenderedPageBreak/>
        <w:t>Resolución SBS N° 4221-2023 (en adelante, el Reglamento). En “Otras” deben incluirse las operaciones de reporte de valores con el Banco Central de Reserva del Perú.</w:t>
      </w:r>
    </w:p>
    <w:p w14:paraId="51863A24" w14:textId="149CC028" w:rsidR="006873C2" w:rsidRPr="007326D9" w:rsidRDefault="00FF1710" w:rsidP="007326D9">
      <w:pPr>
        <w:spacing w:afterLines="60" w:after="144"/>
        <w:ind w:left="426"/>
        <w:jc w:val="both"/>
        <w:rPr>
          <w:lang w:val="es-PE"/>
        </w:rPr>
      </w:pPr>
      <w:r w:rsidRPr="007326D9">
        <w:rPr>
          <w:lang w:val="es-PE"/>
        </w:rPr>
        <w:t>No considerar en esta sección las Operaciones de Reporte de Monedas y de Créditos con el BCRP, las cuales se deben registrar en los numerales 7 y 9 de la sección II, respectivamente.</w:t>
      </w:r>
      <w:r w:rsidR="00DC3515" w:rsidRPr="007326D9">
        <w:rPr>
          <w:lang w:val="es-PE"/>
        </w:rPr>
        <w:t xml:space="preserve"> </w:t>
      </w:r>
      <w:r w:rsidR="000F101A" w:rsidRPr="007326D9">
        <w:rPr>
          <w:rStyle w:val="Refdenotaalpie"/>
          <w:lang w:val="es-PE"/>
        </w:rPr>
        <w:footnoteReference w:id="17"/>
      </w:r>
    </w:p>
    <w:p w14:paraId="3828B44B" w14:textId="70A5683C" w:rsidR="00236228" w:rsidRPr="007326D9" w:rsidRDefault="006873C2" w:rsidP="007326D9">
      <w:pPr>
        <w:numPr>
          <w:ilvl w:val="0"/>
          <w:numId w:val="1"/>
        </w:numPr>
        <w:spacing w:afterLines="60" w:after="144"/>
        <w:ind w:left="426" w:hanging="426"/>
        <w:jc w:val="both"/>
        <w:rPr>
          <w:lang w:val="es-PE"/>
        </w:rPr>
      </w:pPr>
      <w:r w:rsidRPr="007326D9">
        <w:t>Esta información debe ser llenada por el enajenante. Se consideran como activos líquidos a aquellos instrumentos de inversión señalados en el artículo 20° del Reglamento</w:t>
      </w:r>
      <w:r w:rsidR="00EF2954" w:rsidRPr="007326D9">
        <w:rPr>
          <w:lang w:val="es-PE"/>
        </w:rPr>
        <w:t>.</w:t>
      </w:r>
      <w:r w:rsidR="000F101A" w:rsidRPr="007326D9">
        <w:rPr>
          <w:rStyle w:val="Refdenotaalpie"/>
          <w:lang w:val="es-PE"/>
        </w:rPr>
        <w:t xml:space="preserve"> </w:t>
      </w:r>
      <w:r w:rsidR="000F101A" w:rsidRPr="007326D9">
        <w:rPr>
          <w:rStyle w:val="Refdenotaalpie"/>
          <w:lang w:val="es-PE"/>
        </w:rPr>
        <w:footnoteReference w:id="18"/>
      </w:r>
    </w:p>
    <w:p w14:paraId="78361F99" w14:textId="08347B90" w:rsidR="00236228" w:rsidRPr="007326D9" w:rsidRDefault="00627915" w:rsidP="007326D9">
      <w:pPr>
        <w:pStyle w:val="Prrafodelista"/>
        <w:numPr>
          <w:ilvl w:val="0"/>
          <w:numId w:val="1"/>
        </w:numPr>
        <w:spacing w:afterLines="60" w:after="144"/>
        <w:ind w:left="426" w:hanging="426"/>
        <w:jc w:val="both"/>
        <w:rPr>
          <w:rFonts w:ascii="Arial Narrow" w:hAnsi="Arial Narrow"/>
          <w:sz w:val="22"/>
          <w:szCs w:val="22"/>
          <w:lang w:val="es-PE"/>
        </w:rPr>
      </w:pPr>
      <w:r w:rsidRPr="007326D9">
        <w:rPr>
          <w:rFonts w:ascii="Arial Narrow" w:hAnsi="Arial Narrow"/>
          <w:sz w:val="22"/>
          <w:szCs w:val="22"/>
          <w:lang w:val="es-PE"/>
        </w:rPr>
        <w:t>Se incluye las Operaciones de Reporte de Monedas con el BCRP. Registrar el monto total recibido por las operaciones efectuadas en la moneda correspondiente. Se deberán diferenciar los Repos de monedas “Moneda Nacional” de acuerdo con los tres esquemas establecidos por el BCRP (Regular, Expansión y Sustitución).</w:t>
      </w:r>
      <w:r w:rsidR="000F101A" w:rsidRPr="007326D9">
        <w:rPr>
          <w:rStyle w:val="Refdenotaalpie"/>
          <w:rFonts w:ascii="Arial Narrow" w:hAnsi="Arial Narrow"/>
          <w:sz w:val="22"/>
          <w:szCs w:val="22"/>
          <w:lang w:val="es-PE"/>
        </w:rPr>
        <w:t xml:space="preserve"> </w:t>
      </w:r>
      <w:r w:rsidR="000F101A" w:rsidRPr="007326D9">
        <w:rPr>
          <w:rStyle w:val="Refdenotaalpie"/>
          <w:rFonts w:ascii="Arial Narrow" w:hAnsi="Arial Narrow"/>
          <w:sz w:val="22"/>
          <w:szCs w:val="22"/>
          <w:lang w:val="es-PE"/>
        </w:rPr>
        <w:footnoteReference w:id="19"/>
      </w:r>
    </w:p>
    <w:p w14:paraId="459377A9" w14:textId="27D1C3AD" w:rsidR="00627915" w:rsidRPr="007326D9" w:rsidRDefault="00627915" w:rsidP="007326D9">
      <w:pPr>
        <w:numPr>
          <w:ilvl w:val="0"/>
          <w:numId w:val="1"/>
        </w:numPr>
        <w:spacing w:afterLines="60" w:after="144"/>
        <w:ind w:left="426" w:hanging="426"/>
        <w:jc w:val="both"/>
        <w:rPr>
          <w:lang w:val="es-PE"/>
        </w:rPr>
      </w:pPr>
      <w:r w:rsidRPr="007326D9">
        <w:rPr>
          <w:lang w:val="es-PE"/>
        </w:rPr>
        <w:t xml:space="preserve">Considerar el monto nominal de </w:t>
      </w:r>
      <w:r w:rsidR="00F9671B" w:rsidRPr="007326D9">
        <w:rPr>
          <w:lang w:val="es-PE"/>
        </w:rPr>
        <w:t>los Swap</w:t>
      </w:r>
      <w:r w:rsidRPr="007326D9">
        <w:rPr>
          <w:lang w:val="es-PE"/>
        </w:rPr>
        <w:t xml:space="preserve"> cambiarios del BCRP.</w:t>
      </w:r>
      <w:r w:rsidR="000F101A" w:rsidRPr="007326D9">
        <w:rPr>
          <w:rStyle w:val="Refdenotaalpie"/>
          <w:lang w:val="es-PE"/>
        </w:rPr>
        <w:t xml:space="preserve"> </w:t>
      </w:r>
      <w:r w:rsidR="000F101A" w:rsidRPr="007326D9">
        <w:rPr>
          <w:rStyle w:val="Refdenotaalpie"/>
          <w:lang w:val="es-PE"/>
        </w:rPr>
        <w:footnoteReference w:id="20"/>
      </w:r>
    </w:p>
    <w:p w14:paraId="69B049B4" w14:textId="354C97C5" w:rsidR="00627915" w:rsidRPr="007326D9" w:rsidRDefault="00627915" w:rsidP="007326D9">
      <w:pPr>
        <w:spacing w:afterLines="60" w:after="144"/>
        <w:ind w:left="426" w:hanging="426"/>
        <w:jc w:val="both"/>
        <w:rPr>
          <w:lang w:val="es-PE"/>
        </w:rPr>
      </w:pPr>
      <w:r w:rsidRPr="007326D9">
        <w:rPr>
          <w:lang w:val="es-PE"/>
        </w:rPr>
        <w:t xml:space="preserve">22A. </w:t>
      </w:r>
      <w:r w:rsidR="00C14FA6" w:rsidRPr="007326D9">
        <w:t>Considerar las operaciones de reporte de cartera de créditos con el BCRP (Circular N° 0014-2020-BCRP, Circular N° 0017-2020-BCRP, Circular N° 0021-2020-BCRP, entre otros).</w:t>
      </w:r>
      <w:r w:rsidR="000F101A" w:rsidRPr="007326D9">
        <w:rPr>
          <w:rStyle w:val="Refdenotaalpie"/>
          <w:lang w:val="es-PE"/>
        </w:rPr>
        <w:footnoteReference w:id="21"/>
      </w:r>
    </w:p>
    <w:p w14:paraId="7C84ECA7" w14:textId="566724D3" w:rsidR="00236228" w:rsidRPr="007326D9" w:rsidRDefault="00627915" w:rsidP="007326D9">
      <w:pPr>
        <w:spacing w:afterLines="60" w:after="144"/>
        <w:ind w:left="426" w:hanging="426"/>
        <w:jc w:val="both"/>
        <w:rPr>
          <w:lang w:val="es-PE"/>
        </w:rPr>
      </w:pPr>
      <w:r w:rsidRPr="007326D9">
        <w:rPr>
          <w:lang w:val="es-PE"/>
        </w:rPr>
        <w:t>22B. Considerar los depósitos a plazo del Tesoro Público captados en las subastas realizadas por el BCRP.</w:t>
      </w:r>
      <w:r w:rsidR="000F101A" w:rsidRPr="007326D9">
        <w:rPr>
          <w:rStyle w:val="Refdenotaalpie"/>
          <w:lang w:val="es-PE"/>
        </w:rPr>
        <w:t xml:space="preserve"> </w:t>
      </w:r>
      <w:r w:rsidR="000F101A" w:rsidRPr="007326D9">
        <w:rPr>
          <w:rStyle w:val="Refdenotaalpie"/>
          <w:lang w:val="es-PE"/>
        </w:rPr>
        <w:footnoteReference w:id="22"/>
      </w:r>
    </w:p>
    <w:p w14:paraId="13E3E025" w14:textId="2414CFD9" w:rsidR="00236228" w:rsidRPr="007326D9" w:rsidRDefault="00236228" w:rsidP="007326D9">
      <w:pPr>
        <w:numPr>
          <w:ilvl w:val="0"/>
          <w:numId w:val="1"/>
        </w:numPr>
        <w:spacing w:afterLines="60" w:after="144"/>
        <w:ind w:left="426" w:hanging="426"/>
        <w:jc w:val="both"/>
        <w:rPr>
          <w:lang w:val="es-PE"/>
        </w:rPr>
      </w:pPr>
      <w:r w:rsidRPr="007326D9">
        <w:rPr>
          <w:lang w:val="es-PE"/>
        </w:rPr>
        <w:t>Considerar el monto total de las obligaciones sujetas a encaje.</w:t>
      </w:r>
    </w:p>
    <w:p w14:paraId="23716AF7" w14:textId="632F452F" w:rsidR="00236228" w:rsidRPr="007326D9" w:rsidRDefault="00236228" w:rsidP="007326D9">
      <w:pPr>
        <w:numPr>
          <w:ilvl w:val="0"/>
          <w:numId w:val="1"/>
        </w:numPr>
        <w:spacing w:afterLines="60" w:after="144"/>
        <w:ind w:left="426" w:hanging="426"/>
        <w:jc w:val="both"/>
        <w:rPr>
          <w:lang w:val="es-PE"/>
        </w:rPr>
      </w:pPr>
      <w:r w:rsidRPr="007326D9">
        <w:rPr>
          <w:lang w:val="es-PE"/>
        </w:rPr>
        <w:t>Reportar la información para los dos rubros de caja en ambas monedas. Para efectos del cálculo de los rubros 2.2, 2.3 y 2.4, considerar la caja promedio diaria del período de encaje anterior para los cálculos en moneda nacional y la caja del día para los cálculos en moneda extranjera.</w:t>
      </w:r>
    </w:p>
    <w:p w14:paraId="02B656C4" w14:textId="3399A3A0" w:rsidR="00236228" w:rsidRPr="007326D9" w:rsidRDefault="00236228" w:rsidP="007326D9">
      <w:pPr>
        <w:numPr>
          <w:ilvl w:val="0"/>
          <w:numId w:val="1"/>
        </w:numPr>
        <w:spacing w:afterLines="60" w:after="144"/>
        <w:ind w:left="426" w:hanging="426"/>
        <w:jc w:val="both"/>
        <w:rPr>
          <w:lang w:val="es-PE"/>
        </w:rPr>
      </w:pPr>
      <w:r w:rsidRPr="007326D9">
        <w:rPr>
          <w:lang w:val="es-PE"/>
        </w:rPr>
        <w:t>Considerar el total de obligaciones por créditos en moneda nacional y en moneda extranjera, respectivamente, recibidos de entidades financieras del exterior que operan en forma similar a las establecidas en el país que captan depósitos del público.</w:t>
      </w:r>
    </w:p>
    <w:p w14:paraId="1FEED377" w14:textId="5551AD3E" w:rsidR="00EF2954" w:rsidRPr="007326D9" w:rsidRDefault="003B2C07" w:rsidP="007326D9">
      <w:pPr>
        <w:numPr>
          <w:ilvl w:val="0"/>
          <w:numId w:val="1"/>
        </w:numPr>
        <w:spacing w:afterLines="60" w:after="144"/>
        <w:ind w:left="426" w:hanging="426"/>
        <w:jc w:val="both"/>
        <w:rPr>
          <w:lang w:val="es-PE"/>
        </w:rPr>
      </w:pPr>
      <w:r w:rsidRPr="007326D9">
        <w:rPr>
          <w:lang w:val="es-PE"/>
        </w:rPr>
        <w:t>Corresponde a los depósitos del Estado. Para su conformación se considera al Gobierno Central, incluyendo los organismos reguladores, supervisores y administradores de recursos (se incluye a COFIDE), los fondos creados por dispositivo legal expreso, así como las entidades que los administran; los gobiernos regionales y los gobiernos locales; y las empresas de cualquiera de las entidades antes mencionadas. No se incluyen los depósitos del Banco de la Nación.</w:t>
      </w:r>
    </w:p>
    <w:p w14:paraId="71E27C4F" w14:textId="07A94DE3" w:rsidR="00236228" w:rsidRPr="007326D9" w:rsidRDefault="00236228" w:rsidP="007326D9">
      <w:pPr>
        <w:numPr>
          <w:ilvl w:val="0"/>
          <w:numId w:val="1"/>
        </w:numPr>
        <w:spacing w:afterLines="60" w:after="144"/>
        <w:ind w:left="426" w:hanging="426"/>
        <w:jc w:val="both"/>
        <w:rPr>
          <w:lang w:val="es-PE"/>
        </w:rPr>
      </w:pPr>
      <w:r w:rsidRPr="007326D9">
        <w:rPr>
          <w:lang w:val="es-PE"/>
        </w:rPr>
        <w:t>Administradoras privadas de fondos de pensiones (</w:t>
      </w:r>
      <w:proofErr w:type="spellStart"/>
      <w:r w:rsidRPr="007326D9">
        <w:rPr>
          <w:lang w:val="es-PE"/>
        </w:rPr>
        <w:t>AFPs</w:t>
      </w:r>
      <w:proofErr w:type="spellEnd"/>
      <w:r w:rsidRPr="007326D9">
        <w:rPr>
          <w:lang w:val="es-PE"/>
        </w:rPr>
        <w:t xml:space="preserve">): Considera los depósitos que pertenecen a los fondos que administra y a la administradora. </w:t>
      </w:r>
    </w:p>
    <w:p w14:paraId="44B22830" w14:textId="6C373BA8" w:rsidR="00236228" w:rsidRPr="007326D9" w:rsidRDefault="00236228" w:rsidP="007326D9">
      <w:pPr>
        <w:numPr>
          <w:ilvl w:val="0"/>
          <w:numId w:val="1"/>
        </w:numPr>
        <w:spacing w:afterLines="60" w:after="144"/>
        <w:ind w:left="426" w:hanging="426"/>
        <w:jc w:val="both"/>
        <w:rPr>
          <w:lang w:val="es-PE"/>
        </w:rPr>
      </w:pPr>
      <w:r w:rsidRPr="007326D9">
        <w:rPr>
          <w:lang w:val="es-PE"/>
        </w:rPr>
        <w:t>Considera los depósitos que pertenecen a empresas del Sistema de Seguros Peruano.</w:t>
      </w:r>
    </w:p>
    <w:p w14:paraId="71F228A0" w14:textId="40C3F675" w:rsidR="00F0172E" w:rsidRPr="007326D9" w:rsidRDefault="00236228" w:rsidP="007326D9">
      <w:pPr>
        <w:numPr>
          <w:ilvl w:val="0"/>
          <w:numId w:val="1"/>
        </w:numPr>
        <w:spacing w:afterLines="60" w:after="144"/>
        <w:ind w:left="426" w:hanging="426"/>
        <w:jc w:val="both"/>
        <w:rPr>
          <w:lang w:val="es-PE"/>
        </w:rPr>
      </w:pPr>
      <w:r w:rsidRPr="007326D9">
        <w:rPr>
          <w:lang w:val="es-PE"/>
        </w:rPr>
        <w:t xml:space="preserve">De la lista de los 20 principales depositantes, definido en el Anexo 16-A Indicadores, considerar </w:t>
      </w:r>
      <w:r w:rsidR="00055605" w:rsidRPr="007326D9">
        <w:rPr>
          <w:lang w:val="es-PE"/>
        </w:rPr>
        <w:t xml:space="preserve">solo </w:t>
      </w:r>
      <w:r w:rsidRPr="007326D9">
        <w:rPr>
          <w:lang w:val="es-PE"/>
        </w:rPr>
        <w:t>aquellos depósitos que no hayan sido consignados en los rubros “Estado”</w:t>
      </w:r>
      <w:r w:rsidR="00290340" w:rsidRPr="007326D9">
        <w:rPr>
          <w:lang w:val="es-PE"/>
        </w:rPr>
        <w:t>;</w:t>
      </w:r>
      <w:r w:rsidRPr="007326D9">
        <w:rPr>
          <w:lang w:val="es-PE"/>
        </w:rPr>
        <w:t xml:space="preserve"> “Empresas del Sistema Financiero”</w:t>
      </w:r>
      <w:r w:rsidR="00290340" w:rsidRPr="007326D9">
        <w:rPr>
          <w:lang w:val="es-PE"/>
        </w:rPr>
        <w:t>;</w:t>
      </w:r>
      <w:r w:rsidRPr="007326D9">
        <w:rPr>
          <w:lang w:val="es-PE"/>
        </w:rPr>
        <w:t xml:space="preserve"> “</w:t>
      </w:r>
      <w:proofErr w:type="spellStart"/>
      <w:r w:rsidRPr="007326D9">
        <w:rPr>
          <w:lang w:val="es-PE"/>
        </w:rPr>
        <w:t>AFPs</w:t>
      </w:r>
      <w:proofErr w:type="spellEnd"/>
      <w:r w:rsidRPr="007326D9">
        <w:rPr>
          <w:lang w:val="es-PE"/>
        </w:rPr>
        <w:t>”, “Fondos Mutuos y Fondos de Inversión”,</w:t>
      </w:r>
      <w:r w:rsidR="00CD2DA6" w:rsidRPr="007326D9">
        <w:rPr>
          <w:lang w:val="es-PE"/>
        </w:rPr>
        <w:t xml:space="preserve"> </w:t>
      </w:r>
      <w:r w:rsidRPr="007326D9">
        <w:rPr>
          <w:lang w:val="es-PE"/>
        </w:rPr>
        <w:t xml:space="preserve">“Empresas del Sistema de Seguros” y “Sociedad Agente de Bolsa”. </w:t>
      </w:r>
      <w:r w:rsidR="00AF3173" w:rsidRPr="007326D9">
        <w:rPr>
          <w:lang w:val="es-PE"/>
        </w:rPr>
        <w:t>No incluir los depósitos del Banco de la Nación.</w:t>
      </w:r>
    </w:p>
    <w:p w14:paraId="4167E950" w14:textId="77777777" w:rsidR="00236228" w:rsidRPr="007326D9" w:rsidRDefault="00236228" w:rsidP="007326D9">
      <w:pPr>
        <w:spacing w:afterLines="60" w:after="144"/>
        <w:ind w:left="426" w:hanging="426"/>
        <w:jc w:val="both"/>
        <w:rPr>
          <w:lang w:val="es-PE"/>
        </w:rPr>
      </w:pPr>
    </w:p>
    <w:p w14:paraId="0AED6618" w14:textId="1F3E5CBE" w:rsidR="00236228" w:rsidRPr="007326D9" w:rsidRDefault="00236228" w:rsidP="007326D9">
      <w:pPr>
        <w:numPr>
          <w:ilvl w:val="0"/>
          <w:numId w:val="1"/>
        </w:numPr>
        <w:spacing w:afterLines="60" w:after="144"/>
        <w:ind w:left="426" w:hanging="426"/>
        <w:jc w:val="both"/>
        <w:rPr>
          <w:lang w:val="es-PE"/>
        </w:rPr>
      </w:pPr>
      <w:r w:rsidRPr="007326D9">
        <w:rPr>
          <w:lang w:val="es-PE"/>
        </w:rPr>
        <w:t>Número de días que la empresa ha recurrido a créditos del Banco Central con fines de regulación monetaria en los últimos 180 días.</w:t>
      </w:r>
    </w:p>
    <w:p w14:paraId="4F3CF35A" w14:textId="7467FA8A" w:rsidR="00236228" w:rsidRPr="007326D9" w:rsidRDefault="00236228" w:rsidP="007326D9">
      <w:pPr>
        <w:numPr>
          <w:ilvl w:val="0"/>
          <w:numId w:val="1"/>
        </w:numPr>
        <w:spacing w:afterLines="60" w:after="144"/>
        <w:ind w:left="426" w:hanging="426"/>
        <w:jc w:val="both"/>
        <w:rPr>
          <w:lang w:val="es-PE"/>
        </w:rPr>
      </w:pPr>
      <w:r w:rsidRPr="007326D9">
        <w:rPr>
          <w:lang w:val="es-PE"/>
        </w:rPr>
        <w:t xml:space="preserve">Corresponde al numerador utilizado para el cálculo del límite global a los productos financieros derivados, de acuerdo al artículo 24° del </w:t>
      </w:r>
      <w:r w:rsidRPr="007326D9">
        <w:t>Reglamento para la Negociación y Contabilización de Productos Financieros Derivados en las Empresas del Sistema Financiero</w:t>
      </w:r>
      <w:r w:rsidRPr="007326D9">
        <w:rPr>
          <w:lang w:val="es-PE"/>
        </w:rPr>
        <w:t xml:space="preserve"> aprobado por la Resolución SBS N° 1737-2006 y sus normas modificatorias: valor absoluto del mínimo que resulte entre cero (0) y la suma de valores razonables de todas las posiciones en productos financieros derivados registrados contablemente para negociación.</w:t>
      </w:r>
    </w:p>
    <w:p w14:paraId="5F792549" w14:textId="667E29F9" w:rsidR="00236228" w:rsidRPr="007326D9" w:rsidRDefault="00236228" w:rsidP="007326D9">
      <w:pPr>
        <w:numPr>
          <w:ilvl w:val="0"/>
          <w:numId w:val="1"/>
        </w:numPr>
        <w:spacing w:afterLines="60" w:after="144"/>
        <w:ind w:left="426" w:hanging="426"/>
        <w:jc w:val="both"/>
        <w:rPr>
          <w:lang w:val="es-PE"/>
        </w:rPr>
      </w:pPr>
      <w:r w:rsidRPr="007326D9">
        <w:rPr>
          <w:lang w:val="es-PE"/>
        </w:rPr>
        <w:t>Diferencia entre el total de activos y el total de pasivos para cada divisa, expresada en dólares americanos.</w:t>
      </w:r>
    </w:p>
    <w:p w14:paraId="724B816A" w14:textId="7A57C235" w:rsidR="00557BFD" w:rsidRPr="007326D9" w:rsidRDefault="00AE6EA8" w:rsidP="007326D9">
      <w:pPr>
        <w:numPr>
          <w:ilvl w:val="0"/>
          <w:numId w:val="1"/>
        </w:numPr>
        <w:spacing w:afterLines="60" w:after="144"/>
        <w:ind w:left="426" w:hanging="426"/>
        <w:jc w:val="both"/>
        <w:rPr>
          <w:lang w:val="es-PE"/>
        </w:rPr>
      </w:pPr>
      <w:r w:rsidRPr="007326D9">
        <w:rPr>
          <w:lang w:val="es-PE"/>
        </w:rPr>
        <w:t>Suma de la posición de cambio del balance, la posición contable neta en productos financieros derivados, expresada en dólares americanos.</w:t>
      </w:r>
    </w:p>
    <w:p w14:paraId="6CC0A3E4" w14:textId="3E0C3F65" w:rsidR="005B3193" w:rsidRPr="007326D9" w:rsidRDefault="00557BFD" w:rsidP="007326D9">
      <w:pPr>
        <w:numPr>
          <w:ilvl w:val="0"/>
          <w:numId w:val="1"/>
        </w:numPr>
        <w:spacing w:afterLines="60" w:after="144"/>
        <w:ind w:left="426" w:hanging="426"/>
        <w:jc w:val="both"/>
        <w:rPr>
          <w:lang w:val="es-PE"/>
        </w:rPr>
      </w:pPr>
      <w:r w:rsidRPr="007326D9">
        <w:rPr>
          <w:lang w:val="es-PE"/>
        </w:rPr>
        <w:t xml:space="preserve">Considerar sólo las cuentas por pagar por operaciones de reporte con vencimiento residual de hasta 360 días, cuando se realicen con </w:t>
      </w:r>
      <w:r w:rsidR="000340AD" w:rsidRPr="007326D9">
        <w:rPr>
          <w:lang w:val="es-PE"/>
        </w:rPr>
        <w:t>valores distintos a los emitidos por el BCRP o el Gobierno Central, o cuando la contraparte sea diferente al BCRP.</w:t>
      </w:r>
      <w:r w:rsidR="000F101A" w:rsidRPr="007326D9">
        <w:rPr>
          <w:rStyle w:val="Refdenotaalpie"/>
          <w:lang w:val="es-PE"/>
        </w:rPr>
        <w:footnoteReference w:id="23"/>
      </w:r>
    </w:p>
    <w:p w14:paraId="51B2E8DF" w14:textId="0BED9DC0" w:rsidR="005B3193" w:rsidRPr="007326D9" w:rsidRDefault="005B3193" w:rsidP="007326D9">
      <w:pPr>
        <w:numPr>
          <w:ilvl w:val="0"/>
          <w:numId w:val="1"/>
        </w:numPr>
        <w:spacing w:afterLines="60" w:after="144"/>
        <w:ind w:left="426" w:hanging="426"/>
        <w:jc w:val="both"/>
        <w:rPr>
          <w:lang w:val="es-PE"/>
        </w:rPr>
      </w:pPr>
      <w:r w:rsidRPr="007326D9">
        <w:t>Considerar solo los contratos que involucren alguna moneda extranjera y moneda nacional, sin incluir las posiciones clasificadas como con fines de cobertura contable.</w:t>
      </w:r>
      <w:r w:rsidRPr="007326D9">
        <w:rPr>
          <w:rStyle w:val="Refdenotaalpie"/>
        </w:rPr>
        <w:footnoteReference w:id="24"/>
      </w:r>
    </w:p>
    <w:p w14:paraId="7E2F72D0" w14:textId="77777777" w:rsidR="00081979" w:rsidRDefault="00081979" w:rsidP="007326D9">
      <w:pPr>
        <w:spacing w:afterLines="60" w:after="144"/>
      </w:pPr>
    </w:p>
    <w:sectPr w:rsidR="00081979" w:rsidSect="002E74E6">
      <w:pgSz w:w="12240" w:h="15840"/>
      <w:pgMar w:top="1417" w:right="20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46D0" w14:textId="77777777" w:rsidR="002E74E6" w:rsidRDefault="002E74E6" w:rsidP="00405A69">
      <w:r>
        <w:separator/>
      </w:r>
    </w:p>
  </w:endnote>
  <w:endnote w:type="continuationSeparator" w:id="0">
    <w:p w14:paraId="18C6BE69" w14:textId="77777777" w:rsidR="002E74E6" w:rsidRDefault="002E74E6" w:rsidP="0040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4A4C8" w14:textId="77777777" w:rsidR="002E74E6" w:rsidRDefault="002E74E6" w:rsidP="00405A69">
      <w:r>
        <w:separator/>
      </w:r>
    </w:p>
  </w:footnote>
  <w:footnote w:type="continuationSeparator" w:id="0">
    <w:p w14:paraId="1357B30C" w14:textId="77777777" w:rsidR="002E74E6" w:rsidRDefault="002E74E6" w:rsidP="00405A69">
      <w:r>
        <w:continuationSeparator/>
      </w:r>
    </w:p>
  </w:footnote>
  <w:footnote w:id="1">
    <w:p w14:paraId="5B1697B4" w14:textId="77777777"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w:t>
      </w:r>
      <w:r w:rsidRPr="00CB5D5A">
        <w:rPr>
          <w:sz w:val="18"/>
          <w:szCs w:val="18"/>
          <w:lang w:val="es-PE"/>
        </w:rPr>
        <w:t>Modificado por Res. SBS N° 4128-2014 del 01.07.14</w:t>
      </w:r>
    </w:p>
  </w:footnote>
  <w:footnote w:id="2">
    <w:p w14:paraId="41254968" w14:textId="77777777"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w:t>
      </w:r>
      <w:r w:rsidRPr="00CB5D5A">
        <w:rPr>
          <w:sz w:val="18"/>
          <w:szCs w:val="18"/>
          <w:lang w:val="es-PE"/>
        </w:rPr>
        <w:t xml:space="preserve">Modificado por Res. SBS N° 5254-2014 del 15.08.14. Posteriormente modificado por la </w:t>
      </w:r>
      <w:proofErr w:type="spellStart"/>
      <w:r w:rsidRPr="00CB5D5A">
        <w:rPr>
          <w:sz w:val="18"/>
          <w:szCs w:val="18"/>
          <w:lang w:val="es-PE"/>
        </w:rPr>
        <w:t>Res.SBS</w:t>
      </w:r>
      <w:proofErr w:type="spellEnd"/>
      <w:r w:rsidRPr="00CB5D5A">
        <w:rPr>
          <w:sz w:val="18"/>
          <w:szCs w:val="18"/>
          <w:lang w:val="es-PE"/>
        </w:rPr>
        <w:t xml:space="preserve"> </w:t>
      </w:r>
      <w:proofErr w:type="spellStart"/>
      <w:r w:rsidRPr="00CB5D5A">
        <w:rPr>
          <w:sz w:val="18"/>
          <w:szCs w:val="18"/>
          <w:lang w:val="es-PE"/>
        </w:rPr>
        <w:t>N°</w:t>
      </w:r>
      <w:proofErr w:type="spellEnd"/>
      <w:r w:rsidRPr="00CB5D5A">
        <w:rPr>
          <w:sz w:val="18"/>
          <w:szCs w:val="18"/>
          <w:lang w:val="es-PE"/>
        </w:rPr>
        <w:t xml:space="preserve"> 6231-2015 del 14.10.15, vigente a partir del 1 de enero de 2016.</w:t>
      </w:r>
    </w:p>
  </w:footnote>
  <w:footnote w:id="3">
    <w:p w14:paraId="74FF7E1C" w14:textId="77777777"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w:t>
      </w:r>
      <w:r w:rsidRPr="00CB5D5A">
        <w:rPr>
          <w:sz w:val="18"/>
          <w:szCs w:val="18"/>
          <w:lang w:val="es-PE"/>
        </w:rPr>
        <w:t xml:space="preserve">Modificado por Res. SBS N° 5254-2014 del 15.08.14. Posteriormente modificado por la </w:t>
      </w:r>
      <w:proofErr w:type="spellStart"/>
      <w:r w:rsidRPr="00CB5D5A">
        <w:rPr>
          <w:sz w:val="18"/>
          <w:szCs w:val="18"/>
          <w:lang w:val="es-PE"/>
        </w:rPr>
        <w:t>Res.SBS</w:t>
      </w:r>
      <w:proofErr w:type="spellEnd"/>
      <w:r w:rsidRPr="00CB5D5A">
        <w:rPr>
          <w:sz w:val="18"/>
          <w:szCs w:val="18"/>
          <w:lang w:val="es-PE"/>
        </w:rPr>
        <w:t xml:space="preserve"> </w:t>
      </w:r>
      <w:proofErr w:type="spellStart"/>
      <w:r w:rsidRPr="00CB5D5A">
        <w:rPr>
          <w:sz w:val="18"/>
          <w:szCs w:val="18"/>
          <w:lang w:val="es-PE"/>
        </w:rPr>
        <w:t>N°</w:t>
      </w:r>
      <w:proofErr w:type="spellEnd"/>
      <w:r w:rsidRPr="00CB5D5A">
        <w:rPr>
          <w:sz w:val="18"/>
          <w:szCs w:val="18"/>
          <w:lang w:val="es-PE"/>
        </w:rPr>
        <w:t xml:space="preserve"> 6231-2015 del 14.10.15, vigente a partir del 1 de enero de 2016.</w:t>
      </w:r>
    </w:p>
  </w:footnote>
  <w:footnote w:id="4">
    <w:p w14:paraId="0BC954AD" w14:textId="77777777" w:rsidR="000F101A" w:rsidRPr="00FF7D71" w:rsidRDefault="000F101A" w:rsidP="00597DB0">
      <w:pPr>
        <w:pStyle w:val="Textonotapie"/>
        <w:jc w:val="both"/>
        <w:rPr>
          <w:lang w:val="es-PE"/>
        </w:rPr>
      </w:pPr>
      <w:r w:rsidRPr="00CB5D5A">
        <w:rPr>
          <w:rStyle w:val="Refdenotaalpie"/>
          <w:sz w:val="18"/>
          <w:szCs w:val="18"/>
        </w:rPr>
        <w:footnoteRef/>
      </w:r>
      <w:r w:rsidRPr="00CB5D5A">
        <w:rPr>
          <w:sz w:val="18"/>
          <w:szCs w:val="18"/>
        </w:rPr>
        <w:t xml:space="preserve"> </w:t>
      </w:r>
      <w:r w:rsidRPr="00CB5D5A">
        <w:rPr>
          <w:sz w:val="18"/>
          <w:szCs w:val="18"/>
          <w:lang w:val="es-PE"/>
        </w:rPr>
        <w:t xml:space="preserve">Modificado por la </w:t>
      </w:r>
      <w:proofErr w:type="spellStart"/>
      <w:r w:rsidRPr="00CB5D5A">
        <w:rPr>
          <w:sz w:val="18"/>
          <w:szCs w:val="18"/>
          <w:lang w:val="es-PE"/>
        </w:rPr>
        <w:t>Res.SBS</w:t>
      </w:r>
      <w:proofErr w:type="spellEnd"/>
      <w:r w:rsidRPr="00CB5D5A">
        <w:rPr>
          <w:sz w:val="18"/>
          <w:szCs w:val="18"/>
          <w:lang w:val="es-PE"/>
        </w:rPr>
        <w:t xml:space="preserve"> </w:t>
      </w:r>
      <w:proofErr w:type="spellStart"/>
      <w:r w:rsidRPr="00CB5D5A">
        <w:rPr>
          <w:sz w:val="18"/>
          <w:szCs w:val="18"/>
          <w:lang w:val="es-PE"/>
        </w:rPr>
        <w:t>N°</w:t>
      </w:r>
      <w:proofErr w:type="spellEnd"/>
      <w:r w:rsidRPr="00CB5D5A">
        <w:rPr>
          <w:sz w:val="18"/>
          <w:szCs w:val="18"/>
          <w:lang w:val="es-PE"/>
        </w:rPr>
        <w:t xml:space="preserve"> 6231-2015 del 14.10.15, vigente a partir del 1 de enero de 2016.</w:t>
      </w:r>
    </w:p>
  </w:footnote>
  <w:footnote w:id="5">
    <w:p w14:paraId="7B128D13" w14:textId="4E5542D6"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w:t>
      </w:r>
      <w:r w:rsidRPr="00CB5D5A">
        <w:rPr>
          <w:sz w:val="18"/>
          <w:szCs w:val="18"/>
          <w:lang w:val="es-PE"/>
        </w:rPr>
        <w:t>Modificado por la Res</w:t>
      </w:r>
      <w:r w:rsidR="00F9671B" w:rsidRPr="00CB5D5A">
        <w:rPr>
          <w:sz w:val="18"/>
          <w:szCs w:val="18"/>
          <w:lang w:val="es-PE"/>
        </w:rPr>
        <w:t>ol</w:t>
      </w:r>
      <w:r w:rsidRPr="00CB5D5A">
        <w:rPr>
          <w:sz w:val="18"/>
          <w:szCs w:val="18"/>
          <w:lang w:val="es-PE"/>
        </w:rPr>
        <w:t>.</w:t>
      </w:r>
      <w:r w:rsidR="00F9671B" w:rsidRPr="00CB5D5A">
        <w:rPr>
          <w:sz w:val="18"/>
          <w:szCs w:val="18"/>
          <w:lang w:val="es-PE"/>
        </w:rPr>
        <w:t xml:space="preserve"> </w:t>
      </w:r>
      <w:r w:rsidRPr="00CB5D5A">
        <w:rPr>
          <w:sz w:val="18"/>
          <w:szCs w:val="18"/>
          <w:lang w:val="es-PE"/>
        </w:rPr>
        <w:t xml:space="preserve">SBS N° </w:t>
      </w:r>
      <w:r w:rsidR="00957C8E" w:rsidRPr="00CB5D5A">
        <w:rPr>
          <w:sz w:val="18"/>
          <w:szCs w:val="18"/>
          <w:lang w:val="es-PE"/>
        </w:rPr>
        <w:t>682</w:t>
      </w:r>
      <w:r w:rsidRPr="00CB5D5A">
        <w:rPr>
          <w:sz w:val="18"/>
          <w:szCs w:val="18"/>
          <w:lang w:val="es-PE"/>
        </w:rPr>
        <w:t>-201</w:t>
      </w:r>
      <w:r w:rsidR="00957C8E" w:rsidRPr="00CB5D5A">
        <w:rPr>
          <w:sz w:val="18"/>
          <w:szCs w:val="18"/>
          <w:lang w:val="es-PE"/>
        </w:rPr>
        <w:t>9</w:t>
      </w:r>
      <w:r w:rsidRPr="00CB5D5A">
        <w:rPr>
          <w:sz w:val="18"/>
          <w:szCs w:val="18"/>
          <w:lang w:val="es-PE"/>
        </w:rPr>
        <w:t xml:space="preserve"> del </w:t>
      </w:r>
      <w:r w:rsidR="00957C8E" w:rsidRPr="00CB5D5A">
        <w:rPr>
          <w:sz w:val="18"/>
          <w:szCs w:val="18"/>
          <w:lang w:val="es-PE"/>
        </w:rPr>
        <w:t>20</w:t>
      </w:r>
      <w:r w:rsidRPr="00CB5D5A">
        <w:rPr>
          <w:sz w:val="18"/>
          <w:szCs w:val="18"/>
          <w:lang w:val="es-PE"/>
        </w:rPr>
        <w:t>.</w:t>
      </w:r>
      <w:r w:rsidR="00957C8E" w:rsidRPr="00CB5D5A">
        <w:rPr>
          <w:sz w:val="18"/>
          <w:szCs w:val="18"/>
          <w:lang w:val="es-PE"/>
        </w:rPr>
        <w:t>02</w:t>
      </w:r>
      <w:r w:rsidRPr="00CB5D5A">
        <w:rPr>
          <w:sz w:val="18"/>
          <w:szCs w:val="18"/>
          <w:lang w:val="es-PE"/>
        </w:rPr>
        <w:t>.1</w:t>
      </w:r>
      <w:r w:rsidR="00957C8E" w:rsidRPr="00CB5D5A">
        <w:rPr>
          <w:sz w:val="18"/>
          <w:szCs w:val="18"/>
          <w:lang w:val="es-PE"/>
        </w:rPr>
        <w:t>9</w:t>
      </w:r>
      <w:r w:rsidRPr="00CB5D5A">
        <w:rPr>
          <w:sz w:val="18"/>
          <w:szCs w:val="18"/>
          <w:lang w:val="es-PE"/>
        </w:rPr>
        <w:t xml:space="preserve">, vigente a partir del 1 de </w:t>
      </w:r>
      <w:r w:rsidR="00957C8E" w:rsidRPr="00CB5D5A">
        <w:rPr>
          <w:sz w:val="18"/>
          <w:szCs w:val="18"/>
          <w:lang w:val="es-PE"/>
        </w:rPr>
        <w:t>julio</w:t>
      </w:r>
      <w:r w:rsidRPr="00CB5D5A">
        <w:rPr>
          <w:sz w:val="18"/>
          <w:szCs w:val="18"/>
          <w:lang w:val="es-PE"/>
        </w:rPr>
        <w:t xml:space="preserve"> de 201</w:t>
      </w:r>
      <w:r w:rsidR="00957C8E" w:rsidRPr="00CB5D5A">
        <w:rPr>
          <w:sz w:val="18"/>
          <w:szCs w:val="18"/>
          <w:lang w:val="es-PE"/>
        </w:rPr>
        <w:t>9</w:t>
      </w:r>
      <w:r w:rsidRPr="00CB5D5A">
        <w:rPr>
          <w:sz w:val="18"/>
          <w:szCs w:val="18"/>
          <w:lang w:val="es-PE"/>
        </w:rPr>
        <w:t>.</w:t>
      </w:r>
    </w:p>
  </w:footnote>
  <w:footnote w:id="6">
    <w:p w14:paraId="78CA69A2" w14:textId="37F1D7CC" w:rsidR="00441501" w:rsidRPr="00CB5D5A" w:rsidRDefault="00441501" w:rsidP="00597DB0">
      <w:pPr>
        <w:pStyle w:val="Textonotapie"/>
        <w:jc w:val="both"/>
        <w:rPr>
          <w:sz w:val="18"/>
          <w:szCs w:val="18"/>
        </w:rPr>
      </w:pPr>
      <w:r w:rsidRPr="00CB5D5A">
        <w:rPr>
          <w:rStyle w:val="Refdenotaalpie"/>
          <w:sz w:val="18"/>
          <w:szCs w:val="18"/>
        </w:rPr>
        <w:footnoteRef/>
      </w:r>
      <w:r w:rsidRPr="00CB5D5A">
        <w:rPr>
          <w:sz w:val="18"/>
          <w:szCs w:val="18"/>
        </w:rPr>
        <w:t xml:space="preserve"> </w:t>
      </w:r>
      <w:r w:rsidRPr="00CB5D5A">
        <w:rPr>
          <w:sz w:val="18"/>
          <w:szCs w:val="18"/>
          <w:lang w:val="es-PE"/>
        </w:rPr>
        <w:t>Incorporado p</w:t>
      </w:r>
      <w:r w:rsidR="002261C4" w:rsidRPr="00CB5D5A">
        <w:rPr>
          <w:sz w:val="18"/>
          <w:szCs w:val="18"/>
          <w:lang w:val="es-PE"/>
        </w:rPr>
        <w:t>or la Res</w:t>
      </w:r>
      <w:r w:rsidR="00F9671B" w:rsidRPr="00CB5D5A">
        <w:rPr>
          <w:sz w:val="18"/>
          <w:szCs w:val="18"/>
          <w:lang w:val="es-PE"/>
        </w:rPr>
        <w:t>ol</w:t>
      </w:r>
      <w:r w:rsidR="002261C4" w:rsidRPr="00CB5D5A">
        <w:rPr>
          <w:sz w:val="18"/>
          <w:szCs w:val="18"/>
          <w:lang w:val="es-PE"/>
        </w:rPr>
        <w:t>.</w:t>
      </w:r>
      <w:r w:rsidR="00F9671B" w:rsidRPr="00CB5D5A">
        <w:rPr>
          <w:sz w:val="18"/>
          <w:szCs w:val="18"/>
          <w:lang w:val="es-PE"/>
        </w:rPr>
        <w:t xml:space="preserve"> </w:t>
      </w:r>
      <w:r w:rsidR="002261C4" w:rsidRPr="00CB5D5A">
        <w:rPr>
          <w:sz w:val="18"/>
          <w:szCs w:val="18"/>
          <w:lang w:val="es-PE"/>
        </w:rPr>
        <w:t>SBS N° 682-2019 del 20</w:t>
      </w:r>
      <w:r w:rsidRPr="00CB5D5A">
        <w:rPr>
          <w:sz w:val="18"/>
          <w:szCs w:val="18"/>
          <w:lang w:val="es-PE"/>
        </w:rPr>
        <w:t xml:space="preserve">.02.19, vigente a partir del 1 de </w:t>
      </w:r>
      <w:r w:rsidR="00A10B45" w:rsidRPr="00CB5D5A">
        <w:rPr>
          <w:sz w:val="18"/>
          <w:szCs w:val="18"/>
          <w:lang w:val="es-PE"/>
        </w:rPr>
        <w:t>julio</w:t>
      </w:r>
      <w:r w:rsidRPr="00CB5D5A">
        <w:rPr>
          <w:sz w:val="18"/>
          <w:szCs w:val="18"/>
          <w:lang w:val="es-PE"/>
        </w:rPr>
        <w:t xml:space="preserve"> de 2019.</w:t>
      </w:r>
    </w:p>
  </w:footnote>
  <w:footnote w:id="7">
    <w:p w14:paraId="4E2786AA" w14:textId="53F06E99"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w:t>
      </w:r>
      <w:r w:rsidR="00441501" w:rsidRPr="00CB5D5A">
        <w:rPr>
          <w:sz w:val="18"/>
          <w:szCs w:val="18"/>
          <w:lang w:val="es-PE"/>
        </w:rPr>
        <w:t>Incorporado</w:t>
      </w:r>
      <w:r w:rsidRPr="00CB5D5A">
        <w:rPr>
          <w:sz w:val="18"/>
          <w:szCs w:val="18"/>
          <w:lang w:val="es-PE"/>
        </w:rPr>
        <w:t xml:space="preserve"> p</w:t>
      </w:r>
      <w:r w:rsidR="002261C4" w:rsidRPr="00CB5D5A">
        <w:rPr>
          <w:sz w:val="18"/>
          <w:szCs w:val="18"/>
          <w:lang w:val="es-PE"/>
        </w:rPr>
        <w:t>or la Res</w:t>
      </w:r>
      <w:r w:rsidR="00F9671B" w:rsidRPr="00CB5D5A">
        <w:rPr>
          <w:sz w:val="18"/>
          <w:szCs w:val="18"/>
          <w:lang w:val="es-PE"/>
        </w:rPr>
        <w:t>ol</w:t>
      </w:r>
      <w:r w:rsidR="002261C4" w:rsidRPr="00CB5D5A">
        <w:rPr>
          <w:sz w:val="18"/>
          <w:szCs w:val="18"/>
          <w:lang w:val="es-PE"/>
        </w:rPr>
        <w:t>.</w:t>
      </w:r>
      <w:r w:rsidR="00F9671B" w:rsidRPr="00CB5D5A">
        <w:rPr>
          <w:sz w:val="18"/>
          <w:szCs w:val="18"/>
          <w:lang w:val="es-PE"/>
        </w:rPr>
        <w:t xml:space="preserve"> </w:t>
      </w:r>
      <w:r w:rsidR="002261C4" w:rsidRPr="00CB5D5A">
        <w:rPr>
          <w:sz w:val="18"/>
          <w:szCs w:val="18"/>
          <w:lang w:val="es-PE"/>
        </w:rPr>
        <w:t>SBS N° 682-2019 del 20</w:t>
      </w:r>
      <w:r w:rsidRPr="00CB5D5A">
        <w:rPr>
          <w:sz w:val="18"/>
          <w:szCs w:val="18"/>
          <w:lang w:val="es-PE"/>
        </w:rPr>
        <w:t xml:space="preserve">.02.19, vigente a partir del 1 de </w:t>
      </w:r>
      <w:r w:rsidR="00A10B45" w:rsidRPr="00CB5D5A">
        <w:rPr>
          <w:sz w:val="18"/>
          <w:szCs w:val="18"/>
          <w:lang w:val="es-PE"/>
        </w:rPr>
        <w:t>julio</w:t>
      </w:r>
      <w:r w:rsidRPr="00CB5D5A">
        <w:rPr>
          <w:sz w:val="18"/>
          <w:szCs w:val="18"/>
          <w:lang w:val="es-PE"/>
        </w:rPr>
        <w:t xml:space="preserve"> de 2019.</w:t>
      </w:r>
    </w:p>
  </w:footnote>
  <w:footnote w:id="8">
    <w:p w14:paraId="13192ECE" w14:textId="4F58EA66" w:rsidR="00B9632D" w:rsidRPr="008D19D5" w:rsidRDefault="00B9632D">
      <w:pPr>
        <w:pStyle w:val="Textonotapie"/>
        <w:rPr>
          <w:lang w:val="es-PE"/>
        </w:rPr>
      </w:pPr>
      <w:r w:rsidRPr="008D19D5">
        <w:rPr>
          <w:rStyle w:val="Refdenotaalpie"/>
          <w:sz w:val="18"/>
          <w:szCs w:val="18"/>
        </w:rPr>
        <w:footnoteRef/>
      </w:r>
      <w:r w:rsidRPr="008D19D5">
        <w:rPr>
          <w:sz w:val="18"/>
          <w:szCs w:val="18"/>
        </w:rPr>
        <w:t xml:space="preserve"> </w:t>
      </w:r>
      <w:r w:rsidRPr="008D19D5">
        <w:rPr>
          <w:sz w:val="18"/>
          <w:szCs w:val="18"/>
          <w:lang w:val="es-PE"/>
        </w:rPr>
        <w:t xml:space="preserve">Incorporado por la Resol. SBS </w:t>
      </w:r>
      <w:proofErr w:type="spellStart"/>
      <w:r w:rsidRPr="008D19D5">
        <w:rPr>
          <w:sz w:val="18"/>
          <w:szCs w:val="18"/>
          <w:lang w:val="es-PE"/>
        </w:rPr>
        <w:t>N°</w:t>
      </w:r>
      <w:proofErr w:type="spellEnd"/>
      <w:r w:rsidRPr="008D19D5">
        <w:rPr>
          <w:sz w:val="18"/>
          <w:szCs w:val="18"/>
          <w:lang w:val="es-PE"/>
        </w:rPr>
        <w:t xml:space="preserve"> 2869-2025 del 15.08.25, vigente a partir del 1 de setiembre de 2025.</w:t>
      </w:r>
    </w:p>
  </w:footnote>
  <w:footnote w:id="9">
    <w:p w14:paraId="4C1FFEFD" w14:textId="49CFB3FB"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w:t>
      </w:r>
      <w:r w:rsidRPr="00CB5D5A">
        <w:rPr>
          <w:sz w:val="18"/>
          <w:szCs w:val="18"/>
          <w:lang w:val="es-PE"/>
        </w:rPr>
        <w:t>Modificado por la Res</w:t>
      </w:r>
      <w:r w:rsidR="00F9671B" w:rsidRPr="00CB5D5A">
        <w:rPr>
          <w:sz w:val="18"/>
          <w:szCs w:val="18"/>
          <w:lang w:val="es-PE"/>
        </w:rPr>
        <w:t>ol</w:t>
      </w:r>
      <w:r w:rsidRPr="00CB5D5A">
        <w:rPr>
          <w:sz w:val="18"/>
          <w:szCs w:val="18"/>
          <w:lang w:val="es-PE"/>
        </w:rPr>
        <w:t>.</w:t>
      </w:r>
      <w:r w:rsidR="00F9671B" w:rsidRPr="00CB5D5A">
        <w:rPr>
          <w:sz w:val="18"/>
          <w:szCs w:val="18"/>
          <w:lang w:val="es-PE"/>
        </w:rPr>
        <w:t xml:space="preserve"> </w:t>
      </w:r>
      <w:r w:rsidRPr="00CB5D5A">
        <w:rPr>
          <w:sz w:val="18"/>
          <w:szCs w:val="18"/>
          <w:lang w:val="es-PE"/>
        </w:rPr>
        <w:t>SBS N° 6231-2015 del 14.10.15, vigente a partir del 1 de enero de 2016.</w:t>
      </w:r>
    </w:p>
  </w:footnote>
  <w:footnote w:id="10">
    <w:p w14:paraId="37035C26" w14:textId="4B1D4427" w:rsidR="000F101A" w:rsidRPr="0088182F" w:rsidRDefault="000F101A" w:rsidP="00597DB0">
      <w:pPr>
        <w:pStyle w:val="Textonotapie"/>
        <w:jc w:val="both"/>
        <w:rPr>
          <w:lang w:val="es-PE"/>
        </w:rPr>
      </w:pPr>
      <w:r w:rsidRPr="00CB5D5A">
        <w:rPr>
          <w:rStyle w:val="Refdenotaalpie"/>
          <w:sz w:val="18"/>
          <w:szCs w:val="18"/>
        </w:rPr>
        <w:footnoteRef/>
      </w:r>
      <w:r w:rsidRPr="00CB5D5A">
        <w:rPr>
          <w:sz w:val="18"/>
          <w:szCs w:val="18"/>
        </w:rPr>
        <w:t xml:space="preserve"> </w:t>
      </w:r>
      <w:r w:rsidRPr="00CB5D5A">
        <w:rPr>
          <w:sz w:val="18"/>
          <w:szCs w:val="18"/>
          <w:lang w:val="es-PE"/>
        </w:rPr>
        <w:t>Modificada por Res</w:t>
      </w:r>
      <w:r w:rsidR="00F9671B" w:rsidRPr="00CB5D5A">
        <w:rPr>
          <w:sz w:val="18"/>
          <w:szCs w:val="18"/>
          <w:lang w:val="es-PE"/>
        </w:rPr>
        <w:t>ol</w:t>
      </w:r>
      <w:r w:rsidRPr="00CB5D5A">
        <w:rPr>
          <w:sz w:val="18"/>
          <w:szCs w:val="18"/>
          <w:lang w:val="es-PE"/>
        </w:rPr>
        <w:t>. SBS N° 3225-2014 del 29.05.14</w:t>
      </w:r>
      <w:r w:rsidR="0088182F">
        <w:rPr>
          <w:sz w:val="18"/>
          <w:szCs w:val="18"/>
          <w:lang w:val="es-PE"/>
        </w:rPr>
        <w:t xml:space="preserve">. </w:t>
      </w:r>
      <w:r w:rsidR="0088182F" w:rsidRPr="00CB5D5A">
        <w:rPr>
          <w:sz w:val="18"/>
          <w:szCs w:val="18"/>
          <w:lang w:val="es-PE"/>
        </w:rPr>
        <w:t xml:space="preserve">Posteriormente modificado por la </w:t>
      </w:r>
      <w:r w:rsidR="0088182F" w:rsidRPr="0088182F">
        <w:rPr>
          <w:sz w:val="18"/>
          <w:szCs w:val="18"/>
          <w:lang w:val="es-PE"/>
        </w:rPr>
        <w:t xml:space="preserve">Resolución SBS N° 4221-2023 </w:t>
      </w:r>
      <w:r w:rsidR="0088182F">
        <w:rPr>
          <w:sz w:val="18"/>
          <w:szCs w:val="18"/>
          <w:lang w:val="es-PE"/>
        </w:rPr>
        <w:t>publicada el</w:t>
      </w:r>
      <w:r w:rsidR="0088182F" w:rsidRPr="0088182F">
        <w:rPr>
          <w:sz w:val="18"/>
          <w:szCs w:val="18"/>
          <w:lang w:val="es-PE"/>
        </w:rPr>
        <w:t xml:space="preserve"> 22</w:t>
      </w:r>
      <w:r w:rsidR="0088182F">
        <w:rPr>
          <w:sz w:val="18"/>
          <w:szCs w:val="18"/>
          <w:lang w:val="es-PE"/>
        </w:rPr>
        <w:t>.</w:t>
      </w:r>
      <w:r w:rsidR="0088182F" w:rsidRPr="0088182F">
        <w:rPr>
          <w:sz w:val="18"/>
          <w:szCs w:val="18"/>
          <w:lang w:val="es-PE"/>
        </w:rPr>
        <w:t>12</w:t>
      </w:r>
      <w:r w:rsidR="0088182F">
        <w:rPr>
          <w:sz w:val="18"/>
          <w:szCs w:val="18"/>
          <w:lang w:val="es-PE"/>
        </w:rPr>
        <w:t>.</w:t>
      </w:r>
      <w:r w:rsidR="0088182F" w:rsidRPr="0088182F">
        <w:rPr>
          <w:sz w:val="18"/>
          <w:szCs w:val="18"/>
          <w:lang w:val="es-PE"/>
        </w:rPr>
        <w:t xml:space="preserve">2023 vigente a partir del 1 de </w:t>
      </w:r>
      <w:r w:rsidR="0088182F">
        <w:rPr>
          <w:sz w:val="18"/>
          <w:szCs w:val="18"/>
          <w:lang w:val="es-PE"/>
        </w:rPr>
        <w:t>diciembre</w:t>
      </w:r>
      <w:r w:rsidR="0088182F" w:rsidRPr="0088182F">
        <w:rPr>
          <w:sz w:val="18"/>
          <w:szCs w:val="18"/>
          <w:lang w:val="es-PE"/>
        </w:rPr>
        <w:t xml:space="preserve"> de 2024</w:t>
      </w:r>
    </w:p>
  </w:footnote>
  <w:footnote w:id="11">
    <w:p w14:paraId="5D21D2C5" w14:textId="4ADCB3C7" w:rsidR="000F101A" w:rsidRPr="00405A69" w:rsidRDefault="000F101A" w:rsidP="00597DB0">
      <w:pPr>
        <w:pStyle w:val="Textonotapie"/>
        <w:jc w:val="both"/>
        <w:rPr>
          <w:lang w:val="es-PE"/>
        </w:rPr>
      </w:pPr>
      <w:r w:rsidRPr="00CB5D5A">
        <w:rPr>
          <w:rStyle w:val="Refdenotaalpie"/>
          <w:sz w:val="18"/>
          <w:szCs w:val="18"/>
        </w:rPr>
        <w:footnoteRef/>
      </w:r>
      <w:r w:rsidRPr="00CB5D5A">
        <w:rPr>
          <w:sz w:val="18"/>
          <w:szCs w:val="18"/>
        </w:rPr>
        <w:t xml:space="preserve"> </w:t>
      </w:r>
      <w:r w:rsidRPr="00CB5D5A">
        <w:rPr>
          <w:sz w:val="18"/>
          <w:szCs w:val="18"/>
          <w:lang w:val="es-PE"/>
        </w:rPr>
        <w:t>Modificada por Res</w:t>
      </w:r>
      <w:r w:rsidR="00F9671B" w:rsidRPr="00CB5D5A">
        <w:rPr>
          <w:sz w:val="18"/>
          <w:szCs w:val="18"/>
          <w:lang w:val="es-PE"/>
        </w:rPr>
        <w:t>ol</w:t>
      </w:r>
      <w:r w:rsidRPr="00CB5D5A">
        <w:rPr>
          <w:sz w:val="18"/>
          <w:szCs w:val="18"/>
          <w:lang w:val="es-PE"/>
        </w:rPr>
        <w:t>. SBS N° 3225-2014 del 29.05.14. Posteriormente modificado por la Res</w:t>
      </w:r>
      <w:r w:rsidR="00F9671B" w:rsidRPr="00CB5D5A">
        <w:rPr>
          <w:sz w:val="18"/>
          <w:szCs w:val="18"/>
          <w:lang w:val="es-PE"/>
        </w:rPr>
        <w:t>ol</w:t>
      </w:r>
      <w:r w:rsidRPr="00CB5D5A">
        <w:rPr>
          <w:sz w:val="18"/>
          <w:szCs w:val="18"/>
          <w:lang w:val="es-PE"/>
        </w:rPr>
        <w:t>.</w:t>
      </w:r>
      <w:r w:rsidR="00F9671B" w:rsidRPr="00CB5D5A">
        <w:rPr>
          <w:sz w:val="18"/>
          <w:szCs w:val="18"/>
          <w:lang w:val="es-PE"/>
        </w:rPr>
        <w:t xml:space="preserve"> </w:t>
      </w:r>
      <w:r w:rsidRPr="00CB5D5A">
        <w:rPr>
          <w:sz w:val="18"/>
          <w:szCs w:val="18"/>
          <w:lang w:val="es-PE"/>
        </w:rPr>
        <w:t>SBS N° 6231-2015 del 14.10.15, vigente a partir del 1 de enero de 2016.</w:t>
      </w:r>
    </w:p>
  </w:footnote>
  <w:footnote w:id="12">
    <w:p w14:paraId="4D238ECD" w14:textId="77777777"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Modificada por Resolución SBS N° 5202-2015 del 03-09-2015</w:t>
      </w:r>
    </w:p>
  </w:footnote>
  <w:footnote w:id="13">
    <w:p w14:paraId="24B45CF4" w14:textId="77777777"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Incorporada por Resolución SBS N° 5202-2015 del 03-09-2015</w:t>
      </w:r>
    </w:p>
  </w:footnote>
  <w:footnote w:id="14">
    <w:p w14:paraId="004FB702" w14:textId="77777777"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Incorporada por Resolución SBS N° 5202-2015 del 03-09-2015</w:t>
      </w:r>
    </w:p>
  </w:footnote>
  <w:footnote w:id="15">
    <w:p w14:paraId="17311499" w14:textId="77777777"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Modificada por Resolución SBS N° 5202-2015 del 03-09-2015</w:t>
      </w:r>
    </w:p>
  </w:footnote>
  <w:footnote w:id="16">
    <w:p w14:paraId="1C2FA3F0" w14:textId="77777777"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Modificada por Resolución SBS N° 5202-2015 del 03-09-2015</w:t>
      </w:r>
    </w:p>
  </w:footnote>
  <w:footnote w:id="17">
    <w:p w14:paraId="3CFDF9A2" w14:textId="10CFC8FF"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Modificada por Resolución SBS N° 5202-2015 del 03-09-2015</w:t>
      </w:r>
      <w:r w:rsidR="001E58E7" w:rsidRPr="00CB5D5A">
        <w:rPr>
          <w:sz w:val="18"/>
          <w:szCs w:val="18"/>
        </w:rPr>
        <w:t>,</w:t>
      </w:r>
      <w:r w:rsidR="002261C4" w:rsidRPr="00CB5D5A">
        <w:rPr>
          <w:sz w:val="18"/>
          <w:szCs w:val="18"/>
        </w:rPr>
        <w:t xml:space="preserve"> por Resolución SBS N° 682-2019 del 20-02-2019</w:t>
      </w:r>
      <w:r w:rsidR="00A10B45" w:rsidRPr="00CB5D5A">
        <w:rPr>
          <w:sz w:val="18"/>
          <w:szCs w:val="18"/>
          <w:lang w:val="es-PE"/>
        </w:rPr>
        <w:t xml:space="preserve"> vigente a partir del 1 de julio de 2019</w:t>
      </w:r>
      <w:r w:rsidR="001E58E7" w:rsidRPr="00CB5D5A">
        <w:rPr>
          <w:sz w:val="18"/>
          <w:szCs w:val="18"/>
          <w:lang w:val="es-PE"/>
        </w:rPr>
        <w:t xml:space="preserve">, y por Resolución SBS N° </w:t>
      </w:r>
      <w:r w:rsidR="00E96D22" w:rsidRPr="00CB5D5A">
        <w:rPr>
          <w:sz w:val="18"/>
          <w:szCs w:val="18"/>
          <w:lang w:val="es-PE"/>
        </w:rPr>
        <w:t xml:space="preserve">4221-2023 </w:t>
      </w:r>
      <w:r w:rsidR="0088182F">
        <w:rPr>
          <w:sz w:val="18"/>
          <w:szCs w:val="18"/>
          <w:lang w:val="es-PE"/>
        </w:rPr>
        <w:t>publicada el</w:t>
      </w:r>
      <w:r w:rsidR="00E96D22" w:rsidRPr="00CB5D5A">
        <w:rPr>
          <w:sz w:val="18"/>
          <w:szCs w:val="18"/>
          <w:lang w:val="es-PE"/>
        </w:rPr>
        <w:t xml:space="preserve"> 22</w:t>
      </w:r>
      <w:r w:rsidR="0088182F">
        <w:rPr>
          <w:sz w:val="18"/>
          <w:szCs w:val="18"/>
          <w:lang w:val="es-PE"/>
        </w:rPr>
        <w:t>.</w:t>
      </w:r>
      <w:r w:rsidR="00E96D22" w:rsidRPr="00CB5D5A">
        <w:rPr>
          <w:sz w:val="18"/>
          <w:szCs w:val="18"/>
          <w:lang w:val="es-PE"/>
        </w:rPr>
        <w:t>12</w:t>
      </w:r>
      <w:r w:rsidR="0088182F">
        <w:rPr>
          <w:sz w:val="18"/>
          <w:szCs w:val="18"/>
          <w:lang w:val="es-PE"/>
        </w:rPr>
        <w:t>.</w:t>
      </w:r>
      <w:r w:rsidR="00E96D22" w:rsidRPr="00CB5D5A">
        <w:rPr>
          <w:sz w:val="18"/>
          <w:szCs w:val="18"/>
          <w:lang w:val="es-PE"/>
        </w:rPr>
        <w:t>2023 vigente a partir del 1 de enero de 202</w:t>
      </w:r>
      <w:r w:rsidR="00A82DFA" w:rsidRPr="00CB5D5A">
        <w:rPr>
          <w:sz w:val="18"/>
          <w:szCs w:val="18"/>
          <w:lang w:val="es-PE"/>
        </w:rPr>
        <w:t>4</w:t>
      </w:r>
    </w:p>
  </w:footnote>
  <w:footnote w:id="18">
    <w:p w14:paraId="168A6243" w14:textId="7AE21344"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Modificada por Resolución SBS N° 5202-2015 del 03-09-2015</w:t>
      </w:r>
      <w:r w:rsidR="006873C2" w:rsidRPr="00CB5D5A">
        <w:rPr>
          <w:sz w:val="18"/>
          <w:szCs w:val="18"/>
        </w:rPr>
        <w:t xml:space="preserve"> y </w:t>
      </w:r>
      <w:r w:rsidR="006873C2" w:rsidRPr="00CB5D5A">
        <w:rPr>
          <w:sz w:val="18"/>
          <w:szCs w:val="18"/>
          <w:lang w:val="es-PE"/>
        </w:rPr>
        <w:t xml:space="preserve">por Resolución SBS N° 4221-2023 </w:t>
      </w:r>
      <w:r w:rsidR="0088182F">
        <w:rPr>
          <w:sz w:val="18"/>
          <w:szCs w:val="18"/>
          <w:lang w:val="es-PE"/>
        </w:rPr>
        <w:t>publicada el</w:t>
      </w:r>
      <w:r w:rsidR="006873C2" w:rsidRPr="00CB5D5A">
        <w:rPr>
          <w:sz w:val="18"/>
          <w:szCs w:val="18"/>
          <w:lang w:val="es-PE"/>
        </w:rPr>
        <w:t xml:space="preserve"> 22</w:t>
      </w:r>
      <w:r w:rsidR="0088182F">
        <w:rPr>
          <w:sz w:val="18"/>
          <w:szCs w:val="18"/>
          <w:lang w:val="es-PE"/>
        </w:rPr>
        <w:t>.</w:t>
      </w:r>
      <w:r w:rsidR="006873C2" w:rsidRPr="00CB5D5A">
        <w:rPr>
          <w:sz w:val="18"/>
          <w:szCs w:val="18"/>
          <w:lang w:val="es-PE"/>
        </w:rPr>
        <w:t>12</w:t>
      </w:r>
      <w:r w:rsidR="0088182F">
        <w:rPr>
          <w:sz w:val="18"/>
          <w:szCs w:val="18"/>
          <w:lang w:val="es-PE"/>
        </w:rPr>
        <w:t>.</w:t>
      </w:r>
      <w:r w:rsidR="006873C2" w:rsidRPr="00CB5D5A">
        <w:rPr>
          <w:sz w:val="18"/>
          <w:szCs w:val="18"/>
          <w:lang w:val="es-PE"/>
        </w:rPr>
        <w:t>2023 vigente a partir del 1 de enero de 2024</w:t>
      </w:r>
    </w:p>
  </w:footnote>
  <w:footnote w:id="19">
    <w:p w14:paraId="63BCEE81" w14:textId="77777777"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Modificada por Resolución SBS N° 5202-2015 del 03-09-2015</w:t>
      </w:r>
    </w:p>
  </w:footnote>
  <w:footnote w:id="20">
    <w:p w14:paraId="516DC06B" w14:textId="77777777"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Modificada por Resolución SBS N° 5202-2015 del 03-09-2015</w:t>
      </w:r>
    </w:p>
  </w:footnote>
  <w:footnote w:id="21">
    <w:p w14:paraId="44E7CAB3" w14:textId="094DA535"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Incorporada por Resolución SBS N° 5202-2015 del 03-09-2015</w:t>
      </w:r>
      <w:r w:rsidR="00BE2152" w:rsidRPr="00CB5D5A">
        <w:rPr>
          <w:sz w:val="18"/>
          <w:szCs w:val="18"/>
        </w:rPr>
        <w:t>. Posteriormente</w:t>
      </w:r>
      <w:r w:rsidR="001F0ED7" w:rsidRPr="00CB5D5A">
        <w:rPr>
          <w:sz w:val="18"/>
          <w:szCs w:val="18"/>
        </w:rPr>
        <w:t xml:space="preserve"> modificad</w:t>
      </w:r>
      <w:r w:rsidR="00DE2A98" w:rsidRPr="00CB5D5A">
        <w:rPr>
          <w:sz w:val="18"/>
          <w:szCs w:val="18"/>
        </w:rPr>
        <w:t>a</w:t>
      </w:r>
      <w:r w:rsidR="001F0ED7" w:rsidRPr="00CB5D5A">
        <w:rPr>
          <w:sz w:val="18"/>
          <w:szCs w:val="18"/>
        </w:rPr>
        <w:t xml:space="preserve"> </w:t>
      </w:r>
      <w:r w:rsidR="00C14FA6" w:rsidRPr="00CB5D5A">
        <w:rPr>
          <w:sz w:val="18"/>
          <w:szCs w:val="18"/>
        </w:rPr>
        <w:t>por</w:t>
      </w:r>
      <w:r w:rsidR="001F0ED7" w:rsidRPr="00CB5D5A">
        <w:rPr>
          <w:sz w:val="18"/>
          <w:szCs w:val="18"/>
        </w:rPr>
        <w:t xml:space="preserve"> la</w:t>
      </w:r>
      <w:r w:rsidR="00C14FA6" w:rsidRPr="00CB5D5A">
        <w:rPr>
          <w:sz w:val="18"/>
          <w:szCs w:val="18"/>
        </w:rPr>
        <w:t xml:space="preserve"> Resolución SBS N° 2712-2020 del 04-11-2019</w:t>
      </w:r>
      <w:r w:rsidR="002A0A1E" w:rsidRPr="00CB5D5A">
        <w:rPr>
          <w:sz w:val="18"/>
          <w:szCs w:val="18"/>
        </w:rPr>
        <w:t>, vigente a partir del 01 de diciembre de 2020</w:t>
      </w:r>
      <w:r w:rsidR="00DE2A98" w:rsidRPr="00CB5D5A">
        <w:rPr>
          <w:sz w:val="18"/>
          <w:szCs w:val="18"/>
        </w:rPr>
        <w:t>. Posteriormente</w:t>
      </w:r>
      <w:r w:rsidR="00825A18" w:rsidRPr="00CB5D5A">
        <w:rPr>
          <w:sz w:val="18"/>
          <w:szCs w:val="18"/>
        </w:rPr>
        <w:t xml:space="preserve"> modificada por la Resolución SBS N° </w:t>
      </w:r>
      <w:r w:rsidR="00B54BF3" w:rsidRPr="00CB5D5A">
        <w:rPr>
          <w:sz w:val="18"/>
          <w:szCs w:val="18"/>
        </w:rPr>
        <w:t xml:space="preserve">3079-2020 </w:t>
      </w:r>
      <w:r w:rsidR="00825A18" w:rsidRPr="00CB5D5A">
        <w:rPr>
          <w:sz w:val="18"/>
          <w:szCs w:val="18"/>
        </w:rPr>
        <w:t>del 0</w:t>
      </w:r>
      <w:r w:rsidR="00B54BF3" w:rsidRPr="00CB5D5A">
        <w:rPr>
          <w:sz w:val="18"/>
          <w:szCs w:val="18"/>
        </w:rPr>
        <w:t>9</w:t>
      </w:r>
      <w:r w:rsidR="004F2730" w:rsidRPr="00CB5D5A">
        <w:rPr>
          <w:sz w:val="18"/>
          <w:szCs w:val="18"/>
        </w:rPr>
        <w:t>.</w:t>
      </w:r>
      <w:r w:rsidR="00825A18" w:rsidRPr="00CB5D5A">
        <w:rPr>
          <w:sz w:val="18"/>
          <w:szCs w:val="18"/>
        </w:rPr>
        <w:t>1</w:t>
      </w:r>
      <w:r w:rsidR="00B54BF3" w:rsidRPr="00CB5D5A">
        <w:rPr>
          <w:sz w:val="18"/>
          <w:szCs w:val="18"/>
        </w:rPr>
        <w:t>2</w:t>
      </w:r>
      <w:r w:rsidR="004F2730" w:rsidRPr="00CB5D5A">
        <w:rPr>
          <w:sz w:val="18"/>
          <w:szCs w:val="18"/>
        </w:rPr>
        <w:t>.</w:t>
      </w:r>
      <w:r w:rsidR="00825A18" w:rsidRPr="00CB5D5A">
        <w:rPr>
          <w:sz w:val="18"/>
          <w:szCs w:val="18"/>
        </w:rPr>
        <w:t>20</w:t>
      </w:r>
      <w:r w:rsidR="00B54BF3" w:rsidRPr="00CB5D5A">
        <w:rPr>
          <w:sz w:val="18"/>
          <w:szCs w:val="18"/>
        </w:rPr>
        <w:t>20</w:t>
      </w:r>
      <w:r w:rsidR="002A0A1E" w:rsidRPr="00CB5D5A">
        <w:rPr>
          <w:sz w:val="18"/>
          <w:szCs w:val="18"/>
        </w:rPr>
        <w:t>, vigente a partir del 01 de enero de 2021</w:t>
      </w:r>
      <w:r w:rsidR="00B54BF3" w:rsidRPr="00CB5D5A">
        <w:rPr>
          <w:sz w:val="18"/>
          <w:szCs w:val="18"/>
        </w:rPr>
        <w:t>.</w:t>
      </w:r>
    </w:p>
  </w:footnote>
  <w:footnote w:id="22">
    <w:p w14:paraId="2B2B9EC0" w14:textId="77777777" w:rsidR="000F101A" w:rsidRPr="00E20423" w:rsidRDefault="000F101A" w:rsidP="00597DB0">
      <w:pPr>
        <w:pStyle w:val="Textonotapie"/>
        <w:jc w:val="both"/>
        <w:rPr>
          <w:lang w:val="es-PE"/>
        </w:rPr>
      </w:pPr>
      <w:r w:rsidRPr="00CB5D5A">
        <w:rPr>
          <w:rStyle w:val="Refdenotaalpie"/>
          <w:sz w:val="18"/>
          <w:szCs w:val="18"/>
        </w:rPr>
        <w:footnoteRef/>
      </w:r>
      <w:r w:rsidRPr="00CB5D5A">
        <w:rPr>
          <w:sz w:val="18"/>
          <w:szCs w:val="18"/>
        </w:rPr>
        <w:t xml:space="preserve"> Incorporada por Resolución SBS N° 5202-2015 del 03-09-2015</w:t>
      </w:r>
    </w:p>
  </w:footnote>
  <w:footnote w:id="23">
    <w:p w14:paraId="457B2EEE" w14:textId="741A70E9" w:rsidR="000F101A" w:rsidRPr="00CB5D5A" w:rsidRDefault="000F101A" w:rsidP="00597DB0">
      <w:pPr>
        <w:pStyle w:val="Textonotapie"/>
        <w:jc w:val="both"/>
        <w:rPr>
          <w:sz w:val="18"/>
          <w:szCs w:val="18"/>
          <w:lang w:val="es-PE"/>
        </w:rPr>
      </w:pPr>
      <w:r w:rsidRPr="00CB5D5A">
        <w:rPr>
          <w:rStyle w:val="Refdenotaalpie"/>
          <w:sz w:val="18"/>
          <w:szCs w:val="18"/>
        </w:rPr>
        <w:footnoteRef/>
      </w:r>
      <w:r w:rsidRPr="00CB5D5A">
        <w:rPr>
          <w:sz w:val="18"/>
          <w:szCs w:val="18"/>
        </w:rPr>
        <w:t xml:space="preserve"> Incorporada por Resolución SBS N° </w:t>
      </w:r>
      <w:r w:rsidR="002261C4" w:rsidRPr="00CB5D5A">
        <w:rPr>
          <w:sz w:val="18"/>
          <w:szCs w:val="18"/>
        </w:rPr>
        <w:t>682-2019 del 20</w:t>
      </w:r>
      <w:r w:rsidRPr="00CB5D5A">
        <w:rPr>
          <w:sz w:val="18"/>
          <w:szCs w:val="18"/>
        </w:rPr>
        <w:t>.02.2019</w:t>
      </w:r>
      <w:r w:rsidR="00A00582" w:rsidRPr="00CB5D5A">
        <w:rPr>
          <w:sz w:val="18"/>
          <w:szCs w:val="18"/>
          <w:lang w:val="es-PE"/>
        </w:rPr>
        <w:t>, vigente a partir del 1 de julio de 2019</w:t>
      </w:r>
    </w:p>
  </w:footnote>
  <w:footnote w:id="24">
    <w:p w14:paraId="35C97CC2" w14:textId="372C1471" w:rsidR="005B3193" w:rsidRDefault="005B3193" w:rsidP="00597DB0">
      <w:pPr>
        <w:pStyle w:val="Textonotapie"/>
        <w:jc w:val="both"/>
      </w:pPr>
      <w:r w:rsidRPr="00CB5D5A">
        <w:rPr>
          <w:rStyle w:val="Refdenotaalpie"/>
          <w:sz w:val="18"/>
          <w:szCs w:val="18"/>
        </w:rPr>
        <w:footnoteRef/>
      </w:r>
      <w:r w:rsidRPr="00CB5D5A">
        <w:rPr>
          <w:sz w:val="18"/>
          <w:szCs w:val="18"/>
        </w:rPr>
        <w:t xml:space="preserve"> Incorporada por Resolución SBS N° 02800-2022 del 13.09.2022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D63"/>
    <w:multiLevelType w:val="hybridMultilevel"/>
    <w:tmpl w:val="2DCA00E8"/>
    <w:lvl w:ilvl="0" w:tplc="F06CFD0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2B6AF798">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71498C"/>
    <w:multiLevelType w:val="hybridMultilevel"/>
    <w:tmpl w:val="97F05D7C"/>
    <w:lvl w:ilvl="0" w:tplc="91EED1BE">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2B7064"/>
    <w:multiLevelType w:val="hybridMultilevel"/>
    <w:tmpl w:val="CE4A817E"/>
    <w:lvl w:ilvl="0" w:tplc="56906E4C">
      <w:start w:val="28"/>
      <w:numFmt w:val="decimal"/>
      <w:lvlText w:val="%1"/>
      <w:lvlJc w:val="left"/>
      <w:pPr>
        <w:ind w:left="1125" w:hanging="360"/>
      </w:pPr>
      <w:rPr>
        <w:rFonts w:hint="default"/>
      </w:rPr>
    </w:lvl>
    <w:lvl w:ilvl="1" w:tplc="280A0019" w:tentative="1">
      <w:start w:val="1"/>
      <w:numFmt w:val="lowerLetter"/>
      <w:lvlText w:val="%2."/>
      <w:lvlJc w:val="left"/>
      <w:pPr>
        <w:ind w:left="1845" w:hanging="360"/>
      </w:pPr>
    </w:lvl>
    <w:lvl w:ilvl="2" w:tplc="280A001B" w:tentative="1">
      <w:start w:val="1"/>
      <w:numFmt w:val="lowerRoman"/>
      <w:lvlText w:val="%3."/>
      <w:lvlJc w:val="right"/>
      <w:pPr>
        <w:ind w:left="2565" w:hanging="180"/>
      </w:pPr>
    </w:lvl>
    <w:lvl w:ilvl="3" w:tplc="280A000F" w:tentative="1">
      <w:start w:val="1"/>
      <w:numFmt w:val="decimal"/>
      <w:lvlText w:val="%4."/>
      <w:lvlJc w:val="left"/>
      <w:pPr>
        <w:ind w:left="3285" w:hanging="360"/>
      </w:pPr>
    </w:lvl>
    <w:lvl w:ilvl="4" w:tplc="280A0019" w:tentative="1">
      <w:start w:val="1"/>
      <w:numFmt w:val="lowerLetter"/>
      <w:lvlText w:val="%5."/>
      <w:lvlJc w:val="left"/>
      <w:pPr>
        <w:ind w:left="4005" w:hanging="360"/>
      </w:pPr>
    </w:lvl>
    <w:lvl w:ilvl="5" w:tplc="280A001B" w:tentative="1">
      <w:start w:val="1"/>
      <w:numFmt w:val="lowerRoman"/>
      <w:lvlText w:val="%6."/>
      <w:lvlJc w:val="right"/>
      <w:pPr>
        <w:ind w:left="4725" w:hanging="180"/>
      </w:pPr>
    </w:lvl>
    <w:lvl w:ilvl="6" w:tplc="280A000F" w:tentative="1">
      <w:start w:val="1"/>
      <w:numFmt w:val="decimal"/>
      <w:lvlText w:val="%7."/>
      <w:lvlJc w:val="left"/>
      <w:pPr>
        <w:ind w:left="5445" w:hanging="360"/>
      </w:pPr>
    </w:lvl>
    <w:lvl w:ilvl="7" w:tplc="280A0019" w:tentative="1">
      <w:start w:val="1"/>
      <w:numFmt w:val="lowerLetter"/>
      <w:lvlText w:val="%8."/>
      <w:lvlJc w:val="left"/>
      <w:pPr>
        <w:ind w:left="6165" w:hanging="360"/>
      </w:pPr>
    </w:lvl>
    <w:lvl w:ilvl="8" w:tplc="280A001B" w:tentative="1">
      <w:start w:val="1"/>
      <w:numFmt w:val="lowerRoman"/>
      <w:lvlText w:val="%9."/>
      <w:lvlJc w:val="right"/>
      <w:pPr>
        <w:ind w:left="6885" w:hanging="180"/>
      </w:pPr>
    </w:lvl>
  </w:abstractNum>
  <w:abstractNum w:abstractNumId="3" w15:restartNumberingAfterBreak="0">
    <w:nsid w:val="1A6E1795"/>
    <w:multiLevelType w:val="hybridMultilevel"/>
    <w:tmpl w:val="FD48649A"/>
    <w:lvl w:ilvl="0" w:tplc="641AB2D4">
      <w:start w:val="28"/>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3E00DC4"/>
    <w:multiLevelType w:val="hybridMultilevel"/>
    <w:tmpl w:val="93B6506A"/>
    <w:lvl w:ilvl="0" w:tplc="280A0001">
      <w:start w:val="1"/>
      <w:numFmt w:val="bullet"/>
      <w:lvlText w:val=""/>
      <w:lvlJc w:val="left"/>
      <w:pPr>
        <w:ind w:left="644" w:hanging="360"/>
      </w:pPr>
      <w:rPr>
        <w:rFonts w:ascii="Symbol" w:hAnsi="Symbo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5" w15:restartNumberingAfterBreak="0">
    <w:nsid w:val="2C2A7904"/>
    <w:multiLevelType w:val="hybridMultilevel"/>
    <w:tmpl w:val="06402E78"/>
    <w:lvl w:ilvl="0" w:tplc="34785A6A">
      <w:start w:val="28"/>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F67394C"/>
    <w:multiLevelType w:val="hybridMultilevel"/>
    <w:tmpl w:val="A84CFABC"/>
    <w:lvl w:ilvl="0" w:tplc="4FEA230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FA97F90"/>
    <w:multiLevelType w:val="hybridMultilevel"/>
    <w:tmpl w:val="0874A80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FCE0DC3"/>
    <w:multiLevelType w:val="hybridMultilevel"/>
    <w:tmpl w:val="49B2BD40"/>
    <w:lvl w:ilvl="0" w:tplc="69BCB38A">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9" w15:restartNumberingAfterBreak="0">
    <w:nsid w:val="430D0E3B"/>
    <w:multiLevelType w:val="hybridMultilevel"/>
    <w:tmpl w:val="1AE421AA"/>
    <w:lvl w:ilvl="0" w:tplc="280A000F">
      <w:start w:val="1"/>
      <w:numFmt w:val="decimal"/>
      <w:lvlText w:val="%1."/>
      <w:lvlJc w:val="left"/>
      <w:pPr>
        <w:ind w:left="644" w:hanging="360"/>
      </w:pPr>
    </w:lvl>
    <w:lvl w:ilvl="1" w:tplc="0C0A0019">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44C56B6D"/>
    <w:multiLevelType w:val="hybridMultilevel"/>
    <w:tmpl w:val="BD866E0C"/>
    <w:lvl w:ilvl="0" w:tplc="280A000F">
      <w:start w:val="1"/>
      <w:numFmt w:val="decimal"/>
      <w:lvlText w:val="%1."/>
      <w:lvlJc w:val="left"/>
      <w:pPr>
        <w:ind w:left="644" w:hanging="360"/>
      </w:pPr>
    </w:lvl>
    <w:lvl w:ilvl="1" w:tplc="0C0A0001">
      <w:start w:val="1"/>
      <w:numFmt w:val="bullet"/>
      <w:lvlText w:val=""/>
      <w:lvlJc w:val="left"/>
      <w:pPr>
        <w:ind w:left="1440" w:hanging="360"/>
      </w:pPr>
      <w:rPr>
        <w:rFonts w:ascii="Symbol" w:hAnsi="Symbol" w:hint="default"/>
      </w:rPr>
    </w:lvl>
    <w:lvl w:ilvl="2" w:tplc="280A001B">
      <w:start w:val="1"/>
      <w:numFmt w:val="lowerRoman"/>
      <w:lvlText w:val="%3."/>
      <w:lvlJc w:val="right"/>
      <w:pPr>
        <w:ind w:left="2160" w:hanging="180"/>
      </w:pPr>
    </w:lvl>
    <w:lvl w:ilvl="3" w:tplc="38C2BAA2">
      <w:start w:val="1"/>
      <w:numFmt w:val="lowerLetter"/>
      <w:lvlText w:val="%4)"/>
      <w:lvlJc w:val="left"/>
      <w:pPr>
        <w:ind w:left="2880" w:hanging="360"/>
      </w:pPr>
      <w:rPr>
        <w:rFonts w:hint="default"/>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62E26C9"/>
    <w:multiLevelType w:val="hybridMultilevel"/>
    <w:tmpl w:val="79645840"/>
    <w:lvl w:ilvl="0" w:tplc="675CAEC0">
      <w:start w:val="28"/>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ABF4A8D"/>
    <w:multiLevelType w:val="multilevel"/>
    <w:tmpl w:val="2110B0D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EE43800"/>
    <w:multiLevelType w:val="hybridMultilevel"/>
    <w:tmpl w:val="EE76C03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52086C22">
      <w:start w:val="2"/>
      <w:numFmt w:val="bullet"/>
      <w:lvlText w:val="•"/>
      <w:lvlJc w:val="left"/>
      <w:pPr>
        <w:ind w:left="2340" w:hanging="360"/>
      </w:pPr>
      <w:rPr>
        <w:rFonts w:ascii="Arial Narrow" w:eastAsia="Times New Roman" w:hAnsi="Arial Narrow" w:cs="Times New Roman" w:hint="default"/>
      </w:rPr>
    </w:lvl>
    <w:lvl w:ilvl="3" w:tplc="037E4F16">
      <w:start w:val="1"/>
      <w:numFmt w:val="lowerLetter"/>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2722A3E"/>
    <w:multiLevelType w:val="hybridMultilevel"/>
    <w:tmpl w:val="A400121A"/>
    <w:lvl w:ilvl="0" w:tplc="01403E40">
      <w:start w:val="28"/>
      <w:numFmt w:val="decimal"/>
      <w:lvlText w:val="%1"/>
      <w:lvlJc w:val="left"/>
      <w:pPr>
        <w:ind w:left="792" w:hanging="360"/>
      </w:pPr>
      <w:rPr>
        <w:rFonts w:hint="default"/>
      </w:rPr>
    </w:lvl>
    <w:lvl w:ilvl="1" w:tplc="280A0019" w:tentative="1">
      <w:start w:val="1"/>
      <w:numFmt w:val="lowerLetter"/>
      <w:lvlText w:val="%2."/>
      <w:lvlJc w:val="left"/>
      <w:pPr>
        <w:ind w:left="1512" w:hanging="360"/>
      </w:pPr>
    </w:lvl>
    <w:lvl w:ilvl="2" w:tplc="280A001B" w:tentative="1">
      <w:start w:val="1"/>
      <w:numFmt w:val="lowerRoman"/>
      <w:lvlText w:val="%3."/>
      <w:lvlJc w:val="right"/>
      <w:pPr>
        <w:ind w:left="2232" w:hanging="180"/>
      </w:pPr>
    </w:lvl>
    <w:lvl w:ilvl="3" w:tplc="280A000F" w:tentative="1">
      <w:start w:val="1"/>
      <w:numFmt w:val="decimal"/>
      <w:lvlText w:val="%4."/>
      <w:lvlJc w:val="left"/>
      <w:pPr>
        <w:ind w:left="2952" w:hanging="360"/>
      </w:pPr>
    </w:lvl>
    <w:lvl w:ilvl="4" w:tplc="280A0019" w:tentative="1">
      <w:start w:val="1"/>
      <w:numFmt w:val="lowerLetter"/>
      <w:lvlText w:val="%5."/>
      <w:lvlJc w:val="left"/>
      <w:pPr>
        <w:ind w:left="3672" w:hanging="360"/>
      </w:pPr>
    </w:lvl>
    <w:lvl w:ilvl="5" w:tplc="280A001B" w:tentative="1">
      <w:start w:val="1"/>
      <w:numFmt w:val="lowerRoman"/>
      <w:lvlText w:val="%6."/>
      <w:lvlJc w:val="right"/>
      <w:pPr>
        <w:ind w:left="4392" w:hanging="180"/>
      </w:pPr>
    </w:lvl>
    <w:lvl w:ilvl="6" w:tplc="280A000F" w:tentative="1">
      <w:start w:val="1"/>
      <w:numFmt w:val="decimal"/>
      <w:lvlText w:val="%7."/>
      <w:lvlJc w:val="left"/>
      <w:pPr>
        <w:ind w:left="5112" w:hanging="360"/>
      </w:pPr>
    </w:lvl>
    <w:lvl w:ilvl="7" w:tplc="280A0019" w:tentative="1">
      <w:start w:val="1"/>
      <w:numFmt w:val="lowerLetter"/>
      <w:lvlText w:val="%8."/>
      <w:lvlJc w:val="left"/>
      <w:pPr>
        <w:ind w:left="5832" w:hanging="360"/>
      </w:pPr>
    </w:lvl>
    <w:lvl w:ilvl="8" w:tplc="280A001B" w:tentative="1">
      <w:start w:val="1"/>
      <w:numFmt w:val="lowerRoman"/>
      <w:lvlText w:val="%9."/>
      <w:lvlJc w:val="right"/>
      <w:pPr>
        <w:ind w:left="6552" w:hanging="180"/>
      </w:pPr>
    </w:lvl>
  </w:abstractNum>
  <w:abstractNum w:abstractNumId="15" w15:restartNumberingAfterBreak="0">
    <w:nsid w:val="53DB4F14"/>
    <w:multiLevelType w:val="hybridMultilevel"/>
    <w:tmpl w:val="97BC9C1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9916425"/>
    <w:multiLevelType w:val="hybridMultilevel"/>
    <w:tmpl w:val="70060ACA"/>
    <w:lvl w:ilvl="0" w:tplc="280A0001">
      <w:start w:val="1"/>
      <w:numFmt w:val="bullet"/>
      <w:lvlText w:val=""/>
      <w:lvlJc w:val="left"/>
      <w:pPr>
        <w:ind w:left="644" w:hanging="360"/>
      </w:pPr>
      <w:rPr>
        <w:rFonts w:ascii="Symbol" w:hAnsi="Symbo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7" w15:restartNumberingAfterBreak="0">
    <w:nsid w:val="5C9E57BD"/>
    <w:multiLevelType w:val="hybridMultilevel"/>
    <w:tmpl w:val="768A1E04"/>
    <w:lvl w:ilvl="0" w:tplc="F26A76DA">
      <w:start w:val="1"/>
      <w:numFmt w:val="decimal"/>
      <w:lvlText w:val="%1."/>
      <w:lvlJc w:val="left"/>
      <w:pPr>
        <w:tabs>
          <w:tab w:val="num" w:pos="567"/>
        </w:tabs>
        <w:ind w:left="567" w:hanging="28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FDA019B"/>
    <w:multiLevelType w:val="hybridMultilevel"/>
    <w:tmpl w:val="B212EFA4"/>
    <w:lvl w:ilvl="0" w:tplc="0C0A0017">
      <w:start w:val="1"/>
      <w:numFmt w:val="lowerLetter"/>
      <w:lvlText w:val="%1)"/>
      <w:lvlJc w:val="left"/>
      <w:pPr>
        <w:ind w:left="1146" w:hanging="360"/>
      </w:p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9" w15:restartNumberingAfterBreak="0">
    <w:nsid w:val="642B20D3"/>
    <w:multiLevelType w:val="hybridMultilevel"/>
    <w:tmpl w:val="6E648A6A"/>
    <w:lvl w:ilvl="0" w:tplc="546AEFFE">
      <w:start w:val="28"/>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E800121"/>
    <w:multiLevelType w:val="hybridMultilevel"/>
    <w:tmpl w:val="88C4281E"/>
    <w:lvl w:ilvl="0" w:tplc="753034EA">
      <w:start w:val="1"/>
      <w:numFmt w:val="decimal"/>
      <w:lvlText w:val="%1."/>
      <w:lvlJc w:val="left"/>
      <w:pPr>
        <w:ind w:left="360" w:hanging="360"/>
      </w:pPr>
      <w:rPr>
        <w:rFonts w:hint="default"/>
        <w:b w:val="0"/>
      </w:rPr>
    </w:lvl>
    <w:lvl w:ilvl="1" w:tplc="280A0019">
      <w:start w:val="1"/>
      <w:numFmt w:val="lowerLetter"/>
      <w:lvlText w:val="%2."/>
      <w:lvlJc w:val="left"/>
      <w:pPr>
        <w:ind w:left="1080" w:hanging="360"/>
      </w:pPr>
    </w:lvl>
    <w:lvl w:ilvl="2" w:tplc="569C27CE">
      <w:start w:val="1"/>
      <w:numFmt w:val="lowerLetter"/>
      <w:lvlText w:val="%3)"/>
      <w:lvlJc w:val="left"/>
      <w:pPr>
        <w:ind w:left="1980" w:hanging="360"/>
      </w:pPr>
      <w:rPr>
        <w:rFonts w:hint="default"/>
      </w:r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1" w15:restartNumberingAfterBreak="0">
    <w:nsid w:val="7209121C"/>
    <w:multiLevelType w:val="hybridMultilevel"/>
    <w:tmpl w:val="000E8190"/>
    <w:lvl w:ilvl="0" w:tplc="8E56E93C">
      <w:start w:val="1"/>
      <w:numFmt w:val="bullet"/>
      <w:lvlText w:val=""/>
      <w:lvlJc w:val="left"/>
      <w:pPr>
        <w:ind w:left="1353"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num w:numId="1" w16cid:durableId="523515743">
    <w:abstractNumId w:val="12"/>
  </w:num>
  <w:num w:numId="2" w16cid:durableId="792601103">
    <w:abstractNumId w:val="1"/>
  </w:num>
  <w:num w:numId="3" w16cid:durableId="1675263936">
    <w:abstractNumId w:val="6"/>
  </w:num>
  <w:num w:numId="4" w16cid:durableId="1204948201">
    <w:abstractNumId w:val="10"/>
  </w:num>
  <w:num w:numId="5" w16cid:durableId="1420172753">
    <w:abstractNumId w:val="17"/>
  </w:num>
  <w:num w:numId="6" w16cid:durableId="1624382826">
    <w:abstractNumId w:val="21"/>
  </w:num>
  <w:num w:numId="7" w16cid:durableId="676494492">
    <w:abstractNumId w:val="20"/>
  </w:num>
  <w:num w:numId="8" w16cid:durableId="737047911">
    <w:abstractNumId w:val="16"/>
  </w:num>
  <w:num w:numId="9" w16cid:durableId="294457291">
    <w:abstractNumId w:val="4"/>
  </w:num>
  <w:num w:numId="10" w16cid:durableId="1801531099">
    <w:abstractNumId w:val="13"/>
  </w:num>
  <w:num w:numId="11" w16cid:durableId="50886036">
    <w:abstractNumId w:val="15"/>
  </w:num>
  <w:num w:numId="12" w16cid:durableId="1805998812">
    <w:abstractNumId w:val="8"/>
  </w:num>
  <w:num w:numId="13" w16cid:durableId="1059134154">
    <w:abstractNumId w:val="9"/>
  </w:num>
  <w:num w:numId="14" w16cid:durableId="855270013">
    <w:abstractNumId w:val="18"/>
  </w:num>
  <w:num w:numId="15" w16cid:durableId="94984704">
    <w:abstractNumId w:val="7"/>
  </w:num>
  <w:num w:numId="16" w16cid:durableId="30155792">
    <w:abstractNumId w:val="0"/>
  </w:num>
  <w:num w:numId="17" w16cid:durableId="1919367529">
    <w:abstractNumId w:val="5"/>
  </w:num>
  <w:num w:numId="18" w16cid:durableId="1259869402">
    <w:abstractNumId w:val="14"/>
  </w:num>
  <w:num w:numId="19" w16cid:durableId="2115441426">
    <w:abstractNumId w:val="19"/>
  </w:num>
  <w:num w:numId="20" w16cid:durableId="1444611945">
    <w:abstractNumId w:val="3"/>
  </w:num>
  <w:num w:numId="21" w16cid:durableId="531725903">
    <w:abstractNumId w:val="11"/>
  </w:num>
  <w:num w:numId="22" w16cid:durableId="624191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28"/>
    <w:rsid w:val="00007D78"/>
    <w:rsid w:val="00011E4F"/>
    <w:rsid w:val="00017218"/>
    <w:rsid w:val="00020575"/>
    <w:rsid w:val="000271BC"/>
    <w:rsid w:val="000340AD"/>
    <w:rsid w:val="00035810"/>
    <w:rsid w:val="0005217C"/>
    <w:rsid w:val="00055605"/>
    <w:rsid w:val="00081979"/>
    <w:rsid w:val="000A183D"/>
    <w:rsid w:val="000A7F20"/>
    <w:rsid w:val="000B2EDC"/>
    <w:rsid w:val="000C0CAB"/>
    <w:rsid w:val="000F101A"/>
    <w:rsid w:val="00107EC6"/>
    <w:rsid w:val="00117CFD"/>
    <w:rsid w:val="001218FC"/>
    <w:rsid w:val="0012235C"/>
    <w:rsid w:val="00122CE9"/>
    <w:rsid w:val="00133A70"/>
    <w:rsid w:val="001806AF"/>
    <w:rsid w:val="00193916"/>
    <w:rsid w:val="001B44C4"/>
    <w:rsid w:val="001E2D4D"/>
    <w:rsid w:val="001E58E7"/>
    <w:rsid w:val="001F0ED7"/>
    <w:rsid w:val="002070CF"/>
    <w:rsid w:val="002261C4"/>
    <w:rsid w:val="00233078"/>
    <w:rsid w:val="00236228"/>
    <w:rsid w:val="00244E95"/>
    <w:rsid w:val="00246496"/>
    <w:rsid w:val="00290340"/>
    <w:rsid w:val="002A00FE"/>
    <w:rsid w:val="002A0A1E"/>
    <w:rsid w:val="002C2214"/>
    <w:rsid w:val="002C56B8"/>
    <w:rsid w:val="002E634C"/>
    <w:rsid w:val="002E74E6"/>
    <w:rsid w:val="00302304"/>
    <w:rsid w:val="0032452C"/>
    <w:rsid w:val="00330889"/>
    <w:rsid w:val="0033792B"/>
    <w:rsid w:val="00350475"/>
    <w:rsid w:val="0035180A"/>
    <w:rsid w:val="00367B42"/>
    <w:rsid w:val="00374D48"/>
    <w:rsid w:val="00387723"/>
    <w:rsid w:val="003B08B1"/>
    <w:rsid w:val="003B2C07"/>
    <w:rsid w:val="003B30A7"/>
    <w:rsid w:val="00405A69"/>
    <w:rsid w:val="00410D1C"/>
    <w:rsid w:val="00433B07"/>
    <w:rsid w:val="00436FA9"/>
    <w:rsid w:val="00441501"/>
    <w:rsid w:val="00451B48"/>
    <w:rsid w:val="004524E2"/>
    <w:rsid w:val="004547FE"/>
    <w:rsid w:val="00462BB6"/>
    <w:rsid w:val="004670C5"/>
    <w:rsid w:val="004970D1"/>
    <w:rsid w:val="004A4FAD"/>
    <w:rsid w:val="004B7D2F"/>
    <w:rsid w:val="004D2D90"/>
    <w:rsid w:val="004F2730"/>
    <w:rsid w:val="00520E24"/>
    <w:rsid w:val="00525A1A"/>
    <w:rsid w:val="005442B7"/>
    <w:rsid w:val="00557BFD"/>
    <w:rsid w:val="005670F0"/>
    <w:rsid w:val="00575B3F"/>
    <w:rsid w:val="00581692"/>
    <w:rsid w:val="00597DB0"/>
    <w:rsid w:val="005B3193"/>
    <w:rsid w:val="005B642C"/>
    <w:rsid w:val="005C2666"/>
    <w:rsid w:val="005D7203"/>
    <w:rsid w:val="005E1F2A"/>
    <w:rsid w:val="005E4B04"/>
    <w:rsid w:val="005F71F6"/>
    <w:rsid w:val="00627915"/>
    <w:rsid w:val="00631320"/>
    <w:rsid w:val="0063389B"/>
    <w:rsid w:val="00641FFD"/>
    <w:rsid w:val="00647526"/>
    <w:rsid w:val="00666456"/>
    <w:rsid w:val="00670C0B"/>
    <w:rsid w:val="006873C2"/>
    <w:rsid w:val="00690958"/>
    <w:rsid w:val="00691884"/>
    <w:rsid w:val="006F6EC8"/>
    <w:rsid w:val="00704CD5"/>
    <w:rsid w:val="007051AF"/>
    <w:rsid w:val="00726DDF"/>
    <w:rsid w:val="0073201F"/>
    <w:rsid w:val="007326D9"/>
    <w:rsid w:val="007624CB"/>
    <w:rsid w:val="0077401D"/>
    <w:rsid w:val="00795659"/>
    <w:rsid w:val="007B5F05"/>
    <w:rsid w:val="007D0ECD"/>
    <w:rsid w:val="007D3740"/>
    <w:rsid w:val="007F575D"/>
    <w:rsid w:val="00803914"/>
    <w:rsid w:val="008070FF"/>
    <w:rsid w:val="0081685B"/>
    <w:rsid w:val="00825A18"/>
    <w:rsid w:val="00826021"/>
    <w:rsid w:val="008314DA"/>
    <w:rsid w:val="00846D1D"/>
    <w:rsid w:val="00867DC2"/>
    <w:rsid w:val="00875E25"/>
    <w:rsid w:val="00881729"/>
    <w:rsid w:val="0088182F"/>
    <w:rsid w:val="008A2097"/>
    <w:rsid w:val="008B3156"/>
    <w:rsid w:val="008C5444"/>
    <w:rsid w:val="008D19D5"/>
    <w:rsid w:val="00900F12"/>
    <w:rsid w:val="00916FAD"/>
    <w:rsid w:val="00930E90"/>
    <w:rsid w:val="00943494"/>
    <w:rsid w:val="00957C8E"/>
    <w:rsid w:val="00962D3F"/>
    <w:rsid w:val="009646D3"/>
    <w:rsid w:val="00974299"/>
    <w:rsid w:val="009914DC"/>
    <w:rsid w:val="009A0CD1"/>
    <w:rsid w:val="009B2A4B"/>
    <w:rsid w:val="009B5D93"/>
    <w:rsid w:val="009C0BB6"/>
    <w:rsid w:val="009E79D0"/>
    <w:rsid w:val="00A00582"/>
    <w:rsid w:val="00A10B45"/>
    <w:rsid w:val="00A42BBA"/>
    <w:rsid w:val="00A43933"/>
    <w:rsid w:val="00A82DFA"/>
    <w:rsid w:val="00A85D42"/>
    <w:rsid w:val="00A865F4"/>
    <w:rsid w:val="00A93D91"/>
    <w:rsid w:val="00AB2B1E"/>
    <w:rsid w:val="00AB6287"/>
    <w:rsid w:val="00AD1358"/>
    <w:rsid w:val="00AE6EA8"/>
    <w:rsid w:val="00AE7879"/>
    <w:rsid w:val="00AF3173"/>
    <w:rsid w:val="00B16A6D"/>
    <w:rsid w:val="00B27A42"/>
    <w:rsid w:val="00B31246"/>
    <w:rsid w:val="00B54BF3"/>
    <w:rsid w:val="00B73BED"/>
    <w:rsid w:val="00B9632D"/>
    <w:rsid w:val="00BB5D70"/>
    <w:rsid w:val="00BC6253"/>
    <w:rsid w:val="00BE2152"/>
    <w:rsid w:val="00C14FA6"/>
    <w:rsid w:val="00C63A6A"/>
    <w:rsid w:val="00C65ED1"/>
    <w:rsid w:val="00C84D5C"/>
    <w:rsid w:val="00CB5D5A"/>
    <w:rsid w:val="00CC2E03"/>
    <w:rsid w:val="00CD2DA6"/>
    <w:rsid w:val="00CF34F3"/>
    <w:rsid w:val="00CF3C4F"/>
    <w:rsid w:val="00D10870"/>
    <w:rsid w:val="00D20F50"/>
    <w:rsid w:val="00D4661C"/>
    <w:rsid w:val="00D62A3A"/>
    <w:rsid w:val="00D7030E"/>
    <w:rsid w:val="00D71913"/>
    <w:rsid w:val="00D91CA1"/>
    <w:rsid w:val="00DB4931"/>
    <w:rsid w:val="00DB584D"/>
    <w:rsid w:val="00DC3515"/>
    <w:rsid w:val="00DE2A98"/>
    <w:rsid w:val="00DE5013"/>
    <w:rsid w:val="00DE68BF"/>
    <w:rsid w:val="00DF03EF"/>
    <w:rsid w:val="00E06127"/>
    <w:rsid w:val="00E1385B"/>
    <w:rsid w:val="00E20423"/>
    <w:rsid w:val="00E242A3"/>
    <w:rsid w:val="00E35652"/>
    <w:rsid w:val="00E64A1C"/>
    <w:rsid w:val="00E738F1"/>
    <w:rsid w:val="00E96D22"/>
    <w:rsid w:val="00EE5BE8"/>
    <w:rsid w:val="00EF0BEF"/>
    <w:rsid w:val="00EF2954"/>
    <w:rsid w:val="00EF5D08"/>
    <w:rsid w:val="00F0172E"/>
    <w:rsid w:val="00F27A3E"/>
    <w:rsid w:val="00F6443C"/>
    <w:rsid w:val="00F9671B"/>
    <w:rsid w:val="00FA1475"/>
    <w:rsid w:val="00FE0A97"/>
    <w:rsid w:val="00FF1710"/>
    <w:rsid w:val="00FF69FC"/>
    <w:rsid w:val="00FF7D7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AB89"/>
  <w15:docId w15:val="{B8B3E80C-9FAA-464F-B8B6-12F25AA3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28"/>
    <w:pPr>
      <w:spacing w:after="0" w:line="240" w:lineRule="auto"/>
    </w:pPr>
    <w:rPr>
      <w:rFonts w:eastAsia="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6228"/>
    <w:pPr>
      <w:ind w:left="708"/>
    </w:pPr>
    <w:rPr>
      <w:rFonts w:ascii="Antique Olive" w:hAnsi="Antique Olive"/>
      <w:sz w:val="18"/>
      <w:szCs w:val="20"/>
      <w:lang w:val="es-ES_tradnl"/>
    </w:rPr>
  </w:style>
  <w:style w:type="paragraph" w:customStyle="1" w:styleId="Cuerpo">
    <w:name w:val="Cuerpo"/>
    <w:rsid w:val="00236228"/>
    <w:pPr>
      <w:tabs>
        <w:tab w:val="left" w:pos="240"/>
      </w:tabs>
      <w:spacing w:after="0" w:line="170" w:lineRule="atLeast"/>
      <w:jc w:val="both"/>
    </w:pPr>
    <w:rPr>
      <w:rFonts w:ascii="Arial" w:eastAsia="Times New Roman" w:hAnsi="Arial" w:cs="Times New Roman"/>
      <w:color w:val="000000"/>
      <w:sz w:val="16"/>
      <w:szCs w:val="20"/>
      <w:lang w:val="es-ES_tradnl" w:eastAsia="es-ES"/>
    </w:rPr>
  </w:style>
  <w:style w:type="paragraph" w:styleId="Textodeglobo">
    <w:name w:val="Balloon Text"/>
    <w:basedOn w:val="Normal"/>
    <w:link w:val="TextodegloboCar"/>
    <w:uiPriority w:val="99"/>
    <w:semiHidden/>
    <w:unhideWhenUsed/>
    <w:rsid w:val="00236228"/>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228"/>
    <w:rPr>
      <w:rFonts w:ascii="Tahoma" w:eastAsia="Times New Roman" w:hAnsi="Tahoma" w:cs="Tahoma"/>
      <w:sz w:val="16"/>
      <w:szCs w:val="16"/>
      <w:lang w:val="es-ES" w:eastAsia="es-ES"/>
    </w:rPr>
  </w:style>
  <w:style w:type="paragraph" w:customStyle="1" w:styleId="BodyText31">
    <w:name w:val="Body Text 31"/>
    <w:basedOn w:val="Normal"/>
    <w:rsid w:val="00F27A3E"/>
    <w:pPr>
      <w:jc w:val="both"/>
    </w:pPr>
    <w:rPr>
      <w:rFonts w:ascii="Arial" w:hAnsi="Arial"/>
      <w:szCs w:val="20"/>
    </w:rPr>
  </w:style>
  <w:style w:type="paragraph" w:styleId="Textonotapie">
    <w:name w:val="footnote text"/>
    <w:basedOn w:val="Normal"/>
    <w:link w:val="TextonotapieCar"/>
    <w:uiPriority w:val="99"/>
    <w:semiHidden/>
    <w:unhideWhenUsed/>
    <w:rsid w:val="00405A69"/>
    <w:rPr>
      <w:sz w:val="20"/>
      <w:szCs w:val="20"/>
    </w:rPr>
  </w:style>
  <w:style w:type="character" w:customStyle="1" w:styleId="TextonotapieCar">
    <w:name w:val="Texto nota pie Car"/>
    <w:basedOn w:val="Fuentedeprrafopredeter"/>
    <w:link w:val="Textonotapie"/>
    <w:uiPriority w:val="99"/>
    <w:semiHidden/>
    <w:rsid w:val="00405A69"/>
    <w:rPr>
      <w:rFonts w:eastAsia="Times New Roman" w:cs="Times New Roman"/>
      <w:sz w:val="20"/>
      <w:szCs w:val="20"/>
      <w:lang w:val="es-ES" w:eastAsia="es-ES"/>
    </w:rPr>
  </w:style>
  <w:style w:type="character" w:styleId="Refdenotaalpie">
    <w:name w:val="footnote reference"/>
    <w:basedOn w:val="Fuentedeprrafopredeter"/>
    <w:uiPriority w:val="99"/>
    <w:semiHidden/>
    <w:unhideWhenUsed/>
    <w:rsid w:val="00405A69"/>
    <w:rPr>
      <w:vertAlign w:val="superscript"/>
    </w:rPr>
  </w:style>
  <w:style w:type="character" w:styleId="Refdecomentario">
    <w:name w:val="annotation reference"/>
    <w:basedOn w:val="Fuentedeprrafopredeter"/>
    <w:uiPriority w:val="99"/>
    <w:semiHidden/>
    <w:unhideWhenUsed/>
    <w:rsid w:val="008070FF"/>
    <w:rPr>
      <w:sz w:val="16"/>
      <w:szCs w:val="16"/>
    </w:rPr>
  </w:style>
  <w:style w:type="paragraph" w:styleId="Textocomentario">
    <w:name w:val="annotation text"/>
    <w:basedOn w:val="Normal"/>
    <w:link w:val="TextocomentarioCar"/>
    <w:uiPriority w:val="99"/>
    <w:semiHidden/>
    <w:unhideWhenUsed/>
    <w:rsid w:val="008070FF"/>
    <w:rPr>
      <w:sz w:val="20"/>
      <w:szCs w:val="20"/>
    </w:rPr>
  </w:style>
  <w:style w:type="character" w:customStyle="1" w:styleId="TextocomentarioCar">
    <w:name w:val="Texto comentario Car"/>
    <w:basedOn w:val="Fuentedeprrafopredeter"/>
    <w:link w:val="Textocomentario"/>
    <w:uiPriority w:val="99"/>
    <w:semiHidden/>
    <w:rsid w:val="008070FF"/>
    <w:rPr>
      <w:rFonts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70FF"/>
    <w:rPr>
      <w:b/>
      <w:bCs/>
    </w:rPr>
  </w:style>
  <w:style w:type="character" w:customStyle="1" w:styleId="AsuntodelcomentarioCar">
    <w:name w:val="Asunto del comentario Car"/>
    <w:basedOn w:val="TextocomentarioCar"/>
    <w:link w:val="Asuntodelcomentario"/>
    <w:uiPriority w:val="99"/>
    <w:semiHidden/>
    <w:rsid w:val="008070FF"/>
    <w:rPr>
      <w:rFonts w:eastAsia="Times New Roman" w:cs="Times New Roman"/>
      <w:b/>
      <w:bCs/>
      <w:sz w:val="20"/>
      <w:szCs w:val="20"/>
      <w:lang w:val="es-ES" w:eastAsia="es-ES"/>
    </w:rPr>
  </w:style>
  <w:style w:type="paragraph" w:styleId="Revisin">
    <w:name w:val="Revision"/>
    <w:hidden/>
    <w:uiPriority w:val="99"/>
    <w:semiHidden/>
    <w:rsid w:val="00367B42"/>
    <w:pPr>
      <w:spacing w:after="0" w:line="240" w:lineRule="auto"/>
    </w:pPr>
    <w:rPr>
      <w:rFonts w:eastAsia="Times New Roman" w:cs="Times New Roman"/>
      <w:lang w:val="es-ES" w:eastAsia="es-ES"/>
    </w:rPr>
  </w:style>
  <w:style w:type="paragraph" w:customStyle="1" w:styleId="Default">
    <w:name w:val="Default"/>
    <w:rsid w:val="006873C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9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E42EC-0FFA-4436-9C47-7BD8C5B20E93}">
  <ds:schemaRefs>
    <ds:schemaRef ds:uri="http://schemas.openxmlformats.org/officeDocument/2006/bibliography"/>
  </ds:schemaRefs>
</ds:datastoreItem>
</file>

<file path=docMetadata/LabelInfo.xml><?xml version="1.0" encoding="utf-8"?>
<clbl:labelList xmlns:clbl="http://schemas.microsoft.com/office/2020/mipLabelMetadata">
  <clbl:label id="{5e8a6108-5506-4bcf-982f-4494d6f3f825}" enabled="0" method="" siteId="{5e8a6108-5506-4bcf-982f-4494d6f3f825}"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1903</Words>
  <Characters>10472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SBS</dc:creator>
  <cp:lastModifiedBy>Milagros Jesus Tito Cama</cp:lastModifiedBy>
  <cp:revision>3</cp:revision>
  <dcterms:created xsi:type="dcterms:W3CDTF">2025-08-18T15:53:00Z</dcterms:created>
  <dcterms:modified xsi:type="dcterms:W3CDTF">2025-08-18T15:53:00Z</dcterms:modified>
</cp:coreProperties>
</file>